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6B02" w14:textId="77777777" w:rsidR="005E317F" w:rsidRPr="008B1975" w:rsidRDefault="005E317F" w:rsidP="005E317F">
      <w:pPr>
        <w:rPr>
          <w:sz w:val="28"/>
        </w:rPr>
      </w:pPr>
      <w:bookmarkStart w:id="0" w:name="_GoBack"/>
      <w:bookmarkEnd w:id="0"/>
      <w:r w:rsidRPr="008B1975">
        <w:rPr>
          <w:noProof/>
          <w:lang w:eastAsia="en-AU"/>
        </w:rPr>
        <w:drawing>
          <wp:inline distT="0" distB="0" distL="0" distR="0" wp14:anchorId="70191D86" wp14:editId="0E8EA0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D1A8C" w:rsidRPr="008B1975" w14:paraId="3766AF62" w14:textId="77777777" w:rsidTr="008908BF">
        <w:trPr>
          <w:trHeight w:val="629"/>
        </w:trPr>
        <w:tc>
          <w:tcPr>
            <w:tcW w:w="5000" w:type="pct"/>
            <w:shd w:val="clear" w:color="auto" w:fill="auto"/>
          </w:tcPr>
          <w:p w14:paraId="5349203D" w14:textId="77777777" w:rsidR="003D1A8C" w:rsidRPr="008B1975" w:rsidRDefault="003D1A8C" w:rsidP="008908BF">
            <w:pPr>
              <w:jc w:val="center"/>
              <w:rPr>
                <w:b/>
                <w:sz w:val="20"/>
              </w:rPr>
            </w:pPr>
            <w:r w:rsidRPr="008B1975">
              <w:rPr>
                <w:b/>
                <w:sz w:val="26"/>
              </w:rPr>
              <w:t>EXPOSURE DRAFT</w:t>
            </w:r>
          </w:p>
        </w:tc>
      </w:tr>
    </w:tbl>
    <w:p w14:paraId="796319AA" w14:textId="77777777" w:rsidR="005E317F" w:rsidRPr="008B1975" w:rsidRDefault="005E317F" w:rsidP="005E317F">
      <w:pPr>
        <w:rPr>
          <w:sz w:val="19"/>
        </w:rPr>
      </w:pPr>
    </w:p>
    <w:p w14:paraId="69DC9181" w14:textId="77777777" w:rsidR="005E317F" w:rsidRPr="008B1975" w:rsidRDefault="00AA3959" w:rsidP="005E317F">
      <w:pPr>
        <w:pStyle w:val="ShortT"/>
      </w:pPr>
      <w:r w:rsidRPr="008B1975">
        <w:t>Disability Standards for Accessible Public Transport Amendment 202</w:t>
      </w:r>
      <w:r w:rsidR="00267956" w:rsidRPr="008B1975">
        <w:t>5</w:t>
      </w:r>
    </w:p>
    <w:p w14:paraId="4DC700B7" w14:textId="4A84A68E" w:rsidR="005E317F" w:rsidRPr="008B1975" w:rsidRDefault="005E317F" w:rsidP="005E317F">
      <w:pPr>
        <w:pStyle w:val="SignCoverPageStart"/>
        <w:spacing w:before="240"/>
        <w:ind w:right="91"/>
        <w:rPr>
          <w:szCs w:val="22"/>
        </w:rPr>
      </w:pPr>
      <w:r w:rsidRPr="008B1975">
        <w:rPr>
          <w:szCs w:val="22"/>
        </w:rPr>
        <w:t xml:space="preserve">I, </w:t>
      </w:r>
      <w:r w:rsidR="007A5C48">
        <w:rPr>
          <w:szCs w:val="22"/>
        </w:rPr>
        <w:t>Michelle Rowland</w:t>
      </w:r>
      <w:r w:rsidR="00AA3959" w:rsidRPr="008B1975">
        <w:rPr>
          <w:szCs w:val="22"/>
        </w:rPr>
        <w:t>, Attorney-General, make the following standards.</w:t>
      </w:r>
    </w:p>
    <w:p w14:paraId="66735A2C" w14:textId="64338E12" w:rsidR="005E317F" w:rsidRPr="008B1975" w:rsidRDefault="005E317F" w:rsidP="005E317F">
      <w:pPr>
        <w:keepNext/>
        <w:spacing w:before="300" w:line="240" w:lineRule="atLeast"/>
        <w:ind w:right="397"/>
        <w:jc w:val="both"/>
        <w:rPr>
          <w:szCs w:val="22"/>
        </w:rPr>
      </w:pPr>
      <w:r w:rsidRPr="008B1975">
        <w:rPr>
          <w:szCs w:val="22"/>
        </w:rPr>
        <w:t>Dated</w:t>
      </w:r>
    </w:p>
    <w:p w14:paraId="72574730" w14:textId="1FDD1EDE" w:rsidR="005E317F" w:rsidRPr="008B1975" w:rsidRDefault="006D7F22" w:rsidP="005E317F">
      <w:pPr>
        <w:keepNext/>
        <w:tabs>
          <w:tab w:val="left" w:pos="3402"/>
        </w:tabs>
        <w:spacing w:before="1440" w:line="300" w:lineRule="atLeast"/>
        <w:ind w:right="397"/>
        <w:rPr>
          <w:b/>
          <w:szCs w:val="22"/>
        </w:rPr>
      </w:pPr>
      <w:r>
        <w:rPr>
          <w:szCs w:val="22"/>
        </w:rPr>
        <w:t>Michelle Rowland</w:t>
      </w:r>
      <w:r w:rsidR="005E317F" w:rsidRPr="008B1975">
        <w:rPr>
          <w:szCs w:val="22"/>
        </w:rPr>
        <w:t xml:space="preserve"> </w:t>
      </w:r>
      <w:r w:rsidR="005E317F" w:rsidRPr="008B1975">
        <w:rPr>
          <w:b/>
          <w:szCs w:val="22"/>
        </w:rPr>
        <w:t>DRAFT ONLY—NOT FOR SIGNATURE</w:t>
      </w:r>
    </w:p>
    <w:p w14:paraId="1952EA49" w14:textId="77777777" w:rsidR="005E317F" w:rsidRPr="008B1975" w:rsidRDefault="00F701A7" w:rsidP="005E317F">
      <w:pPr>
        <w:pStyle w:val="SignCoverPageEnd"/>
        <w:ind w:right="91"/>
        <w:rPr>
          <w:sz w:val="22"/>
        </w:rPr>
      </w:pPr>
      <w:r w:rsidRPr="008B1975">
        <w:rPr>
          <w:sz w:val="22"/>
        </w:rPr>
        <w:t>Attorney-General</w:t>
      </w:r>
    </w:p>
    <w:p w14:paraId="1CF2B116" w14:textId="77777777" w:rsidR="00B20990" w:rsidRPr="008B1975" w:rsidRDefault="00B20990" w:rsidP="00B20990"/>
    <w:p w14:paraId="2580662C" w14:textId="77777777" w:rsidR="00B20990" w:rsidRPr="008B1975" w:rsidRDefault="00B20990" w:rsidP="00B20990">
      <w:pPr>
        <w:sectPr w:rsidR="00B20990" w:rsidRPr="008B1975"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49DC5CE8" w14:textId="77777777" w:rsidR="00B20990" w:rsidRPr="008B1975" w:rsidRDefault="00B20990" w:rsidP="005C3CBC">
      <w:pPr>
        <w:rPr>
          <w:sz w:val="36"/>
        </w:rPr>
      </w:pPr>
      <w:r w:rsidRPr="008B1975">
        <w:rPr>
          <w:sz w:val="36"/>
        </w:rPr>
        <w:lastRenderedPageBreak/>
        <w:t>Contents</w:t>
      </w:r>
    </w:p>
    <w:bookmarkStart w:id="1" w:name="BKCheck15B_2"/>
    <w:bookmarkEnd w:id="1"/>
    <w:p w14:paraId="7A77749B" w14:textId="7694ABD9" w:rsidR="00DE6D8A" w:rsidRPr="008B1975" w:rsidRDefault="00F2317B">
      <w:pPr>
        <w:pStyle w:val="TOC5"/>
        <w:rPr>
          <w:rFonts w:asciiTheme="minorHAnsi" w:eastAsiaTheme="minorEastAsia" w:hAnsiTheme="minorHAnsi" w:cstheme="minorBidi"/>
          <w:noProof/>
          <w:kern w:val="0"/>
          <w:sz w:val="22"/>
          <w:szCs w:val="22"/>
        </w:rPr>
      </w:pPr>
      <w:r w:rsidRPr="008B1975">
        <w:fldChar w:fldCharType="begin"/>
      </w:r>
      <w:r w:rsidRPr="008B1975">
        <w:instrText xml:space="preserve"> TOC \o \u </w:instrText>
      </w:r>
      <w:r w:rsidRPr="008B1975">
        <w:fldChar w:fldCharType="separate"/>
      </w:r>
      <w:r w:rsidR="00DE6D8A" w:rsidRPr="008B1975">
        <w:rPr>
          <w:noProof/>
        </w:rPr>
        <w:t>1  Name</w:t>
      </w:r>
      <w:r w:rsidR="00DE6D8A" w:rsidRPr="008B1975">
        <w:rPr>
          <w:noProof/>
        </w:rPr>
        <w:tab/>
      </w:r>
      <w:r w:rsidR="00DE6D8A" w:rsidRPr="008B1975">
        <w:rPr>
          <w:noProof/>
        </w:rPr>
        <w:fldChar w:fldCharType="begin"/>
      </w:r>
      <w:r w:rsidR="00DE6D8A" w:rsidRPr="008B1975">
        <w:rPr>
          <w:noProof/>
        </w:rPr>
        <w:instrText xml:space="preserve"> PAGEREF _Toc197178926 \h </w:instrText>
      </w:r>
      <w:r w:rsidR="00DE6D8A" w:rsidRPr="008B1975">
        <w:rPr>
          <w:noProof/>
        </w:rPr>
      </w:r>
      <w:r w:rsidR="00DE6D8A" w:rsidRPr="008B1975">
        <w:rPr>
          <w:noProof/>
        </w:rPr>
        <w:fldChar w:fldCharType="separate"/>
      </w:r>
      <w:r w:rsidR="00805295">
        <w:rPr>
          <w:noProof/>
        </w:rPr>
        <w:t>1</w:t>
      </w:r>
      <w:r w:rsidR="00DE6D8A" w:rsidRPr="008B1975">
        <w:rPr>
          <w:noProof/>
        </w:rPr>
        <w:fldChar w:fldCharType="end"/>
      </w:r>
    </w:p>
    <w:p w14:paraId="53C161BB" w14:textId="2FA7AF80" w:rsidR="00DE6D8A" w:rsidRPr="008B1975" w:rsidRDefault="00DE6D8A">
      <w:pPr>
        <w:pStyle w:val="TOC5"/>
        <w:rPr>
          <w:rFonts w:asciiTheme="minorHAnsi" w:eastAsiaTheme="minorEastAsia" w:hAnsiTheme="minorHAnsi" w:cstheme="minorBidi"/>
          <w:noProof/>
          <w:kern w:val="0"/>
          <w:sz w:val="22"/>
          <w:szCs w:val="22"/>
        </w:rPr>
      </w:pPr>
      <w:r w:rsidRPr="008B1975">
        <w:rPr>
          <w:noProof/>
        </w:rPr>
        <w:t>2  Commencement</w:t>
      </w:r>
      <w:r w:rsidRPr="008B1975">
        <w:rPr>
          <w:noProof/>
        </w:rPr>
        <w:tab/>
      </w:r>
      <w:r w:rsidRPr="008B1975">
        <w:rPr>
          <w:noProof/>
        </w:rPr>
        <w:fldChar w:fldCharType="begin"/>
      </w:r>
      <w:r w:rsidRPr="008B1975">
        <w:rPr>
          <w:noProof/>
        </w:rPr>
        <w:instrText xml:space="preserve"> PAGEREF _Toc197178927 \h </w:instrText>
      </w:r>
      <w:r w:rsidRPr="008B1975">
        <w:rPr>
          <w:noProof/>
        </w:rPr>
      </w:r>
      <w:r w:rsidRPr="008B1975">
        <w:rPr>
          <w:noProof/>
        </w:rPr>
        <w:fldChar w:fldCharType="separate"/>
      </w:r>
      <w:r w:rsidR="00805295">
        <w:rPr>
          <w:noProof/>
        </w:rPr>
        <w:t>1</w:t>
      </w:r>
      <w:r w:rsidRPr="008B1975">
        <w:rPr>
          <w:noProof/>
        </w:rPr>
        <w:fldChar w:fldCharType="end"/>
      </w:r>
    </w:p>
    <w:p w14:paraId="3CCF33DA" w14:textId="7AA379FF" w:rsidR="00DE6D8A" w:rsidRPr="008B1975" w:rsidRDefault="00DE6D8A">
      <w:pPr>
        <w:pStyle w:val="TOC5"/>
        <w:rPr>
          <w:rFonts w:asciiTheme="minorHAnsi" w:eastAsiaTheme="minorEastAsia" w:hAnsiTheme="minorHAnsi" w:cstheme="minorBidi"/>
          <w:noProof/>
          <w:kern w:val="0"/>
          <w:sz w:val="22"/>
          <w:szCs w:val="22"/>
        </w:rPr>
      </w:pPr>
      <w:r w:rsidRPr="008B1975">
        <w:rPr>
          <w:noProof/>
        </w:rPr>
        <w:t>3  Authority</w:t>
      </w:r>
      <w:r w:rsidRPr="008B1975">
        <w:rPr>
          <w:noProof/>
        </w:rPr>
        <w:tab/>
      </w:r>
      <w:r w:rsidRPr="008B1975">
        <w:rPr>
          <w:noProof/>
        </w:rPr>
        <w:fldChar w:fldCharType="begin"/>
      </w:r>
      <w:r w:rsidRPr="008B1975">
        <w:rPr>
          <w:noProof/>
        </w:rPr>
        <w:instrText xml:space="preserve"> PAGEREF _Toc197178928 \h </w:instrText>
      </w:r>
      <w:r w:rsidRPr="008B1975">
        <w:rPr>
          <w:noProof/>
        </w:rPr>
      </w:r>
      <w:r w:rsidRPr="008B1975">
        <w:rPr>
          <w:noProof/>
        </w:rPr>
        <w:fldChar w:fldCharType="separate"/>
      </w:r>
      <w:r w:rsidR="00805295">
        <w:rPr>
          <w:noProof/>
        </w:rPr>
        <w:t>1</w:t>
      </w:r>
      <w:r w:rsidRPr="008B1975">
        <w:rPr>
          <w:noProof/>
        </w:rPr>
        <w:fldChar w:fldCharType="end"/>
      </w:r>
    </w:p>
    <w:p w14:paraId="740501C4" w14:textId="5655A17A" w:rsidR="00DE6D8A" w:rsidRPr="008B1975" w:rsidRDefault="00DE6D8A">
      <w:pPr>
        <w:pStyle w:val="TOC5"/>
        <w:rPr>
          <w:rFonts w:asciiTheme="minorHAnsi" w:eastAsiaTheme="minorEastAsia" w:hAnsiTheme="minorHAnsi" w:cstheme="minorBidi"/>
          <w:noProof/>
          <w:kern w:val="0"/>
          <w:sz w:val="22"/>
          <w:szCs w:val="22"/>
        </w:rPr>
      </w:pPr>
      <w:r w:rsidRPr="008B1975">
        <w:rPr>
          <w:noProof/>
        </w:rPr>
        <w:t>4  Schedules</w:t>
      </w:r>
      <w:r w:rsidRPr="008B1975">
        <w:rPr>
          <w:noProof/>
        </w:rPr>
        <w:tab/>
      </w:r>
      <w:r w:rsidRPr="008B1975">
        <w:rPr>
          <w:noProof/>
        </w:rPr>
        <w:fldChar w:fldCharType="begin"/>
      </w:r>
      <w:r w:rsidRPr="008B1975">
        <w:rPr>
          <w:noProof/>
        </w:rPr>
        <w:instrText xml:space="preserve"> PAGEREF _Toc197178929 \h </w:instrText>
      </w:r>
      <w:r w:rsidRPr="008B1975">
        <w:rPr>
          <w:noProof/>
        </w:rPr>
      </w:r>
      <w:r w:rsidRPr="008B1975">
        <w:rPr>
          <w:noProof/>
        </w:rPr>
        <w:fldChar w:fldCharType="separate"/>
      </w:r>
      <w:r w:rsidR="00805295">
        <w:rPr>
          <w:noProof/>
        </w:rPr>
        <w:t>1</w:t>
      </w:r>
      <w:r w:rsidRPr="008B1975">
        <w:rPr>
          <w:noProof/>
        </w:rPr>
        <w:fldChar w:fldCharType="end"/>
      </w:r>
    </w:p>
    <w:p w14:paraId="7F21B8A8" w14:textId="377217F1"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1—Part 1 (Preliminary) Amendments</w:t>
      </w:r>
      <w:r w:rsidRPr="008B1975">
        <w:rPr>
          <w:noProof/>
        </w:rPr>
        <w:tab/>
      </w:r>
      <w:r w:rsidRPr="008B1975">
        <w:rPr>
          <w:noProof/>
        </w:rPr>
        <w:fldChar w:fldCharType="begin"/>
      </w:r>
      <w:r w:rsidRPr="008B1975">
        <w:rPr>
          <w:noProof/>
        </w:rPr>
        <w:instrText xml:space="preserve"> PAGEREF _Toc197178930 \h </w:instrText>
      </w:r>
      <w:r w:rsidRPr="008B1975">
        <w:rPr>
          <w:noProof/>
        </w:rPr>
      </w:r>
      <w:r w:rsidRPr="008B1975">
        <w:rPr>
          <w:noProof/>
        </w:rPr>
        <w:fldChar w:fldCharType="separate"/>
      </w:r>
      <w:r w:rsidR="00805295">
        <w:rPr>
          <w:noProof/>
        </w:rPr>
        <w:t>2</w:t>
      </w:r>
      <w:r w:rsidRPr="008B1975">
        <w:rPr>
          <w:noProof/>
        </w:rPr>
        <w:fldChar w:fldCharType="end"/>
      </w:r>
    </w:p>
    <w:p w14:paraId="4BB5F9FE" w14:textId="2D74D41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_Toc197178931 \h </w:instrText>
      </w:r>
      <w:r w:rsidRPr="008B1975">
        <w:rPr>
          <w:noProof/>
        </w:rPr>
      </w:r>
      <w:r w:rsidRPr="008B1975">
        <w:rPr>
          <w:noProof/>
        </w:rPr>
        <w:fldChar w:fldCharType="separate"/>
      </w:r>
      <w:r w:rsidR="00805295">
        <w:rPr>
          <w:noProof/>
        </w:rPr>
        <w:t>2</w:t>
      </w:r>
      <w:r w:rsidRPr="008B1975">
        <w:rPr>
          <w:noProof/>
        </w:rPr>
        <w:fldChar w:fldCharType="end"/>
      </w:r>
    </w:p>
    <w:p w14:paraId="1F4473F2" w14:textId="252B5DA3"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2—Part 2 (Access paths) Amendments</w:t>
      </w:r>
      <w:r w:rsidRPr="008B1975">
        <w:rPr>
          <w:noProof/>
        </w:rPr>
        <w:tab/>
      </w:r>
      <w:r w:rsidRPr="008B1975">
        <w:rPr>
          <w:noProof/>
        </w:rPr>
        <w:fldChar w:fldCharType="begin"/>
      </w:r>
      <w:r w:rsidRPr="008B1975">
        <w:rPr>
          <w:noProof/>
        </w:rPr>
        <w:instrText xml:space="preserve"> PAGEREF _Toc197178932 \h </w:instrText>
      </w:r>
      <w:r w:rsidRPr="008B1975">
        <w:rPr>
          <w:noProof/>
        </w:rPr>
      </w:r>
      <w:r w:rsidRPr="008B1975">
        <w:rPr>
          <w:noProof/>
        </w:rPr>
        <w:fldChar w:fldCharType="separate"/>
      </w:r>
      <w:r w:rsidR="00805295">
        <w:rPr>
          <w:noProof/>
        </w:rPr>
        <w:t>6</w:t>
      </w:r>
      <w:r w:rsidRPr="008B1975">
        <w:rPr>
          <w:noProof/>
        </w:rPr>
        <w:fldChar w:fldCharType="end"/>
      </w:r>
    </w:p>
    <w:p w14:paraId="2020C942" w14:textId="152C4285"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_Toc197178933 \h </w:instrText>
      </w:r>
      <w:r w:rsidRPr="008B1975">
        <w:rPr>
          <w:noProof/>
        </w:rPr>
      </w:r>
      <w:r w:rsidRPr="008B1975">
        <w:rPr>
          <w:noProof/>
        </w:rPr>
        <w:fldChar w:fldCharType="separate"/>
      </w:r>
      <w:r w:rsidR="00805295">
        <w:rPr>
          <w:noProof/>
        </w:rPr>
        <w:t>6</w:t>
      </w:r>
      <w:r w:rsidRPr="008B1975">
        <w:rPr>
          <w:noProof/>
        </w:rPr>
        <w:fldChar w:fldCharType="end"/>
      </w:r>
    </w:p>
    <w:p w14:paraId="24D5A140" w14:textId="5AE3AFB5"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3—Part 3 (Manoeuvring areas) Amendments</w:t>
      </w:r>
      <w:r w:rsidRPr="008B1975">
        <w:rPr>
          <w:noProof/>
        </w:rPr>
        <w:tab/>
      </w:r>
      <w:r w:rsidRPr="008B1975">
        <w:rPr>
          <w:noProof/>
        </w:rPr>
        <w:fldChar w:fldCharType="begin"/>
      </w:r>
      <w:r w:rsidRPr="008B1975">
        <w:rPr>
          <w:noProof/>
        </w:rPr>
        <w:instrText xml:space="preserve"> PAGEREF _Toc197178934 \h </w:instrText>
      </w:r>
      <w:r w:rsidRPr="008B1975">
        <w:rPr>
          <w:noProof/>
        </w:rPr>
      </w:r>
      <w:r w:rsidRPr="008B1975">
        <w:rPr>
          <w:noProof/>
        </w:rPr>
        <w:fldChar w:fldCharType="separate"/>
      </w:r>
      <w:r w:rsidR="00805295">
        <w:rPr>
          <w:noProof/>
        </w:rPr>
        <w:t>10</w:t>
      </w:r>
      <w:r w:rsidRPr="008B1975">
        <w:rPr>
          <w:noProof/>
        </w:rPr>
        <w:fldChar w:fldCharType="end"/>
      </w:r>
    </w:p>
    <w:p w14:paraId="3297D789" w14:textId="6E656B94"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_Toc197178935 \h </w:instrText>
      </w:r>
      <w:r w:rsidRPr="008B1975">
        <w:rPr>
          <w:noProof/>
        </w:rPr>
      </w:r>
      <w:r w:rsidRPr="008B1975">
        <w:rPr>
          <w:noProof/>
        </w:rPr>
        <w:fldChar w:fldCharType="separate"/>
      </w:r>
      <w:r w:rsidR="00805295">
        <w:rPr>
          <w:noProof/>
        </w:rPr>
        <w:t>10</w:t>
      </w:r>
      <w:r w:rsidRPr="008B1975">
        <w:rPr>
          <w:noProof/>
        </w:rPr>
        <w:fldChar w:fldCharType="end"/>
      </w:r>
    </w:p>
    <w:p w14:paraId="063480F5" w14:textId="0E0308FD"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4—Part 4 (Passing areas) Amendments</w:t>
      </w:r>
      <w:r w:rsidRPr="008B1975">
        <w:rPr>
          <w:noProof/>
        </w:rPr>
        <w:tab/>
      </w:r>
      <w:r w:rsidRPr="008B1975">
        <w:rPr>
          <w:noProof/>
        </w:rPr>
        <w:fldChar w:fldCharType="begin"/>
      </w:r>
      <w:r w:rsidRPr="008B1975">
        <w:rPr>
          <w:noProof/>
        </w:rPr>
        <w:instrText xml:space="preserve"> PAGEREF _Toc197178936 \h </w:instrText>
      </w:r>
      <w:r w:rsidRPr="008B1975">
        <w:rPr>
          <w:noProof/>
        </w:rPr>
      </w:r>
      <w:r w:rsidRPr="008B1975">
        <w:rPr>
          <w:noProof/>
        </w:rPr>
        <w:fldChar w:fldCharType="separate"/>
      </w:r>
      <w:r w:rsidR="00805295">
        <w:rPr>
          <w:noProof/>
        </w:rPr>
        <w:t>12</w:t>
      </w:r>
      <w:r w:rsidRPr="008B1975">
        <w:rPr>
          <w:noProof/>
        </w:rPr>
        <w:fldChar w:fldCharType="end"/>
      </w:r>
    </w:p>
    <w:p w14:paraId="2743F6D8" w14:textId="35079949"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_Toc197178937 \h </w:instrText>
      </w:r>
      <w:r w:rsidRPr="008B1975">
        <w:rPr>
          <w:noProof/>
        </w:rPr>
      </w:r>
      <w:r w:rsidRPr="008B1975">
        <w:rPr>
          <w:noProof/>
        </w:rPr>
        <w:fldChar w:fldCharType="separate"/>
      </w:r>
      <w:r w:rsidR="00805295">
        <w:rPr>
          <w:noProof/>
        </w:rPr>
        <w:t>12</w:t>
      </w:r>
      <w:r w:rsidRPr="008B1975">
        <w:rPr>
          <w:noProof/>
        </w:rPr>
        <w:fldChar w:fldCharType="end"/>
      </w:r>
    </w:p>
    <w:p w14:paraId="75618D04" w14:textId="5DEC9D85"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5—Part 5 (Resting points) Amendments</w:t>
      </w:r>
      <w:r w:rsidRPr="008B1975">
        <w:rPr>
          <w:noProof/>
        </w:rPr>
        <w:tab/>
      </w:r>
      <w:r w:rsidRPr="008B1975">
        <w:rPr>
          <w:noProof/>
        </w:rPr>
        <w:fldChar w:fldCharType="begin"/>
      </w:r>
      <w:r w:rsidRPr="008B1975">
        <w:rPr>
          <w:noProof/>
        </w:rPr>
        <w:instrText xml:space="preserve"> PAGEREF _Toc197178938 \h </w:instrText>
      </w:r>
      <w:r w:rsidRPr="008B1975">
        <w:rPr>
          <w:noProof/>
        </w:rPr>
      </w:r>
      <w:r w:rsidRPr="008B1975">
        <w:rPr>
          <w:noProof/>
        </w:rPr>
        <w:fldChar w:fldCharType="separate"/>
      </w:r>
      <w:r w:rsidR="00805295">
        <w:rPr>
          <w:noProof/>
        </w:rPr>
        <w:t>13</w:t>
      </w:r>
      <w:r w:rsidRPr="008B1975">
        <w:rPr>
          <w:noProof/>
        </w:rPr>
        <w:fldChar w:fldCharType="end"/>
      </w:r>
    </w:p>
    <w:p w14:paraId="3A6BB668" w14:textId="65E5B6FE"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_Toc197178939 \h </w:instrText>
      </w:r>
      <w:r w:rsidRPr="008B1975">
        <w:rPr>
          <w:noProof/>
        </w:rPr>
      </w:r>
      <w:r w:rsidRPr="008B1975">
        <w:rPr>
          <w:noProof/>
        </w:rPr>
        <w:fldChar w:fldCharType="separate"/>
      </w:r>
      <w:r w:rsidR="00805295">
        <w:rPr>
          <w:noProof/>
        </w:rPr>
        <w:t>13</w:t>
      </w:r>
      <w:r w:rsidRPr="008B1975">
        <w:rPr>
          <w:noProof/>
        </w:rPr>
        <w:fldChar w:fldCharType="end"/>
      </w:r>
    </w:p>
    <w:p w14:paraId="5141999C" w14:textId="72CE9B1D"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6—Part 6 (Ramps) Amendments</w:t>
      </w:r>
      <w:r w:rsidRPr="008B1975">
        <w:rPr>
          <w:noProof/>
        </w:rPr>
        <w:tab/>
      </w:r>
      <w:r w:rsidRPr="008B1975">
        <w:rPr>
          <w:noProof/>
        </w:rPr>
        <w:fldChar w:fldCharType="begin"/>
      </w:r>
      <w:r w:rsidRPr="008B1975">
        <w:rPr>
          <w:noProof/>
        </w:rPr>
        <w:instrText xml:space="preserve"> PAGEREF _Toc197178940 \h </w:instrText>
      </w:r>
      <w:r w:rsidRPr="008B1975">
        <w:rPr>
          <w:noProof/>
        </w:rPr>
      </w:r>
      <w:r w:rsidRPr="008B1975">
        <w:rPr>
          <w:noProof/>
        </w:rPr>
        <w:fldChar w:fldCharType="separate"/>
      </w:r>
      <w:r w:rsidR="00805295">
        <w:rPr>
          <w:noProof/>
        </w:rPr>
        <w:t>14</w:t>
      </w:r>
      <w:r w:rsidRPr="008B1975">
        <w:rPr>
          <w:noProof/>
        </w:rPr>
        <w:fldChar w:fldCharType="end"/>
      </w:r>
    </w:p>
    <w:p w14:paraId="5CAEC9BD" w14:textId="50BA829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_Toc197178941 \h </w:instrText>
      </w:r>
      <w:r w:rsidRPr="008B1975">
        <w:rPr>
          <w:noProof/>
        </w:rPr>
      </w:r>
      <w:r w:rsidRPr="008B1975">
        <w:rPr>
          <w:noProof/>
        </w:rPr>
        <w:fldChar w:fldCharType="separate"/>
      </w:r>
      <w:r w:rsidR="00805295">
        <w:rPr>
          <w:noProof/>
        </w:rPr>
        <w:t>14</w:t>
      </w:r>
      <w:r w:rsidRPr="008B1975">
        <w:rPr>
          <w:noProof/>
        </w:rPr>
        <w:fldChar w:fldCharType="end"/>
      </w:r>
    </w:p>
    <w:p w14:paraId="387E5038" w14:textId="79E563C1"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7—Part 7 (Waiting areas) Amendments</w:t>
      </w:r>
      <w:r w:rsidRPr="008B1975">
        <w:rPr>
          <w:noProof/>
        </w:rPr>
        <w:tab/>
      </w:r>
      <w:r w:rsidRPr="008B1975">
        <w:rPr>
          <w:noProof/>
        </w:rPr>
        <w:fldChar w:fldCharType="begin"/>
      </w:r>
      <w:r w:rsidRPr="008B1975">
        <w:rPr>
          <w:noProof/>
        </w:rPr>
        <w:instrText xml:space="preserve"> PAGEREF _Toc197178942 \h </w:instrText>
      </w:r>
      <w:r w:rsidRPr="008B1975">
        <w:rPr>
          <w:noProof/>
        </w:rPr>
      </w:r>
      <w:r w:rsidRPr="008B1975">
        <w:rPr>
          <w:noProof/>
        </w:rPr>
        <w:fldChar w:fldCharType="separate"/>
      </w:r>
      <w:r w:rsidR="00805295">
        <w:rPr>
          <w:noProof/>
        </w:rPr>
        <w:t>15</w:t>
      </w:r>
      <w:r w:rsidRPr="008B1975">
        <w:rPr>
          <w:noProof/>
        </w:rPr>
        <w:fldChar w:fldCharType="end"/>
      </w:r>
    </w:p>
    <w:p w14:paraId="60D85826" w14:textId="1DE6B3AD"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_Toc197178943 \h </w:instrText>
      </w:r>
      <w:r w:rsidRPr="008B1975">
        <w:rPr>
          <w:noProof/>
        </w:rPr>
      </w:r>
      <w:r w:rsidRPr="008B1975">
        <w:rPr>
          <w:noProof/>
        </w:rPr>
        <w:fldChar w:fldCharType="separate"/>
      </w:r>
      <w:r w:rsidR="00805295">
        <w:rPr>
          <w:noProof/>
        </w:rPr>
        <w:t>15</w:t>
      </w:r>
      <w:r w:rsidRPr="008B1975">
        <w:rPr>
          <w:noProof/>
        </w:rPr>
        <w:fldChar w:fldCharType="end"/>
      </w:r>
    </w:p>
    <w:p w14:paraId="66BA818B" w14:textId="0F7B1230"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8—Part 8 (Boarding) Amendments</w:t>
      </w:r>
      <w:r w:rsidRPr="008B1975">
        <w:rPr>
          <w:noProof/>
        </w:rPr>
        <w:tab/>
      </w:r>
      <w:r w:rsidRPr="008B1975">
        <w:rPr>
          <w:noProof/>
        </w:rPr>
        <w:fldChar w:fldCharType="begin"/>
      </w:r>
      <w:r w:rsidRPr="008B1975">
        <w:rPr>
          <w:noProof/>
        </w:rPr>
        <w:instrText xml:space="preserve"> PAGEREF _Toc197178944 \h </w:instrText>
      </w:r>
      <w:r w:rsidRPr="008B1975">
        <w:rPr>
          <w:noProof/>
        </w:rPr>
      </w:r>
      <w:r w:rsidRPr="008B1975">
        <w:rPr>
          <w:noProof/>
        </w:rPr>
        <w:fldChar w:fldCharType="separate"/>
      </w:r>
      <w:r w:rsidR="00805295">
        <w:rPr>
          <w:noProof/>
        </w:rPr>
        <w:t>16</w:t>
      </w:r>
      <w:r w:rsidRPr="008B1975">
        <w:rPr>
          <w:noProof/>
        </w:rPr>
        <w:fldChar w:fldCharType="end"/>
      </w:r>
    </w:p>
    <w:p w14:paraId="1C08A63D" w14:textId="565DE1FD"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_Toc197178945 \h </w:instrText>
      </w:r>
      <w:r w:rsidRPr="008B1975">
        <w:rPr>
          <w:noProof/>
        </w:rPr>
      </w:r>
      <w:r w:rsidRPr="008B1975">
        <w:rPr>
          <w:noProof/>
        </w:rPr>
        <w:fldChar w:fldCharType="separate"/>
      </w:r>
      <w:r w:rsidR="00805295">
        <w:rPr>
          <w:noProof/>
        </w:rPr>
        <w:t>16</w:t>
      </w:r>
      <w:r w:rsidRPr="008B1975">
        <w:rPr>
          <w:noProof/>
        </w:rPr>
        <w:fldChar w:fldCharType="end"/>
      </w:r>
    </w:p>
    <w:p w14:paraId="12DE257D" w14:textId="078C6751"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9—Part 9 (Allocated space) Amendments</w:t>
      </w:r>
      <w:r w:rsidRPr="008B1975">
        <w:rPr>
          <w:noProof/>
        </w:rPr>
        <w:tab/>
      </w:r>
      <w:r w:rsidRPr="008B1975">
        <w:rPr>
          <w:noProof/>
        </w:rPr>
        <w:fldChar w:fldCharType="begin"/>
      </w:r>
      <w:r w:rsidRPr="008B1975">
        <w:rPr>
          <w:noProof/>
        </w:rPr>
        <w:instrText xml:space="preserve"> PAGEREF _Toc197178946 \h </w:instrText>
      </w:r>
      <w:r w:rsidRPr="008B1975">
        <w:rPr>
          <w:noProof/>
        </w:rPr>
      </w:r>
      <w:r w:rsidRPr="008B1975">
        <w:rPr>
          <w:noProof/>
        </w:rPr>
        <w:fldChar w:fldCharType="separate"/>
      </w:r>
      <w:r w:rsidR="00805295">
        <w:rPr>
          <w:noProof/>
        </w:rPr>
        <w:t>28</w:t>
      </w:r>
      <w:r w:rsidRPr="008B1975">
        <w:rPr>
          <w:noProof/>
        </w:rPr>
        <w:fldChar w:fldCharType="end"/>
      </w:r>
    </w:p>
    <w:p w14:paraId="6F50F025" w14:textId="11694AC8"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_Toc197178947 \h </w:instrText>
      </w:r>
      <w:r w:rsidRPr="008B1975">
        <w:rPr>
          <w:noProof/>
        </w:rPr>
      </w:r>
      <w:r w:rsidRPr="008B1975">
        <w:rPr>
          <w:noProof/>
        </w:rPr>
        <w:fldChar w:fldCharType="separate"/>
      </w:r>
      <w:r w:rsidR="00805295">
        <w:rPr>
          <w:noProof/>
        </w:rPr>
        <w:t>28</w:t>
      </w:r>
      <w:r w:rsidRPr="008B1975">
        <w:rPr>
          <w:noProof/>
        </w:rPr>
        <w:fldChar w:fldCharType="end"/>
      </w:r>
    </w:p>
    <w:p w14:paraId="0F199D14" w14:textId="6F305FF3"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10—Part 10 (Surfaces) Amendments</w:t>
      </w:r>
      <w:r w:rsidRPr="008B1975">
        <w:rPr>
          <w:noProof/>
        </w:rPr>
        <w:tab/>
      </w:r>
      <w:r w:rsidRPr="008B1975">
        <w:rPr>
          <w:noProof/>
        </w:rPr>
        <w:fldChar w:fldCharType="begin"/>
      </w:r>
      <w:r w:rsidRPr="008B1975">
        <w:rPr>
          <w:noProof/>
        </w:rPr>
        <w:instrText xml:space="preserve"> PAGEREF _Toc197178948 \h </w:instrText>
      </w:r>
      <w:r w:rsidRPr="008B1975">
        <w:rPr>
          <w:noProof/>
        </w:rPr>
      </w:r>
      <w:r w:rsidRPr="008B1975">
        <w:rPr>
          <w:noProof/>
        </w:rPr>
        <w:fldChar w:fldCharType="separate"/>
      </w:r>
      <w:r w:rsidR="00805295">
        <w:rPr>
          <w:noProof/>
        </w:rPr>
        <w:t>34</w:t>
      </w:r>
      <w:r w:rsidRPr="008B1975">
        <w:rPr>
          <w:noProof/>
        </w:rPr>
        <w:fldChar w:fldCharType="end"/>
      </w:r>
    </w:p>
    <w:p w14:paraId="64ABAF74" w14:textId="322C44A0"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_Toc197178949 \h </w:instrText>
      </w:r>
      <w:r w:rsidRPr="008B1975">
        <w:rPr>
          <w:noProof/>
        </w:rPr>
      </w:r>
      <w:r w:rsidRPr="008B1975">
        <w:rPr>
          <w:noProof/>
        </w:rPr>
        <w:fldChar w:fldCharType="separate"/>
      </w:r>
      <w:r w:rsidR="00805295">
        <w:rPr>
          <w:noProof/>
        </w:rPr>
        <w:t>34</w:t>
      </w:r>
      <w:r w:rsidRPr="008B1975">
        <w:rPr>
          <w:noProof/>
        </w:rPr>
        <w:fldChar w:fldCharType="end"/>
      </w:r>
    </w:p>
    <w:p w14:paraId="2976CEE8" w14:textId="3E21BD2B"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11—Part 11 (Handrails and grabrails) Amendments</w:t>
      </w:r>
      <w:r w:rsidRPr="008B1975">
        <w:rPr>
          <w:noProof/>
        </w:rPr>
        <w:tab/>
      </w:r>
      <w:r w:rsidRPr="008B1975">
        <w:rPr>
          <w:noProof/>
        </w:rPr>
        <w:fldChar w:fldCharType="begin"/>
      </w:r>
      <w:r w:rsidRPr="008B1975">
        <w:rPr>
          <w:noProof/>
        </w:rPr>
        <w:instrText xml:space="preserve"> PAGEREF _Toc197178950 \h </w:instrText>
      </w:r>
      <w:r w:rsidRPr="008B1975">
        <w:rPr>
          <w:noProof/>
        </w:rPr>
      </w:r>
      <w:r w:rsidRPr="008B1975">
        <w:rPr>
          <w:noProof/>
        </w:rPr>
        <w:fldChar w:fldCharType="separate"/>
      </w:r>
      <w:r w:rsidR="00805295">
        <w:rPr>
          <w:noProof/>
        </w:rPr>
        <w:t>36</w:t>
      </w:r>
      <w:r w:rsidRPr="008B1975">
        <w:rPr>
          <w:noProof/>
        </w:rPr>
        <w:fldChar w:fldCharType="end"/>
      </w:r>
    </w:p>
    <w:p w14:paraId="4DEC64FC" w14:textId="0406B07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_Toc197178951 \h </w:instrText>
      </w:r>
      <w:r w:rsidRPr="008B1975">
        <w:rPr>
          <w:noProof/>
        </w:rPr>
      </w:r>
      <w:r w:rsidRPr="008B1975">
        <w:rPr>
          <w:noProof/>
        </w:rPr>
        <w:fldChar w:fldCharType="separate"/>
      </w:r>
      <w:r w:rsidR="00805295">
        <w:rPr>
          <w:noProof/>
        </w:rPr>
        <w:t>36</w:t>
      </w:r>
      <w:r w:rsidRPr="008B1975">
        <w:rPr>
          <w:noProof/>
        </w:rPr>
        <w:fldChar w:fldCharType="end"/>
      </w:r>
    </w:p>
    <w:p w14:paraId="00EAF510" w14:textId="168EC156"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12—Part 12 (Doorways and doors) Amendments</w:t>
      </w:r>
      <w:r w:rsidRPr="008B1975">
        <w:rPr>
          <w:noProof/>
        </w:rPr>
        <w:tab/>
      </w:r>
      <w:r w:rsidRPr="008B1975">
        <w:rPr>
          <w:noProof/>
        </w:rPr>
        <w:fldChar w:fldCharType="begin"/>
      </w:r>
      <w:r w:rsidRPr="008B1975">
        <w:rPr>
          <w:noProof/>
        </w:rPr>
        <w:instrText xml:space="preserve"> PAGEREF _Toc197178952 \h </w:instrText>
      </w:r>
      <w:r w:rsidRPr="008B1975">
        <w:rPr>
          <w:noProof/>
        </w:rPr>
      </w:r>
      <w:r w:rsidRPr="008B1975">
        <w:rPr>
          <w:noProof/>
        </w:rPr>
        <w:fldChar w:fldCharType="separate"/>
      </w:r>
      <w:r w:rsidR="00805295">
        <w:rPr>
          <w:noProof/>
        </w:rPr>
        <w:t>42</w:t>
      </w:r>
      <w:r w:rsidRPr="008B1975">
        <w:rPr>
          <w:noProof/>
        </w:rPr>
        <w:fldChar w:fldCharType="end"/>
      </w:r>
    </w:p>
    <w:p w14:paraId="50C80E4D" w14:textId="5B9D70BE"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_Toc197178953 \h </w:instrText>
      </w:r>
      <w:r w:rsidRPr="008B1975">
        <w:rPr>
          <w:noProof/>
        </w:rPr>
      </w:r>
      <w:r w:rsidRPr="008B1975">
        <w:rPr>
          <w:noProof/>
        </w:rPr>
        <w:fldChar w:fldCharType="separate"/>
      </w:r>
      <w:r w:rsidR="00805295">
        <w:rPr>
          <w:noProof/>
        </w:rPr>
        <w:t>42</w:t>
      </w:r>
      <w:r w:rsidRPr="008B1975">
        <w:rPr>
          <w:noProof/>
        </w:rPr>
        <w:fldChar w:fldCharType="end"/>
      </w:r>
    </w:p>
    <w:p w14:paraId="25D96F40" w14:textId="59FF3809"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13—Part 13 (Lifts) Amendments</w:t>
      </w:r>
      <w:r w:rsidRPr="008B1975">
        <w:rPr>
          <w:noProof/>
        </w:rPr>
        <w:tab/>
      </w:r>
      <w:r w:rsidRPr="008B1975">
        <w:rPr>
          <w:noProof/>
        </w:rPr>
        <w:fldChar w:fldCharType="begin"/>
      </w:r>
      <w:r w:rsidRPr="008B1975">
        <w:rPr>
          <w:noProof/>
        </w:rPr>
        <w:instrText xml:space="preserve"> PAGEREF _Toc197178954 \h </w:instrText>
      </w:r>
      <w:r w:rsidRPr="008B1975">
        <w:rPr>
          <w:noProof/>
        </w:rPr>
      </w:r>
      <w:r w:rsidRPr="008B1975">
        <w:rPr>
          <w:noProof/>
        </w:rPr>
        <w:fldChar w:fldCharType="separate"/>
      </w:r>
      <w:r w:rsidR="00805295">
        <w:rPr>
          <w:noProof/>
        </w:rPr>
        <w:t>45</w:t>
      </w:r>
      <w:r w:rsidRPr="008B1975">
        <w:rPr>
          <w:noProof/>
        </w:rPr>
        <w:fldChar w:fldCharType="end"/>
      </w:r>
    </w:p>
    <w:p w14:paraId="218DAFEF" w14:textId="6B88E02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_Toc197178955 \h </w:instrText>
      </w:r>
      <w:r w:rsidRPr="008B1975">
        <w:rPr>
          <w:noProof/>
        </w:rPr>
      </w:r>
      <w:r w:rsidRPr="008B1975">
        <w:rPr>
          <w:noProof/>
        </w:rPr>
        <w:fldChar w:fldCharType="separate"/>
      </w:r>
      <w:r w:rsidR="00805295">
        <w:rPr>
          <w:noProof/>
        </w:rPr>
        <w:t>45</w:t>
      </w:r>
      <w:r w:rsidRPr="008B1975">
        <w:rPr>
          <w:noProof/>
        </w:rPr>
        <w:fldChar w:fldCharType="end"/>
      </w:r>
    </w:p>
    <w:p w14:paraId="53A33AD1" w14:textId="023EC991"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14—Part 14 (Stairs) Amendments</w:t>
      </w:r>
      <w:r w:rsidRPr="008B1975">
        <w:rPr>
          <w:noProof/>
        </w:rPr>
        <w:tab/>
      </w:r>
      <w:r w:rsidRPr="008B1975">
        <w:rPr>
          <w:noProof/>
        </w:rPr>
        <w:fldChar w:fldCharType="begin"/>
      </w:r>
      <w:r w:rsidRPr="008B1975">
        <w:rPr>
          <w:noProof/>
        </w:rPr>
        <w:instrText xml:space="preserve"> PAGEREF _Toc197178956 \h </w:instrText>
      </w:r>
      <w:r w:rsidRPr="008B1975">
        <w:rPr>
          <w:noProof/>
        </w:rPr>
      </w:r>
      <w:r w:rsidRPr="008B1975">
        <w:rPr>
          <w:noProof/>
        </w:rPr>
        <w:fldChar w:fldCharType="separate"/>
      </w:r>
      <w:r w:rsidR="00805295">
        <w:rPr>
          <w:noProof/>
        </w:rPr>
        <w:t>47</w:t>
      </w:r>
      <w:r w:rsidRPr="008B1975">
        <w:rPr>
          <w:noProof/>
        </w:rPr>
        <w:fldChar w:fldCharType="end"/>
      </w:r>
    </w:p>
    <w:p w14:paraId="38143958" w14:textId="28D5A29E"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_Toc197178957 \h </w:instrText>
      </w:r>
      <w:r w:rsidRPr="008B1975">
        <w:rPr>
          <w:noProof/>
        </w:rPr>
      </w:r>
      <w:r w:rsidRPr="008B1975">
        <w:rPr>
          <w:noProof/>
        </w:rPr>
        <w:fldChar w:fldCharType="separate"/>
      </w:r>
      <w:r w:rsidR="00805295">
        <w:rPr>
          <w:noProof/>
        </w:rPr>
        <w:t>47</w:t>
      </w:r>
      <w:r w:rsidRPr="008B1975">
        <w:rPr>
          <w:noProof/>
        </w:rPr>
        <w:fldChar w:fldCharType="end"/>
      </w:r>
    </w:p>
    <w:p w14:paraId="7AE8C180" w14:textId="086AE1F8"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15—Part 15 (Toilets) Amendments</w:t>
      </w:r>
      <w:r w:rsidRPr="008B1975">
        <w:rPr>
          <w:noProof/>
        </w:rPr>
        <w:tab/>
      </w:r>
      <w:r w:rsidRPr="008B1975">
        <w:rPr>
          <w:noProof/>
        </w:rPr>
        <w:fldChar w:fldCharType="begin"/>
      </w:r>
      <w:r w:rsidRPr="008B1975">
        <w:rPr>
          <w:noProof/>
        </w:rPr>
        <w:instrText xml:space="preserve"> PAGEREF _Toc197178958 \h </w:instrText>
      </w:r>
      <w:r w:rsidRPr="008B1975">
        <w:rPr>
          <w:noProof/>
        </w:rPr>
      </w:r>
      <w:r w:rsidRPr="008B1975">
        <w:rPr>
          <w:noProof/>
        </w:rPr>
        <w:fldChar w:fldCharType="separate"/>
      </w:r>
      <w:r w:rsidR="00805295">
        <w:rPr>
          <w:noProof/>
        </w:rPr>
        <w:t>50</w:t>
      </w:r>
      <w:r w:rsidRPr="008B1975">
        <w:rPr>
          <w:noProof/>
        </w:rPr>
        <w:fldChar w:fldCharType="end"/>
      </w:r>
    </w:p>
    <w:p w14:paraId="4E545837" w14:textId="43892211"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_Toc197178959 \h </w:instrText>
      </w:r>
      <w:r w:rsidRPr="008B1975">
        <w:rPr>
          <w:noProof/>
        </w:rPr>
      </w:r>
      <w:r w:rsidRPr="008B1975">
        <w:rPr>
          <w:noProof/>
        </w:rPr>
        <w:fldChar w:fldCharType="separate"/>
      </w:r>
      <w:r w:rsidR="00805295">
        <w:rPr>
          <w:noProof/>
        </w:rPr>
        <w:t>50</w:t>
      </w:r>
      <w:r w:rsidRPr="008B1975">
        <w:rPr>
          <w:noProof/>
        </w:rPr>
        <w:fldChar w:fldCharType="end"/>
      </w:r>
    </w:p>
    <w:p w14:paraId="14C9149E" w14:textId="5DB4326C"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16—Part 16 (Symbols) Amendments</w:t>
      </w:r>
      <w:r w:rsidRPr="008B1975">
        <w:rPr>
          <w:noProof/>
        </w:rPr>
        <w:tab/>
      </w:r>
      <w:r w:rsidRPr="008B1975">
        <w:rPr>
          <w:noProof/>
        </w:rPr>
        <w:fldChar w:fldCharType="begin"/>
      </w:r>
      <w:r w:rsidRPr="008B1975">
        <w:rPr>
          <w:noProof/>
        </w:rPr>
        <w:instrText xml:space="preserve"> PAGEREF _Toc197178960 \h </w:instrText>
      </w:r>
      <w:r w:rsidRPr="008B1975">
        <w:rPr>
          <w:noProof/>
        </w:rPr>
      </w:r>
      <w:r w:rsidRPr="008B1975">
        <w:rPr>
          <w:noProof/>
        </w:rPr>
        <w:fldChar w:fldCharType="separate"/>
      </w:r>
      <w:r w:rsidR="00805295">
        <w:rPr>
          <w:noProof/>
        </w:rPr>
        <w:t>53</w:t>
      </w:r>
      <w:r w:rsidRPr="008B1975">
        <w:rPr>
          <w:noProof/>
        </w:rPr>
        <w:fldChar w:fldCharType="end"/>
      </w:r>
    </w:p>
    <w:p w14:paraId="0128B4B0" w14:textId="300ED247"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_Toc197178961 \h </w:instrText>
      </w:r>
      <w:r w:rsidRPr="008B1975">
        <w:rPr>
          <w:noProof/>
        </w:rPr>
      </w:r>
      <w:r w:rsidRPr="008B1975">
        <w:rPr>
          <w:noProof/>
        </w:rPr>
        <w:fldChar w:fldCharType="separate"/>
      </w:r>
      <w:r w:rsidR="00805295">
        <w:rPr>
          <w:noProof/>
        </w:rPr>
        <w:t>53</w:t>
      </w:r>
      <w:r w:rsidRPr="008B1975">
        <w:rPr>
          <w:noProof/>
        </w:rPr>
        <w:fldChar w:fldCharType="end"/>
      </w:r>
    </w:p>
    <w:p w14:paraId="11A87BC3" w14:textId="49DCE40A"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lastRenderedPageBreak/>
        <w:t>Schedule 17—Part 17 (Signs) Amendments</w:t>
      </w:r>
      <w:r w:rsidRPr="008B1975">
        <w:rPr>
          <w:noProof/>
        </w:rPr>
        <w:tab/>
      </w:r>
      <w:r w:rsidRPr="008B1975">
        <w:rPr>
          <w:noProof/>
        </w:rPr>
        <w:fldChar w:fldCharType="begin"/>
      </w:r>
      <w:r w:rsidRPr="008B1975">
        <w:rPr>
          <w:noProof/>
        </w:rPr>
        <w:instrText xml:space="preserve"> PAGEREF _Toc197178962 \h </w:instrText>
      </w:r>
      <w:r w:rsidRPr="008B1975">
        <w:rPr>
          <w:noProof/>
        </w:rPr>
      </w:r>
      <w:r w:rsidRPr="008B1975">
        <w:rPr>
          <w:noProof/>
        </w:rPr>
        <w:fldChar w:fldCharType="separate"/>
      </w:r>
      <w:r w:rsidR="00805295">
        <w:rPr>
          <w:noProof/>
        </w:rPr>
        <w:t>55</w:t>
      </w:r>
      <w:r w:rsidRPr="008B1975">
        <w:rPr>
          <w:noProof/>
        </w:rPr>
        <w:fldChar w:fldCharType="end"/>
      </w:r>
    </w:p>
    <w:p w14:paraId="07A0A7AF" w14:textId="41B570F4"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_Toc197178963 \h </w:instrText>
      </w:r>
      <w:r w:rsidRPr="008B1975">
        <w:rPr>
          <w:noProof/>
        </w:rPr>
      </w:r>
      <w:r w:rsidRPr="008B1975">
        <w:rPr>
          <w:noProof/>
        </w:rPr>
        <w:fldChar w:fldCharType="separate"/>
      </w:r>
      <w:r w:rsidR="00805295">
        <w:rPr>
          <w:noProof/>
        </w:rPr>
        <w:t>55</w:t>
      </w:r>
      <w:r w:rsidRPr="008B1975">
        <w:rPr>
          <w:noProof/>
        </w:rPr>
        <w:fldChar w:fldCharType="end"/>
      </w:r>
    </w:p>
    <w:p w14:paraId="394D9A43" w14:textId="6CF3B25A"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18—Part 18 (Tactile ground surface indicators) Amendments</w:t>
      </w:r>
      <w:r w:rsidRPr="008B1975">
        <w:rPr>
          <w:noProof/>
        </w:rPr>
        <w:tab/>
      </w:r>
      <w:r w:rsidRPr="008B1975">
        <w:rPr>
          <w:noProof/>
        </w:rPr>
        <w:fldChar w:fldCharType="begin"/>
      </w:r>
      <w:r w:rsidRPr="008B1975">
        <w:rPr>
          <w:noProof/>
        </w:rPr>
        <w:instrText xml:space="preserve"> PAGEREF _Toc197178964 \h </w:instrText>
      </w:r>
      <w:r w:rsidRPr="008B1975">
        <w:rPr>
          <w:noProof/>
        </w:rPr>
      </w:r>
      <w:r w:rsidRPr="008B1975">
        <w:rPr>
          <w:noProof/>
        </w:rPr>
        <w:fldChar w:fldCharType="separate"/>
      </w:r>
      <w:r w:rsidR="00805295">
        <w:rPr>
          <w:noProof/>
        </w:rPr>
        <w:t>62</w:t>
      </w:r>
      <w:r w:rsidRPr="008B1975">
        <w:rPr>
          <w:noProof/>
        </w:rPr>
        <w:fldChar w:fldCharType="end"/>
      </w:r>
    </w:p>
    <w:p w14:paraId="7123C894" w14:textId="25E5D814"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_Toc197178965 \h </w:instrText>
      </w:r>
      <w:r w:rsidRPr="008B1975">
        <w:rPr>
          <w:noProof/>
        </w:rPr>
      </w:r>
      <w:r w:rsidRPr="008B1975">
        <w:rPr>
          <w:noProof/>
        </w:rPr>
        <w:fldChar w:fldCharType="separate"/>
      </w:r>
      <w:r w:rsidR="00805295">
        <w:rPr>
          <w:noProof/>
        </w:rPr>
        <w:t>62</w:t>
      </w:r>
      <w:r w:rsidRPr="008B1975">
        <w:rPr>
          <w:noProof/>
        </w:rPr>
        <w:fldChar w:fldCharType="end"/>
      </w:r>
    </w:p>
    <w:p w14:paraId="04D2BBD2" w14:textId="62E636C4"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19—Part 19 (Alarms) Amendments</w:t>
      </w:r>
      <w:r w:rsidRPr="008B1975">
        <w:rPr>
          <w:noProof/>
        </w:rPr>
        <w:tab/>
      </w:r>
      <w:r w:rsidRPr="008B1975">
        <w:rPr>
          <w:noProof/>
        </w:rPr>
        <w:fldChar w:fldCharType="begin"/>
      </w:r>
      <w:r w:rsidRPr="008B1975">
        <w:rPr>
          <w:noProof/>
        </w:rPr>
        <w:instrText xml:space="preserve"> PAGEREF _Toc197178966 \h </w:instrText>
      </w:r>
      <w:r w:rsidRPr="008B1975">
        <w:rPr>
          <w:noProof/>
        </w:rPr>
      </w:r>
      <w:r w:rsidRPr="008B1975">
        <w:rPr>
          <w:noProof/>
        </w:rPr>
        <w:fldChar w:fldCharType="separate"/>
      </w:r>
      <w:r w:rsidR="00805295">
        <w:rPr>
          <w:noProof/>
        </w:rPr>
        <w:t>65</w:t>
      </w:r>
      <w:r w:rsidRPr="008B1975">
        <w:rPr>
          <w:noProof/>
        </w:rPr>
        <w:fldChar w:fldCharType="end"/>
      </w:r>
    </w:p>
    <w:p w14:paraId="237C2A0D" w14:textId="259905BD"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_Toc197178967 \h </w:instrText>
      </w:r>
      <w:r w:rsidRPr="008B1975">
        <w:rPr>
          <w:noProof/>
        </w:rPr>
      </w:r>
      <w:r w:rsidRPr="008B1975">
        <w:rPr>
          <w:noProof/>
        </w:rPr>
        <w:fldChar w:fldCharType="separate"/>
      </w:r>
      <w:r w:rsidR="00805295">
        <w:rPr>
          <w:noProof/>
        </w:rPr>
        <w:t>65</w:t>
      </w:r>
      <w:r w:rsidRPr="008B1975">
        <w:rPr>
          <w:noProof/>
        </w:rPr>
        <w:fldChar w:fldCharType="end"/>
      </w:r>
    </w:p>
    <w:p w14:paraId="6D66087D" w14:textId="4A1D5B17"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20—Part 20 (Lighting) Amendments</w:t>
      </w:r>
      <w:r w:rsidRPr="008B1975">
        <w:rPr>
          <w:noProof/>
        </w:rPr>
        <w:tab/>
      </w:r>
      <w:r w:rsidRPr="008B1975">
        <w:rPr>
          <w:noProof/>
        </w:rPr>
        <w:fldChar w:fldCharType="begin"/>
      </w:r>
      <w:r w:rsidRPr="008B1975">
        <w:rPr>
          <w:noProof/>
        </w:rPr>
        <w:instrText xml:space="preserve"> PAGEREF _Toc197178968 \h </w:instrText>
      </w:r>
      <w:r w:rsidRPr="008B1975">
        <w:rPr>
          <w:noProof/>
        </w:rPr>
      </w:r>
      <w:r w:rsidRPr="008B1975">
        <w:rPr>
          <w:noProof/>
        </w:rPr>
        <w:fldChar w:fldCharType="separate"/>
      </w:r>
      <w:r w:rsidR="00805295">
        <w:rPr>
          <w:noProof/>
        </w:rPr>
        <w:t>66</w:t>
      </w:r>
      <w:r w:rsidRPr="008B1975">
        <w:rPr>
          <w:noProof/>
        </w:rPr>
        <w:fldChar w:fldCharType="end"/>
      </w:r>
    </w:p>
    <w:p w14:paraId="7E60A675" w14:textId="201E40D6"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_Toc197178969 \h </w:instrText>
      </w:r>
      <w:r w:rsidRPr="008B1975">
        <w:rPr>
          <w:noProof/>
        </w:rPr>
      </w:r>
      <w:r w:rsidRPr="008B1975">
        <w:rPr>
          <w:noProof/>
        </w:rPr>
        <w:fldChar w:fldCharType="separate"/>
      </w:r>
      <w:r w:rsidR="00805295">
        <w:rPr>
          <w:noProof/>
        </w:rPr>
        <w:t>66</w:t>
      </w:r>
      <w:r w:rsidRPr="008B1975">
        <w:rPr>
          <w:noProof/>
        </w:rPr>
        <w:fldChar w:fldCharType="end"/>
      </w:r>
    </w:p>
    <w:p w14:paraId="5CDECADE" w14:textId="6CF8C29E"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21—Part 21 (Controls) Amendments</w:t>
      </w:r>
      <w:r w:rsidRPr="008B1975">
        <w:rPr>
          <w:noProof/>
        </w:rPr>
        <w:tab/>
      </w:r>
      <w:r w:rsidRPr="008B1975">
        <w:rPr>
          <w:noProof/>
        </w:rPr>
        <w:fldChar w:fldCharType="begin"/>
      </w:r>
      <w:r w:rsidRPr="008B1975">
        <w:rPr>
          <w:noProof/>
        </w:rPr>
        <w:instrText xml:space="preserve"> PAGEREF _Toc197178970 \h </w:instrText>
      </w:r>
      <w:r w:rsidRPr="008B1975">
        <w:rPr>
          <w:noProof/>
        </w:rPr>
      </w:r>
      <w:r w:rsidRPr="008B1975">
        <w:rPr>
          <w:noProof/>
        </w:rPr>
        <w:fldChar w:fldCharType="separate"/>
      </w:r>
      <w:r w:rsidR="00805295">
        <w:rPr>
          <w:noProof/>
        </w:rPr>
        <w:t>68</w:t>
      </w:r>
      <w:r w:rsidRPr="008B1975">
        <w:rPr>
          <w:noProof/>
        </w:rPr>
        <w:fldChar w:fldCharType="end"/>
      </w:r>
    </w:p>
    <w:p w14:paraId="6A1983EF" w14:textId="59DDBCA9"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_Toc197178971 \h </w:instrText>
      </w:r>
      <w:r w:rsidRPr="008B1975">
        <w:rPr>
          <w:noProof/>
        </w:rPr>
      </w:r>
      <w:r w:rsidRPr="008B1975">
        <w:rPr>
          <w:noProof/>
        </w:rPr>
        <w:fldChar w:fldCharType="separate"/>
      </w:r>
      <w:r w:rsidR="00805295">
        <w:rPr>
          <w:noProof/>
        </w:rPr>
        <w:t>68</w:t>
      </w:r>
      <w:r w:rsidRPr="008B1975">
        <w:rPr>
          <w:noProof/>
        </w:rPr>
        <w:fldChar w:fldCharType="end"/>
      </w:r>
    </w:p>
    <w:p w14:paraId="6FE74721" w14:textId="2D83368F"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22—Part 22 (Furniture and fitments) Amendments</w:t>
      </w:r>
      <w:r w:rsidRPr="008B1975">
        <w:rPr>
          <w:noProof/>
        </w:rPr>
        <w:tab/>
      </w:r>
      <w:r w:rsidRPr="008B1975">
        <w:rPr>
          <w:noProof/>
        </w:rPr>
        <w:fldChar w:fldCharType="begin"/>
      </w:r>
      <w:r w:rsidRPr="008B1975">
        <w:rPr>
          <w:noProof/>
        </w:rPr>
        <w:instrText xml:space="preserve"> PAGEREF _Toc197178972 \h </w:instrText>
      </w:r>
      <w:r w:rsidRPr="008B1975">
        <w:rPr>
          <w:noProof/>
        </w:rPr>
      </w:r>
      <w:r w:rsidRPr="008B1975">
        <w:rPr>
          <w:noProof/>
        </w:rPr>
        <w:fldChar w:fldCharType="separate"/>
      </w:r>
      <w:r w:rsidR="00805295">
        <w:rPr>
          <w:noProof/>
        </w:rPr>
        <w:t>70</w:t>
      </w:r>
      <w:r w:rsidRPr="008B1975">
        <w:rPr>
          <w:noProof/>
        </w:rPr>
        <w:fldChar w:fldCharType="end"/>
      </w:r>
    </w:p>
    <w:p w14:paraId="16A0BEFE" w14:textId="7134B1C0"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_Toc197178973 \h </w:instrText>
      </w:r>
      <w:r w:rsidRPr="008B1975">
        <w:rPr>
          <w:noProof/>
        </w:rPr>
      </w:r>
      <w:r w:rsidRPr="008B1975">
        <w:rPr>
          <w:noProof/>
        </w:rPr>
        <w:fldChar w:fldCharType="separate"/>
      </w:r>
      <w:r w:rsidR="00805295">
        <w:rPr>
          <w:noProof/>
        </w:rPr>
        <w:t>70</w:t>
      </w:r>
      <w:r w:rsidRPr="008B1975">
        <w:rPr>
          <w:noProof/>
        </w:rPr>
        <w:fldChar w:fldCharType="end"/>
      </w:r>
    </w:p>
    <w:p w14:paraId="2FCBCF72" w14:textId="04EA097E"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23—Part 23 (Street furniture) Amendments</w:t>
      </w:r>
      <w:r w:rsidRPr="008B1975">
        <w:rPr>
          <w:noProof/>
        </w:rPr>
        <w:tab/>
      </w:r>
      <w:r w:rsidRPr="008B1975">
        <w:rPr>
          <w:noProof/>
        </w:rPr>
        <w:fldChar w:fldCharType="begin"/>
      </w:r>
      <w:r w:rsidRPr="008B1975">
        <w:rPr>
          <w:noProof/>
        </w:rPr>
        <w:instrText xml:space="preserve"> PAGEREF _Toc197178974 \h </w:instrText>
      </w:r>
      <w:r w:rsidRPr="008B1975">
        <w:rPr>
          <w:noProof/>
        </w:rPr>
      </w:r>
      <w:r w:rsidRPr="008B1975">
        <w:rPr>
          <w:noProof/>
        </w:rPr>
        <w:fldChar w:fldCharType="separate"/>
      </w:r>
      <w:r w:rsidR="00805295">
        <w:rPr>
          <w:noProof/>
        </w:rPr>
        <w:t>72</w:t>
      </w:r>
      <w:r w:rsidRPr="008B1975">
        <w:rPr>
          <w:noProof/>
        </w:rPr>
        <w:fldChar w:fldCharType="end"/>
      </w:r>
    </w:p>
    <w:p w14:paraId="38E21298" w14:textId="006442D1"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_Toc197178975 \h </w:instrText>
      </w:r>
      <w:r w:rsidRPr="008B1975">
        <w:rPr>
          <w:noProof/>
        </w:rPr>
      </w:r>
      <w:r w:rsidRPr="008B1975">
        <w:rPr>
          <w:noProof/>
        </w:rPr>
        <w:fldChar w:fldCharType="separate"/>
      </w:r>
      <w:r w:rsidR="00805295">
        <w:rPr>
          <w:noProof/>
        </w:rPr>
        <w:t>72</w:t>
      </w:r>
      <w:r w:rsidRPr="008B1975">
        <w:rPr>
          <w:noProof/>
        </w:rPr>
        <w:fldChar w:fldCharType="end"/>
      </w:r>
    </w:p>
    <w:p w14:paraId="53F02450" w14:textId="11A6627C"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24—Part 24 (Gateways) Amendments</w:t>
      </w:r>
      <w:r w:rsidRPr="008B1975">
        <w:rPr>
          <w:noProof/>
        </w:rPr>
        <w:tab/>
      </w:r>
      <w:r w:rsidRPr="008B1975">
        <w:rPr>
          <w:noProof/>
        </w:rPr>
        <w:fldChar w:fldCharType="begin"/>
      </w:r>
      <w:r w:rsidRPr="008B1975">
        <w:rPr>
          <w:noProof/>
        </w:rPr>
        <w:instrText xml:space="preserve"> PAGEREF _Toc197178976 \h </w:instrText>
      </w:r>
      <w:r w:rsidRPr="008B1975">
        <w:rPr>
          <w:noProof/>
        </w:rPr>
      </w:r>
      <w:r w:rsidRPr="008B1975">
        <w:rPr>
          <w:noProof/>
        </w:rPr>
        <w:fldChar w:fldCharType="separate"/>
      </w:r>
      <w:r w:rsidR="00805295">
        <w:rPr>
          <w:noProof/>
        </w:rPr>
        <w:t>73</w:t>
      </w:r>
      <w:r w:rsidRPr="008B1975">
        <w:rPr>
          <w:noProof/>
        </w:rPr>
        <w:fldChar w:fldCharType="end"/>
      </w:r>
    </w:p>
    <w:p w14:paraId="3EADFBC3" w14:textId="6DA8F821"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_Toc197178977 \h </w:instrText>
      </w:r>
      <w:r w:rsidRPr="008B1975">
        <w:rPr>
          <w:noProof/>
        </w:rPr>
      </w:r>
      <w:r w:rsidRPr="008B1975">
        <w:rPr>
          <w:noProof/>
        </w:rPr>
        <w:fldChar w:fldCharType="separate"/>
      </w:r>
      <w:r w:rsidR="00805295">
        <w:rPr>
          <w:noProof/>
        </w:rPr>
        <w:t>73</w:t>
      </w:r>
      <w:r w:rsidRPr="008B1975">
        <w:rPr>
          <w:noProof/>
        </w:rPr>
        <w:fldChar w:fldCharType="end"/>
      </w:r>
    </w:p>
    <w:p w14:paraId="33A0347E" w14:textId="78DDC746"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25—Part 25 (Payment of fares) Amendments</w:t>
      </w:r>
      <w:r w:rsidRPr="008B1975">
        <w:rPr>
          <w:noProof/>
        </w:rPr>
        <w:tab/>
      </w:r>
      <w:r w:rsidRPr="008B1975">
        <w:rPr>
          <w:noProof/>
        </w:rPr>
        <w:fldChar w:fldCharType="begin"/>
      </w:r>
      <w:r w:rsidRPr="008B1975">
        <w:rPr>
          <w:noProof/>
        </w:rPr>
        <w:instrText xml:space="preserve"> PAGEREF _Toc197178978 \h </w:instrText>
      </w:r>
      <w:r w:rsidRPr="008B1975">
        <w:rPr>
          <w:noProof/>
        </w:rPr>
      </w:r>
      <w:r w:rsidRPr="008B1975">
        <w:rPr>
          <w:noProof/>
        </w:rPr>
        <w:fldChar w:fldCharType="separate"/>
      </w:r>
      <w:r w:rsidR="00805295">
        <w:rPr>
          <w:noProof/>
        </w:rPr>
        <w:t>74</w:t>
      </w:r>
      <w:r w:rsidRPr="008B1975">
        <w:rPr>
          <w:noProof/>
        </w:rPr>
        <w:fldChar w:fldCharType="end"/>
      </w:r>
    </w:p>
    <w:p w14:paraId="240A98A5" w14:textId="0AC35B1E"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_Toc197178979 \h </w:instrText>
      </w:r>
      <w:r w:rsidRPr="008B1975">
        <w:rPr>
          <w:noProof/>
        </w:rPr>
      </w:r>
      <w:r w:rsidRPr="008B1975">
        <w:rPr>
          <w:noProof/>
        </w:rPr>
        <w:fldChar w:fldCharType="separate"/>
      </w:r>
      <w:r w:rsidR="00805295">
        <w:rPr>
          <w:noProof/>
        </w:rPr>
        <w:t>74</w:t>
      </w:r>
      <w:r w:rsidRPr="008B1975">
        <w:rPr>
          <w:noProof/>
        </w:rPr>
        <w:fldChar w:fldCharType="end"/>
      </w:r>
    </w:p>
    <w:p w14:paraId="458EC7BC" w14:textId="0ED0E323"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26—Part 26 (Hearing augmentation–listening systems) Amendments</w:t>
      </w:r>
      <w:r w:rsidRPr="008B1975">
        <w:rPr>
          <w:noProof/>
        </w:rPr>
        <w:tab/>
      </w:r>
      <w:r w:rsidRPr="008B1975">
        <w:rPr>
          <w:noProof/>
        </w:rPr>
        <w:fldChar w:fldCharType="begin"/>
      </w:r>
      <w:r w:rsidRPr="008B1975">
        <w:rPr>
          <w:noProof/>
        </w:rPr>
        <w:instrText xml:space="preserve"> PAGEREF _Toc197178980 \h </w:instrText>
      </w:r>
      <w:r w:rsidRPr="008B1975">
        <w:rPr>
          <w:noProof/>
        </w:rPr>
      </w:r>
      <w:r w:rsidRPr="008B1975">
        <w:rPr>
          <w:noProof/>
        </w:rPr>
        <w:fldChar w:fldCharType="separate"/>
      </w:r>
      <w:r w:rsidR="00805295">
        <w:rPr>
          <w:noProof/>
        </w:rPr>
        <w:t>77</w:t>
      </w:r>
      <w:r w:rsidRPr="008B1975">
        <w:rPr>
          <w:noProof/>
        </w:rPr>
        <w:fldChar w:fldCharType="end"/>
      </w:r>
    </w:p>
    <w:p w14:paraId="11915051" w14:textId="548DE6E6"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_Toc197178981 \h </w:instrText>
      </w:r>
      <w:r w:rsidRPr="008B1975">
        <w:rPr>
          <w:noProof/>
        </w:rPr>
      </w:r>
      <w:r w:rsidRPr="008B1975">
        <w:rPr>
          <w:noProof/>
        </w:rPr>
        <w:fldChar w:fldCharType="separate"/>
      </w:r>
      <w:r w:rsidR="00805295">
        <w:rPr>
          <w:noProof/>
        </w:rPr>
        <w:t>77</w:t>
      </w:r>
      <w:r w:rsidRPr="008B1975">
        <w:rPr>
          <w:noProof/>
        </w:rPr>
        <w:fldChar w:fldCharType="end"/>
      </w:r>
    </w:p>
    <w:p w14:paraId="0EC2DED0" w14:textId="42366F9B"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27—Part 27 (Information) Amendments</w:t>
      </w:r>
      <w:r w:rsidRPr="008B1975">
        <w:rPr>
          <w:noProof/>
        </w:rPr>
        <w:tab/>
      </w:r>
      <w:r w:rsidRPr="008B1975">
        <w:rPr>
          <w:noProof/>
        </w:rPr>
        <w:fldChar w:fldCharType="begin"/>
      </w:r>
      <w:r w:rsidRPr="008B1975">
        <w:rPr>
          <w:noProof/>
        </w:rPr>
        <w:instrText xml:space="preserve"> PAGEREF _Toc197178982 \h </w:instrText>
      </w:r>
      <w:r w:rsidRPr="008B1975">
        <w:rPr>
          <w:noProof/>
        </w:rPr>
      </w:r>
      <w:r w:rsidRPr="008B1975">
        <w:rPr>
          <w:noProof/>
        </w:rPr>
        <w:fldChar w:fldCharType="separate"/>
      </w:r>
      <w:r w:rsidR="00805295">
        <w:rPr>
          <w:noProof/>
        </w:rPr>
        <w:t>78</w:t>
      </w:r>
      <w:r w:rsidRPr="008B1975">
        <w:rPr>
          <w:noProof/>
        </w:rPr>
        <w:fldChar w:fldCharType="end"/>
      </w:r>
    </w:p>
    <w:p w14:paraId="64EA8B8E" w14:textId="4D354CBD"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_Toc197178983 \h </w:instrText>
      </w:r>
      <w:r w:rsidRPr="008B1975">
        <w:rPr>
          <w:noProof/>
        </w:rPr>
      </w:r>
      <w:r w:rsidRPr="008B1975">
        <w:rPr>
          <w:noProof/>
        </w:rPr>
        <w:fldChar w:fldCharType="separate"/>
      </w:r>
      <w:r w:rsidR="00805295">
        <w:rPr>
          <w:noProof/>
        </w:rPr>
        <w:t>78</w:t>
      </w:r>
      <w:r w:rsidRPr="008B1975">
        <w:rPr>
          <w:noProof/>
        </w:rPr>
        <w:fldChar w:fldCharType="end"/>
      </w:r>
    </w:p>
    <w:p w14:paraId="14F8B70E" w14:textId="42499FE5"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28—Part 28 (Booked services) Amendments</w:t>
      </w:r>
      <w:r w:rsidRPr="008B1975">
        <w:rPr>
          <w:noProof/>
        </w:rPr>
        <w:tab/>
      </w:r>
      <w:r w:rsidRPr="008B1975">
        <w:rPr>
          <w:noProof/>
        </w:rPr>
        <w:fldChar w:fldCharType="begin"/>
      </w:r>
      <w:r w:rsidRPr="008B1975">
        <w:rPr>
          <w:noProof/>
        </w:rPr>
        <w:instrText xml:space="preserve"> PAGEREF _Toc197178984 \h </w:instrText>
      </w:r>
      <w:r w:rsidRPr="008B1975">
        <w:rPr>
          <w:noProof/>
        </w:rPr>
      </w:r>
      <w:r w:rsidRPr="008B1975">
        <w:rPr>
          <w:noProof/>
        </w:rPr>
        <w:fldChar w:fldCharType="separate"/>
      </w:r>
      <w:r w:rsidR="00805295">
        <w:rPr>
          <w:noProof/>
        </w:rPr>
        <w:t>83</w:t>
      </w:r>
      <w:r w:rsidRPr="008B1975">
        <w:rPr>
          <w:noProof/>
        </w:rPr>
        <w:fldChar w:fldCharType="end"/>
      </w:r>
    </w:p>
    <w:p w14:paraId="24936037" w14:textId="036A3315"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_Toc197178985 \h </w:instrText>
      </w:r>
      <w:r w:rsidRPr="008B1975">
        <w:rPr>
          <w:noProof/>
        </w:rPr>
      </w:r>
      <w:r w:rsidRPr="008B1975">
        <w:rPr>
          <w:noProof/>
        </w:rPr>
        <w:fldChar w:fldCharType="separate"/>
      </w:r>
      <w:r w:rsidR="00805295">
        <w:rPr>
          <w:noProof/>
        </w:rPr>
        <w:t>83</w:t>
      </w:r>
      <w:r w:rsidRPr="008B1975">
        <w:rPr>
          <w:noProof/>
        </w:rPr>
        <w:fldChar w:fldCharType="end"/>
      </w:r>
    </w:p>
    <w:p w14:paraId="44DEE670" w14:textId="6BAD4D84"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29—Part 29 (Food and drink services) Amendments</w:t>
      </w:r>
      <w:r w:rsidRPr="008B1975">
        <w:rPr>
          <w:noProof/>
        </w:rPr>
        <w:tab/>
      </w:r>
      <w:r w:rsidRPr="008B1975">
        <w:rPr>
          <w:noProof/>
        </w:rPr>
        <w:fldChar w:fldCharType="begin"/>
      </w:r>
      <w:r w:rsidRPr="008B1975">
        <w:rPr>
          <w:noProof/>
        </w:rPr>
        <w:instrText xml:space="preserve"> PAGEREF _Toc197178986 \h </w:instrText>
      </w:r>
      <w:r w:rsidRPr="008B1975">
        <w:rPr>
          <w:noProof/>
        </w:rPr>
      </w:r>
      <w:r w:rsidRPr="008B1975">
        <w:rPr>
          <w:noProof/>
        </w:rPr>
        <w:fldChar w:fldCharType="separate"/>
      </w:r>
      <w:r w:rsidR="00805295">
        <w:rPr>
          <w:noProof/>
        </w:rPr>
        <w:t>85</w:t>
      </w:r>
      <w:r w:rsidRPr="008B1975">
        <w:rPr>
          <w:noProof/>
        </w:rPr>
        <w:fldChar w:fldCharType="end"/>
      </w:r>
    </w:p>
    <w:p w14:paraId="363B22F7" w14:textId="3F9C5B0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_Toc197178987 \h </w:instrText>
      </w:r>
      <w:r w:rsidRPr="008B1975">
        <w:rPr>
          <w:noProof/>
        </w:rPr>
      </w:r>
      <w:r w:rsidRPr="008B1975">
        <w:rPr>
          <w:noProof/>
        </w:rPr>
        <w:fldChar w:fldCharType="separate"/>
      </w:r>
      <w:r w:rsidR="00805295">
        <w:rPr>
          <w:noProof/>
        </w:rPr>
        <w:t>85</w:t>
      </w:r>
      <w:r w:rsidRPr="008B1975">
        <w:rPr>
          <w:noProof/>
        </w:rPr>
        <w:fldChar w:fldCharType="end"/>
      </w:r>
    </w:p>
    <w:p w14:paraId="15B93420" w14:textId="7461A35C"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30—Part 30 (Belongings) Amendments</w:t>
      </w:r>
      <w:r w:rsidRPr="008B1975">
        <w:rPr>
          <w:noProof/>
        </w:rPr>
        <w:tab/>
      </w:r>
      <w:r w:rsidRPr="008B1975">
        <w:rPr>
          <w:noProof/>
        </w:rPr>
        <w:fldChar w:fldCharType="begin"/>
      </w:r>
      <w:r w:rsidRPr="008B1975">
        <w:rPr>
          <w:noProof/>
        </w:rPr>
        <w:instrText xml:space="preserve"> PAGEREF _Toc197178988 \h </w:instrText>
      </w:r>
      <w:r w:rsidRPr="008B1975">
        <w:rPr>
          <w:noProof/>
        </w:rPr>
      </w:r>
      <w:r w:rsidRPr="008B1975">
        <w:rPr>
          <w:noProof/>
        </w:rPr>
        <w:fldChar w:fldCharType="separate"/>
      </w:r>
      <w:r w:rsidR="00805295">
        <w:rPr>
          <w:noProof/>
        </w:rPr>
        <w:t>86</w:t>
      </w:r>
      <w:r w:rsidRPr="008B1975">
        <w:rPr>
          <w:noProof/>
        </w:rPr>
        <w:fldChar w:fldCharType="end"/>
      </w:r>
    </w:p>
    <w:p w14:paraId="7D1173A8" w14:textId="00E3C9C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_Toc197178989 \h </w:instrText>
      </w:r>
      <w:r w:rsidRPr="008B1975">
        <w:rPr>
          <w:noProof/>
        </w:rPr>
      </w:r>
      <w:r w:rsidRPr="008B1975">
        <w:rPr>
          <w:noProof/>
        </w:rPr>
        <w:fldChar w:fldCharType="separate"/>
      </w:r>
      <w:r w:rsidR="00805295">
        <w:rPr>
          <w:noProof/>
        </w:rPr>
        <w:t>86</w:t>
      </w:r>
      <w:r w:rsidRPr="008B1975">
        <w:rPr>
          <w:noProof/>
        </w:rPr>
        <w:fldChar w:fldCharType="end"/>
      </w:r>
    </w:p>
    <w:p w14:paraId="218EF18A" w14:textId="496EABDC"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31—Part 31 (Priority) Amendments</w:t>
      </w:r>
      <w:r w:rsidRPr="008B1975">
        <w:rPr>
          <w:noProof/>
        </w:rPr>
        <w:tab/>
      </w:r>
      <w:r w:rsidRPr="008B1975">
        <w:rPr>
          <w:noProof/>
        </w:rPr>
        <w:fldChar w:fldCharType="begin"/>
      </w:r>
      <w:r w:rsidRPr="008B1975">
        <w:rPr>
          <w:noProof/>
        </w:rPr>
        <w:instrText xml:space="preserve"> PAGEREF _Toc197178990 \h </w:instrText>
      </w:r>
      <w:r w:rsidRPr="008B1975">
        <w:rPr>
          <w:noProof/>
        </w:rPr>
      </w:r>
      <w:r w:rsidRPr="008B1975">
        <w:rPr>
          <w:noProof/>
        </w:rPr>
        <w:fldChar w:fldCharType="separate"/>
      </w:r>
      <w:r w:rsidR="00805295">
        <w:rPr>
          <w:noProof/>
        </w:rPr>
        <w:t>87</w:t>
      </w:r>
      <w:r w:rsidRPr="008B1975">
        <w:rPr>
          <w:noProof/>
        </w:rPr>
        <w:fldChar w:fldCharType="end"/>
      </w:r>
    </w:p>
    <w:p w14:paraId="03D4F834" w14:textId="3BAFDB37"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_Toc197178991 \h </w:instrText>
      </w:r>
      <w:r w:rsidRPr="008B1975">
        <w:rPr>
          <w:noProof/>
        </w:rPr>
      </w:r>
      <w:r w:rsidRPr="008B1975">
        <w:rPr>
          <w:noProof/>
        </w:rPr>
        <w:fldChar w:fldCharType="separate"/>
      </w:r>
      <w:r w:rsidR="00805295">
        <w:rPr>
          <w:noProof/>
        </w:rPr>
        <w:t>87</w:t>
      </w:r>
      <w:r w:rsidRPr="008B1975">
        <w:rPr>
          <w:noProof/>
        </w:rPr>
        <w:fldChar w:fldCharType="end"/>
      </w:r>
    </w:p>
    <w:p w14:paraId="1C4297CB" w14:textId="29F6187B"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t>Schedule 32—Part 31A (Strategies and programs to prevent harassment or victimisation of persons with a disability) Amendments</w:t>
      </w:r>
      <w:r w:rsidRPr="008B1975">
        <w:rPr>
          <w:noProof/>
        </w:rPr>
        <w:tab/>
      </w:r>
      <w:r w:rsidRPr="008B1975">
        <w:rPr>
          <w:noProof/>
        </w:rPr>
        <w:fldChar w:fldCharType="begin"/>
      </w:r>
      <w:r w:rsidRPr="008B1975">
        <w:rPr>
          <w:noProof/>
        </w:rPr>
        <w:instrText xml:space="preserve"> PAGEREF _Toc197178992 \h </w:instrText>
      </w:r>
      <w:r w:rsidRPr="008B1975">
        <w:rPr>
          <w:noProof/>
        </w:rPr>
      </w:r>
      <w:r w:rsidRPr="008B1975">
        <w:rPr>
          <w:noProof/>
        </w:rPr>
        <w:fldChar w:fldCharType="separate"/>
      </w:r>
      <w:r w:rsidR="00805295">
        <w:rPr>
          <w:noProof/>
        </w:rPr>
        <w:t>90</w:t>
      </w:r>
      <w:r w:rsidRPr="008B1975">
        <w:rPr>
          <w:noProof/>
        </w:rPr>
        <w:fldChar w:fldCharType="end"/>
      </w:r>
    </w:p>
    <w:p w14:paraId="41C6035D" w14:textId="20C64CE5"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_Toc197178993 \h </w:instrText>
      </w:r>
      <w:r w:rsidRPr="008B1975">
        <w:rPr>
          <w:noProof/>
        </w:rPr>
      </w:r>
      <w:r w:rsidRPr="008B1975">
        <w:rPr>
          <w:noProof/>
        </w:rPr>
        <w:fldChar w:fldCharType="separate"/>
      </w:r>
      <w:r w:rsidR="00805295">
        <w:rPr>
          <w:noProof/>
        </w:rPr>
        <w:t>90</w:t>
      </w:r>
      <w:r w:rsidRPr="008B1975">
        <w:rPr>
          <w:noProof/>
        </w:rPr>
        <w:fldChar w:fldCharType="end"/>
      </w:r>
    </w:p>
    <w:p w14:paraId="647BDE99" w14:textId="4BA091CB" w:rsidR="00DE6D8A" w:rsidRPr="008B1975" w:rsidRDefault="00DE6D8A">
      <w:pPr>
        <w:pStyle w:val="TOC6"/>
        <w:rPr>
          <w:rFonts w:asciiTheme="minorHAnsi" w:eastAsiaTheme="minorEastAsia" w:hAnsiTheme="minorHAnsi" w:cstheme="minorBidi"/>
          <w:b w:val="0"/>
          <w:noProof/>
          <w:kern w:val="0"/>
          <w:sz w:val="22"/>
          <w:szCs w:val="22"/>
        </w:rPr>
      </w:pPr>
      <w:r w:rsidRPr="008B1975">
        <w:rPr>
          <w:noProof/>
          <w:color w:val="000000" w:themeColor="text1"/>
        </w:rPr>
        <w:t>Schedule 33—Miscellaneous amendments</w:t>
      </w:r>
      <w:r w:rsidRPr="008B1975">
        <w:rPr>
          <w:noProof/>
        </w:rPr>
        <w:tab/>
      </w:r>
      <w:r w:rsidRPr="008B1975">
        <w:rPr>
          <w:noProof/>
        </w:rPr>
        <w:fldChar w:fldCharType="begin"/>
      </w:r>
      <w:r w:rsidRPr="008B1975">
        <w:rPr>
          <w:noProof/>
        </w:rPr>
        <w:instrText xml:space="preserve"> PAGEREF _Toc197178994 \h </w:instrText>
      </w:r>
      <w:r w:rsidRPr="008B1975">
        <w:rPr>
          <w:noProof/>
        </w:rPr>
      </w:r>
      <w:r w:rsidRPr="008B1975">
        <w:rPr>
          <w:noProof/>
        </w:rPr>
        <w:fldChar w:fldCharType="separate"/>
      </w:r>
      <w:r w:rsidR="00805295">
        <w:rPr>
          <w:noProof/>
        </w:rPr>
        <w:t>91</w:t>
      </w:r>
      <w:r w:rsidRPr="008B1975">
        <w:rPr>
          <w:noProof/>
        </w:rPr>
        <w:fldChar w:fldCharType="end"/>
      </w:r>
    </w:p>
    <w:p w14:paraId="7F178F49" w14:textId="012CB6AF" w:rsidR="00DE6D8A" w:rsidRPr="008B1975" w:rsidRDefault="00DE6D8A">
      <w:pPr>
        <w:pStyle w:val="TOC9"/>
        <w:rPr>
          <w:rFonts w:asciiTheme="minorHAnsi" w:eastAsiaTheme="minorEastAsia" w:hAnsiTheme="minorHAnsi" w:cstheme="minorBidi"/>
          <w:i w:val="0"/>
          <w:noProof/>
          <w:kern w:val="0"/>
          <w:sz w:val="22"/>
          <w:szCs w:val="22"/>
        </w:rPr>
      </w:pPr>
      <w:r w:rsidRPr="008B1975">
        <w:rPr>
          <w:noProof/>
          <w:color w:val="000000" w:themeColor="text1"/>
        </w:rPr>
        <w:t>Disability Standards for Accessible Public Transport 2002</w:t>
      </w:r>
      <w:r w:rsidRPr="008B1975">
        <w:rPr>
          <w:noProof/>
        </w:rPr>
        <w:tab/>
      </w:r>
      <w:r w:rsidRPr="008B1975">
        <w:rPr>
          <w:noProof/>
        </w:rPr>
        <w:fldChar w:fldCharType="begin"/>
      </w:r>
      <w:r w:rsidRPr="008B1975">
        <w:rPr>
          <w:noProof/>
        </w:rPr>
        <w:instrText xml:space="preserve"> PAGEREF _Toc197178995 \h </w:instrText>
      </w:r>
      <w:r w:rsidRPr="008B1975">
        <w:rPr>
          <w:noProof/>
        </w:rPr>
      </w:r>
      <w:r w:rsidRPr="008B1975">
        <w:rPr>
          <w:noProof/>
        </w:rPr>
        <w:fldChar w:fldCharType="separate"/>
      </w:r>
      <w:r w:rsidR="00805295">
        <w:rPr>
          <w:noProof/>
        </w:rPr>
        <w:t>91</w:t>
      </w:r>
      <w:r w:rsidRPr="008B1975">
        <w:rPr>
          <w:noProof/>
        </w:rPr>
        <w:fldChar w:fldCharType="end"/>
      </w:r>
    </w:p>
    <w:p w14:paraId="45E0DF73" w14:textId="7A40E7B7" w:rsidR="00DE6D8A" w:rsidRPr="008B1975" w:rsidRDefault="00DE6D8A">
      <w:pPr>
        <w:pStyle w:val="TOC6"/>
        <w:rPr>
          <w:rFonts w:asciiTheme="minorHAnsi" w:eastAsiaTheme="minorEastAsia" w:hAnsiTheme="minorHAnsi" w:cstheme="minorBidi"/>
          <w:b w:val="0"/>
          <w:noProof/>
          <w:kern w:val="0"/>
          <w:sz w:val="22"/>
          <w:szCs w:val="22"/>
        </w:rPr>
      </w:pPr>
      <w:r w:rsidRPr="008B1975">
        <w:rPr>
          <w:noProof/>
        </w:rPr>
        <w:lastRenderedPageBreak/>
        <w:t>Schedule 34—Application and transitional provisions</w:t>
      </w:r>
      <w:r w:rsidRPr="008B1975">
        <w:rPr>
          <w:noProof/>
        </w:rPr>
        <w:tab/>
      </w:r>
      <w:r w:rsidRPr="008B1975">
        <w:rPr>
          <w:noProof/>
        </w:rPr>
        <w:fldChar w:fldCharType="begin"/>
      </w:r>
      <w:r w:rsidRPr="008B1975">
        <w:rPr>
          <w:noProof/>
        </w:rPr>
        <w:instrText xml:space="preserve"> PAGEREF _Toc197178996 \h </w:instrText>
      </w:r>
      <w:r w:rsidRPr="008B1975">
        <w:rPr>
          <w:noProof/>
        </w:rPr>
      </w:r>
      <w:r w:rsidRPr="008B1975">
        <w:rPr>
          <w:noProof/>
        </w:rPr>
        <w:fldChar w:fldCharType="separate"/>
      </w:r>
      <w:r w:rsidR="00805295">
        <w:rPr>
          <w:noProof/>
        </w:rPr>
        <w:t>92</w:t>
      </w:r>
      <w:r w:rsidRPr="008B1975">
        <w:rPr>
          <w:noProof/>
        </w:rPr>
        <w:fldChar w:fldCharType="end"/>
      </w:r>
    </w:p>
    <w:p w14:paraId="5EE92966" w14:textId="3B17E282" w:rsidR="00DE6D8A" w:rsidRPr="008B1975" w:rsidRDefault="00DE6D8A">
      <w:pPr>
        <w:pStyle w:val="TOC9"/>
        <w:rPr>
          <w:rFonts w:asciiTheme="minorHAnsi" w:eastAsiaTheme="minorEastAsia" w:hAnsiTheme="minorHAnsi" w:cstheme="minorBidi"/>
          <w:i w:val="0"/>
          <w:noProof/>
          <w:kern w:val="0"/>
          <w:sz w:val="22"/>
          <w:szCs w:val="22"/>
        </w:rPr>
      </w:pPr>
      <w:r w:rsidRPr="008B1975">
        <w:rPr>
          <w:noProof/>
        </w:rPr>
        <w:t>Disability Standards for Accessible Public Transport 2002</w:t>
      </w:r>
      <w:r w:rsidRPr="008B1975">
        <w:rPr>
          <w:noProof/>
        </w:rPr>
        <w:tab/>
      </w:r>
      <w:r w:rsidRPr="008B1975">
        <w:rPr>
          <w:noProof/>
        </w:rPr>
        <w:fldChar w:fldCharType="begin"/>
      </w:r>
      <w:r w:rsidRPr="008B1975">
        <w:rPr>
          <w:noProof/>
        </w:rPr>
        <w:instrText xml:space="preserve"> PAGEREF _Toc197178997 \h </w:instrText>
      </w:r>
      <w:r w:rsidRPr="008B1975">
        <w:rPr>
          <w:noProof/>
        </w:rPr>
      </w:r>
      <w:r w:rsidRPr="008B1975">
        <w:rPr>
          <w:noProof/>
        </w:rPr>
        <w:fldChar w:fldCharType="separate"/>
      </w:r>
      <w:r w:rsidR="00805295">
        <w:rPr>
          <w:noProof/>
        </w:rPr>
        <w:t>92</w:t>
      </w:r>
      <w:r w:rsidRPr="008B1975">
        <w:rPr>
          <w:noProof/>
        </w:rPr>
        <w:fldChar w:fldCharType="end"/>
      </w:r>
    </w:p>
    <w:p w14:paraId="13E18DE1" w14:textId="1FAE3D6E" w:rsidR="00B20990" w:rsidRPr="008B1975" w:rsidRDefault="00F2317B" w:rsidP="005E317F">
      <w:r w:rsidRPr="008B1975">
        <w:rPr>
          <w:rFonts w:eastAsia="Times New Roman" w:cs="Times New Roman"/>
          <w:kern w:val="28"/>
          <w:sz w:val="18"/>
          <w:lang w:eastAsia="en-AU"/>
        </w:rPr>
        <w:fldChar w:fldCharType="end"/>
      </w:r>
    </w:p>
    <w:p w14:paraId="4F0CB3E0" w14:textId="77777777" w:rsidR="00B20990" w:rsidRPr="008B1975" w:rsidRDefault="00B20990" w:rsidP="00B20990"/>
    <w:p w14:paraId="355D68A0" w14:textId="77777777" w:rsidR="00B20990" w:rsidRPr="008B1975" w:rsidRDefault="00B20990" w:rsidP="00B20990">
      <w:pPr>
        <w:rPr>
          <w:color w:val="00B050"/>
        </w:rPr>
        <w:sectPr w:rsidR="00B20990" w:rsidRPr="008B1975" w:rsidSect="00BE28A3">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14:paraId="5B838A34" w14:textId="77777777" w:rsidR="005E317F" w:rsidRPr="008B1975" w:rsidRDefault="005E317F" w:rsidP="00F2317B">
      <w:pPr>
        <w:pStyle w:val="ActHead5"/>
      </w:pPr>
      <w:bookmarkStart w:id="2" w:name="_Toc197178926"/>
      <w:r w:rsidRPr="008B1975">
        <w:rPr>
          <w:rStyle w:val="CharSectno"/>
        </w:rPr>
        <w:lastRenderedPageBreak/>
        <w:t>1</w:t>
      </w:r>
      <w:r w:rsidRPr="008B1975">
        <w:t xml:space="preserve">  Name</w:t>
      </w:r>
      <w:bookmarkEnd w:id="2"/>
    </w:p>
    <w:p w14:paraId="6059E30D" w14:textId="77777777" w:rsidR="005E317F" w:rsidRPr="008B1975" w:rsidRDefault="005E317F" w:rsidP="005E317F">
      <w:pPr>
        <w:pStyle w:val="subsection"/>
        <w:rPr>
          <w:i/>
        </w:rPr>
      </w:pPr>
      <w:r w:rsidRPr="008B1975">
        <w:tab/>
      </w:r>
      <w:r w:rsidRPr="008B1975">
        <w:tab/>
        <w:t xml:space="preserve">This instrument is the </w:t>
      </w:r>
      <w:bookmarkStart w:id="3" w:name="BKCheck15B_3"/>
      <w:bookmarkEnd w:id="3"/>
      <w:r w:rsidR="00304F1D" w:rsidRPr="008B1975">
        <w:rPr>
          <w:i/>
        </w:rPr>
        <w:t>Disability Standards for Accessible Public Transport Amendment 202</w:t>
      </w:r>
      <w:r w:rsidR="00267956" w:rsidRPr="008B1975">
        <w:rPr>
          <w:i/>
        </w:rPr>
        <w:t>5</w:t>
      </w:r>
      <w:r w:rsidR="00075591" w:rsidRPr="008B1975">
        <w:rPr>
          <w:i/>
        </w:rPr>
        <w:t>.</w:t>
      </w:r>
    </w:p>
    <w:p w14:paraId="736854B8" w14:textId="77777777" w:rsidR="005E317F" w:rsidRPr="008B1975" w:rsidRDefault="005E317F" w:rsidP="00F2317B">
      <w:pPr>
        <w:pStyle w:val="ActHead5"/>
      </w:pPr>
      <w:bookmarkStart w:id="4" w:name="_Toc197178927"/>
      <w:r w:rsidRPr="008B1975">
        <w:rPr>
          <w:rStyle w:val="CharSectno"/>
        </w:rPr>
        <w:t>2</w:t>
      </w:r>
      <w:r w:rsidRPr="008B1975">
        <w:t xml:space="preserve">  Commencement</w:t>
      </w:r>
      <w:bookmarkEnd w:id="4"/>
    </w:p>
    <w:p w14:paraId="0486FF5F" w14:textId="77777777" w:rsidR="00304F1D" w:rsidRPr="008B1975" w:rsidRDefault="00304F1D" w:rsidP="00304F1D">
      <w:pPr>
        <w:pStyle w:val="subsection"/>
      </w:pPr>
      <w:r w:rsidRPr="008B1975">
        <w:tab/>
        <w:t>(1)</w:t>
      </w:r>
      <w:r w:rsidRPr="008B1975">
        <w:tab/>
        <w:t>Each provision of this instrument specified in column 1 of the table commences, or is taken to have commenced, in accordance with column 2 of the table. Any other statement in column 2 has effect according to its terms.</w:t>
      </w:r>
    </w:p>
    <w:p w14:paraId="49FFA1F9" w14:textId="77777777" w:rsidR="00304F1D" w:rsidRPr="008B1975" w:rsidRDefault="00304F1D" w:rsidP="00304F1D">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14"/>
        <w:gridCol w:w="4368"/>
        <w:gridCol w:w="1831"/>
      </w:tblGrid>
      <w:tr w:rsidR="00304F1D" w:rsidRPr="008B1975" w14:paraId="61C978A6" w14:textId="77777777" w:rsidTr="0044118A">
        <w:trPr>
          <w:tblHeader/>
        </w:trPr>
        <w:tc>
          <w:tcPr>
            <w:tcW w:w="5000" w:type="pct"/>
            <w:gridSpan w:val="3"/>
            <w:tcBorders>
              <w:top w:val="single" w:sz="12" w:space="0" w:color="auto"/>
              <w:bottom w:val="single" w:sz="6" w:space="0" w:color="auto"/>
            </w:tcBorders>
            <w:shd w:val="clear" w:color="auto" w:fill="auto"/>
            <w:hideMark/>
          </w:tcPr>
          <w:p w14:paraId="6EF5ABB7" w14:textId="77777777" w:rsidR="00304F1D" w:rsidRPr="008B1975" w:rsidRDefault="00304F1D" w:rsidP="00BE28A3">
            <w:pPr>
              <w:pStyle w:val="TableHeading"/>
            </w:pPr>
            <w:r w:rsidRPr="008B1975">
              <w:t>Commencement information</w:t>
            </w:r>
          </w:p>
        </w:tc>
      </w:tr>
      <w:tr w:rsidR="00304F1D" w:rsidRPr="008B1975" w14:paraId="3229620C" w14:textId="77777777" w:rsidTr="0044118A">
        <w:trPr>
          <w:tblHeader/>
        </w:trPr>
        <w:tc>
          <w:tcPr>
            <w:tcW w:w="1272" w:type="pct"/>
            <w:tcBorders>
              <w:top w:val="single" w:sz="6" w:space="0" w:color="auto"/>
              <w:bottom w:val="single" w:sz="6" w:space="0" w:color="auto"/>
            </w:tcBorders>
            <w:shd w:val="clear" w:color="auto" w:fill="auto"/>
            <w:hideMark/>
          </w:tcPr>
          <w:p w14:paraId="09266B2C" w14:textId="77777777" w:rsidR="00304F1D" w:rsidRPr="008B1975" w:rsidRDefault="00304F1D" w:rsidP="00BE28A3">
            <w:pPr>
              <w:pStyle w:val="TableHeading"/>
            </w:pPr>
            <w:r w:rsidRPr="008B1975">
              <w:t>Column 1</w:t>
            </w:r>
          </w:p>
        </w:tc>
        <w:tc>
          <w:tcPr>
            <w:tcW w:w="2627" w:type="pct"/>
            <w:tcBorders>
              <w:top w:val="single" w:sz="6" w:space="0" w:color="auto"/>
              <w:bottom w:val="single" w:sz="6" w:space="0" w:color="auto"/>
            </w:tcBorders>
            <w:shd w:val="clear" w:color="auto" w:fill="auto"/>
            <w:hideMark/>
          </w:tcPr>
          <w:p w14:paraId="21EA3BEC" w14:textId="77777777" w:rsidR="00304F1D" w:rsidRPr="008B1975" w:rsidRDefault="00304F1D" w:rsidP="00BE28A3">
            <w:pPr>
              <w:pStyle w:val="TableHeading"/>
            </w:pPr>
            <w:r w:rsidRPr="008B1975">
              <w:t>Column 2</w:t>
            </w:r>
          </w:p>
        </w:tc>
        <w:tc>
          <w:tcPr>
            <w:tcW w:w="1102" w:type="pct"/>
            <w:tcBorders>
              <w:top w:val="single" w:sz="6" w:space="0" w:color="auto"/>
              <w:bottom w:val="single" w:sz="6" w:space="0" w:color="auto"/>
            </w:tcBorders>
            <w:shd w:val="clear" w:color="auto" w:fill="auto"/>
            <w:hideMark/>
          </w:tcPr>
          <w:p w14:paraId="32098468" w14:textId="77777777" w:rsidR="00304F1D" w:rsidRPr="008B1975" w:rsidRDefault="00304F1D" w:rsidP="00BE28A3">
            <w:pPr>
              <w:pStyle w:val="TableHeading"/>
            </w:pPr>
            <w:r w:rsidRPr="008B1975">
              <w:t>Column 3</w:t>
            </w:r>
          </w:p>
        </w:tc>
      </w:tr>
      <w:tr w:rsidR="00304F1D" w:rsidRPr="008B1975" w14:paraId="5B61F1C2" w14:textId="77777777" w:rsidTr="0044118A">
        <w:trPr>
          <w:tblHeader/>
        </w:trPr>
        <w:tc>
          <w:tcPr>
            <w:tcW w:w="1272" w:type="pct"/>
            <w:tcBorders>
              <w:top w:val="single" w:sz="6" w:space="0" w:color="auto"/>
              <w:bottom w:val="single" w:sz="12" w:space="0" w:color="auto"/>
            </w:tcBorders>
            <w:shd w:val="clear" w:color="auto" w:fill="auto"/>
            <w:hideMark/>
          </w:tcPr>
          <w:p w14:paraId="78A33F25" w14:textId="77777777" w:rsidR="00304F1D" w:rsidRPr="008B1975" w:rsidRDefault="00304F1D" w:rsidP="00BE28A3">
            <w:pPr>
              <w:pStyle w:val="TableHeading"/>
            </w:pPr>
            <w:r w:rsidRPr="008B1975">
              <w:t>Provisions</w:t>
            </w:r>
          </w:p>
        </w:tc>
        <w:tc>
          <w:tcPr>
            <w:tcW w:w="2627" w:type="pct"/>
            <w:tcBorders>
              <w:top w:val="single" w:sz="6" w:space="0" w:color="auto"/>
              <w:bottom w:val="single" w:sz="12" w:space="0" w:color="auto"/>
            </w:tcBorders>
            <w:shd w:val="clear" w:color="auto" w:fill="auto"/>
            <w:hideMark/>
          </w:tcPr>
          <w:p w14:paraId="29BA7803" w14:textId="77777777" w:rsidR="00304F1D" w:rsidRPr="008B1975" w:rsidRDefault="00304F1D" w:rsidP="00BE28A3">
            <w:pPr>
              <w:pStyle w:val="TableHeading"/>
            </w:pPr>
            <w:r w:rsidRPr="008B1975">
              <w:t>Commencement</w:t>
            </w:r>
          </w:p>
        </w:tc>
        <w:tc>
          <w:tcPr>
            <w:tcW w:w="1102" w:type="pct"/>
            <w:tcBorders>
              <w:top w:val="single" w:sz="6" w:space="0" w:color="auto"/>
              <w:bottom w:val="single" w:sz="12" w:space="0" w:color="auto"/>
            </w:tcBorders>
            <w:shd w:val="clear" w:color="auto" w:fill="auto"/>
            <w:hideMark/>
          </w:tcPr>
          <w:p w14:paraId="719AD172" w14:textId="77777777" w:rsidR="00304F1D" w:rsidRPr="008B1975" w:rsidRDefault="00304F1D" w:rsidP="00BE28A3">
            <w:pPr>
              <w:pStyle w:val="TableHeading"/>
            </w:pPr>
            <w:r w:rsidRPr="008B1975">
              <w:t>Date/Details</w:t>
            </w:r>
          </w:p>
        </w:tc>
      </w:tr>
      <w:tr w:rsidR="00304F1D" w:rsidRPr="008B1975" w14:paraId="50615A12" w14:textId="77777777" w:rsidTr="0044118A">
        <w:tc>
          <w:tcPr>
            <w:tcW w:w="1272" w:type="pct"/>
            <w:tcBorders>
              <w:top w:val="single" w:sz="12" w:space="0" w:color="auto"/>
              <w:bottom w:val="single" w:sz="12" w:space="0" w:color="auto"/>
            </w:tcBorders>
            <w:shd w:val="clear" w:color="auto" w:fill="auto"/>
            <w:hideMark/>
          </w:tcPr>
          <w:p w14:paraId="57847651" w14:textId="77777777" w:rsidR="00304F1D" w:rsidRPr="008B1975" w:rsidRDefault="00304F1D" w:rsidP="00BE28A3">
            <w:pPr>
              <w:pStyle w:val="Tabletext"/>
            </w:pPr>
            <w:r w:rsidRPr="008B1975">
              <w:t>1.  The whole of this instrument</w:t>
            </w:r>
          </w:p>
        </w:tc>
        <w:tc>
          <w:tcPr>
            <w:tcW w:w="2627" w:type="pct"/>
            <w:tcBorders>
              <w:top w:val="single" w:sz="12" w:space="0" w:color="auto"/>
              <w:bottom w:val="single" w:sz="12" w:space="0" w:color="auto"/>
            </w:tcBorders>
            <w:shd w:val="clear" w:color="auto" w:fill="auto"/>
            <w:hideMark/>
          </w:tcPr>
          <w:p w14:paraId="0FBBEF46" w14:textId="77777777" w:rsidR="00304F1D" w:rsidRPr="008B1975" w:rsidRDefault="00304F1D" w:rsidP="00BE28A3">
            <w:pPr>
              <w:pStyle w:val="Tabletext"/>
            </w:pPr>
            <w:r w:rsidRPr="008B1975">
              <w:t>The day after this instrument is registered.</w:t>
            </w:r>
          </w:p>
        </w:tc>
        <w:tc>
          <w:tcPr>
            <w:tcW w:w="1102" w:type="pct"/>
            <w:tcBorders>
              <w:top w:val="single" w:sz="12" w:space="0" w:color="auto"/>
              <w:bottom w:val="single" w:sz="12" w:space="0" w:color="auto"/>
            </w:tcBorders>
            <w:shd w:val="clear" w:color="auto" w:fill="auto"/>
          </w:tcPr>
          <w:p w14:paraId="37D70ED9" w14:textId="77777777" w:rsidR="00304F1D" w:rsidRPr="008B1975" w:rsidRDefault="00304F1D" w:rsidP="00BE28A3">
            <w:pPr>
              <w:pStyle w:val="Tabletext"/>
              <w:rPr>
                <w:i/>
              </w:rPr>
            </w:pPr>
          </w:p>
        </w:tc>
      </w:tr>
    </w:tbl>
    <w:p w14:paraId="41C94A11" w14:textId="77777777" w:rsidR="00304F1D" w:rsidRPr="008B1975" w:rsidRDefault="00304F1D" w:rsidP="00304F1D">
      <w:pPr>
        <w:pStyle w:val="notetext"/>
        <w:rPr>
          <w:snapToGrid w:val="0"/>
          <w:lang w:eastAsia="en-US"/>
        </w:rPr>
      </w:pPr>
      <w:r w:rsidRPr="008B1975">
        <w:rPr>
          <w:snapToGrid w:val="0"/>
          <w:lang w:eastAsia="en-US"/>
        </w:rPr>
        <w:t>Note 1:</w:t>
      </w:r>
      <w:r w:rsidRPr="008B1975">
        <w:rPr>
          <w:snapToGrid w:val="0"/>
          <w:lang w:eastAsia="en-US"/>
        </w:rPr>
        <w:tab/>
        <w:t>This table relates only to the provisions of this instrument</w:t>
      </w:r>
      <w:r w:rsidRPr="008B1975">
        <w:t xml:space="preserve"> </w:t>
      </w:r>
      <w:r w:rsidRPr="008B1975">
        <w:rPr>
          <w:snapToGrid w:val="0"/>
          <w:lang w:eastAsia="en-US"/>
        </w:rPr>
        <w:t>as originally made. It will not be amended to deal with any later amendments of this instrument.</w:t>
      </w:r>
    </w:p>
    <w:p w14:paraId="622B4CBC" w14:textId="77777777" w:rsidR="00304F1D" w:rsidRPr="008B1975" w:rsidRDefault="00304F1D" w:rsidP="00304F1D">
      <w:pPr>
        <w:pStyle w:val="notetext"/>
      </w:pPr>
      <w:r w:rsidRPr="008B1975">
        <w:rPr>
          <w:snapToGrid w:val="0"/>
          <w:lang w:eastAsia="en-US"/>
        </w:rPr>
        <w:t>Note 2:</w:t>
      </w:r>
      <w:r w:rsidRPr="008B1975">
        <w:rPr>
          <w:snapToGrid w:val="0"/>
          <w:lang w:eastAsia="en-US"/>
        </w:rPr>
        <w:tab/>
        <w:t xml:space="preserve">This instrument takes effect subject to subsection 31(4) of the </w:t>
      </w:r>
      <w:r w:rsidRPr="008B1975">
        <w:rPr>
          <w:i/>
          <w:snapToGrid w:val="0"/>
          <w:lang w:eastAsia="en-US"/>
        </w:rPr>
        <w:t>Disability Discrimination Act 1992</w:t>
      </w:r>
      <w:r w:rsidRPr="008B1975">
        <w:rPr>
          <w:snapToGrid w:val="0"/>
          <w:lang w:eastAsia="en-US"/>
        </w:rPr>
        <w:t>.</w:t>
      </w:r>
    </w:p>
    <w:p w14:paraId="322BAAFB" w14:textId="77777777" w:rsidR="00304F1D" w:rsidRPr="008B1975" w:rsidRDefault="00304F1D" w:rsidP="00304F1D">
      <w:pPr>
        <w:pStyle w:val="subsection"/>
      </w:pPr>
      <w:r w:rsidRPr="008B1975">
        <w:tab/>
        <w:t>(2)</w:t>
      </w:r>
      <w:r w:rsidRPr="008B1975">
        <w:tab/>
        <w:t>Any information in column 3 of the table is not part of this instrument. Information may be inserted in this column, or information in it may be edited, in any published version of this instrument.</w:t>
      </w:r>
    </w:p>
    <w:p w14:paraId="504B1B20" w14:textId="77777777" w:rsidR="005E317F" w:rsidRPr="008B1975" w:rsidRDefault="005E317F" w:rsidP="00F2317B">
      <w:pPr>
        <w:pStyle w:val="ActHead5"/>
      </w:pPr>
      <w:bookmarkStart w:id="5" w:name="_Toc197178928"/>
      <w:r w:rsidRPr="008B1975">
        <w:rPr>
          <w:rStyle w:val="CharSectno"/>
        </w:rPr>
        <w:t>3</w:t>
      </w:r>
      <w:r w:rsidRPr="008B1975">
        <w:t xml:space="preserve">  Authority</w:t>
      </w:r>
      <w:bookmarkEnd w:id="5"/>
    </w:p>
    <w:p w14:paraId="6C5C8073" w14:textId="77777777" w:rsidR="005E317F" w:rsidRPr="008B1975" w:rsidRDefault="005E317F" w:rsidP="005E317F">
      <w:pPr>
        <w:pStyle w:val="subsection"/>
      </w:pPr>
      <w:r w:rsidRPr="008B1975">
        <w:tab/>
      </w:r>
      <w:r w:rsidRPr="008B1975">
        <w:tab/>
        <w:t xml:space="preserve">This instrument is made under </w:t>
      </w:r>
      <w:r w:rsidR="00304F1D" w:rsidRPr="008B1975">
        <w:t xml:space="preserve">subsection 31(1) of the </w:t>
      </w:r>
      <w:r w:rsidR="00304F1D" w:rsidRPr="008B1975">
        <w:rPr>
          <w:i/>
        </w:rPr>
        <w:t>Disability Discrimination Act 1992</w:t>
      </w:r>
      <w:r w:rsidR="00304F1D" w:rsidRPr="008B1975">
        <w:t>.</w:t>
      </w:r>
    </w:p>
    <w:p w14:paraId="33B8B636" w14:textId="77777777" w:rsidR="005E317F" w:rsidRPr="008B1975" w:rsidRDefault="005E317F" w:rsidP="00F2317B">
      <w:pPr>
        <w:pStyle w:val="ActHead5"/>
      </w:pPr>
      <w:bookmarkStart w:id="6" w:name="_Toc197178929"/>
      <w:r w:rsidRPr="008B1975">
        <w:t>4  Schedules</w:t>
      </w:r>
      <w:bookmarkEnd w:id="6"/>
    </w:p>
    <w:p w14:paraId="503307F6" w14:textId="77777777" w:rsidR="00A35350" w:rsidRPr="008B1975" w:rsidRDefault="005E317F" w:rsidP="005E317F">
      <w:pPr>
        <w:pStyle w:val="subsection"/>
      </w:pPr>
      <w:r w:rsidRPr="008B1975">
        <w:tab/>
      </w:r>
      <w:r w:rsidRPr="008B1975">
        <w:tab/>
        <w:t>Each instrument that is specified in a Schedule to this instrument is amended or repealed as set out in the applicable items in the Schedule concerned, and any other item in a Schedule to this instrument has effect according to its terms.</w:t>
      </w:r>
    </w:p>
    <w:p w14:paraId="50C55A1C" w14:textId="77777777" w:rsidR="005E317F" w:rsidRPr="008B1975" w:rsidRDefault="00A35350" w:rsidP="00A35350">
      <w:pPr>
        <w:spacing w:line="240" w:lineRule="auto"/>
        <w:rPr>
          <w:rFonts w:eastAsia="Times New Roman" w:cs="Times New Roman"/>
          <w:lang w:eastAsia="en-AU"/>
        </w:rPr>
      </w:pPr>
      <w:r w:rsidRPr="008B1975">
        <w:br w:type="page"/>
      </w:r>
    </w:p>
    <w:p w14:paraId="3E1EB3AC" w14:textId="77777777" w:rsidR="005E317F" w:rsidRPr="008B1975" w:rsidRDefault="005E317F" w:rsidP="00A35350">
      <w:pPr>
        <w:pStyle w:val="ActHead6"/>
        <w:rPr>
          <w:rStyle w:val="CharAmSchText"/>
        </w:rPr>
      </w:pPr>
      <w:bookmarkStart w:id="7" w:name="_Toc197178930"/>
      <w:r w:rsidRPr="008B1975">
        <w:rPr>
          <w:rStyle w:val="CharAmSchNo"/>
        </w:rPr>
        <w:lastRenderedPageBreak/>
        <w:t>Schedule 1</w:t>
      </w:r>
      <w:r w:rsidRPr="008B1975">
        <w:t>—</w:t>
      </w:r>
      <w:r w:rsidR="00C052FA" w:rsidRPr="008B1975">
        <w:rPr>
          <w:rStyle w:val="CharAmSchText"/>
        </w:rPr>
        <w:t>Part 1 (Preliminary) Amendments</w:t>
      </w:r>
      <w:bookmarkEnd w:id="7"/>
    </w:p>
    <w:p w14:paraId="3ADF9C9C" w14:textId="77777777" w:rsidR="00304F1D" w:rsidRPr="00FC2E53" w:rsidRDefault="00304F1D" w:rsidP="00FC2E53">
      <w:pPr>
        <w:pStyle w:val="ActHead9"/>
      </w:pPr>
      <w:bookmarkStart w:id="8" w:name="_Toc197178931"/>
      <w:bookmarkStart w:id="9" w:name="_Hlk173164033"/>
      <w:r w:rsidRPr="00FC2E53">
        <w:t>Disability Standards for Accessible Public Transport 2002</w:t>
      </w:r>
      <w:bookmarkEnd w:id="8"/>
    </w:p>
    <w:p w14:paraId="2F87DF52" w14:textId="77777777" w:rsidR="00084B22" w:rsidRPr="008B1975" w:rsidRDefault="005373AF" w:rsidP="005373AF">
      <w:pPr>
        <w:pStyle w:val="ItemHead"/>
        <w:ind w:left="0" w:firstLine="0"/>
      </w:pPr>
      <w:bookmarkStart w:id="10" w:name="_Ref185282127"/>
      <w:r w:rsidRPr="008B1975">
        <w:t xml:space="preserve">1  </w:t>
      </w:r>
      <w:r w:rsidR="00084B22" w:rsidRPr="008B1975">
        <w:t>Section 1.6</w:t>
      </w:r>
      <w:bookmarkEnd w:id="10"/>
    </w:p>
    <w:p w14:paraId="0A8F0DAE" w14:textId="77777777" w:rsidR="00084B22" w:rsidRPr="008B1975" w:rsidRDefault="00084B22" w:rsidP="00084B22">
      <w:pPr>
        <w:pStyle w:val="Item"/>
      </w:pPr>
      <w:r w:rsidRPr="008B1975">
        <w:t>Repeal the section.</w:t>
      </w:r>
    </w:p>
    <w:p w14:paraId="2D0C8B3A" w14:textId="77777777" w:rsidR="00084B22" w:rsidRPr="008B1975" w:rsidRDefault="005373AF" w:rsidP="005373AF">
      <w:pPr>
        <w:pStyle w:val="ItemHead"/>
      </w:pPr>
      <w:bookmarkStart w:id="11" w:name="_Ref185282145"/>
      <w:r w:rsidRPr="008B1975">
        <w:t xml:space="preserve">2  </w:t>
      </w:r>
      <w:r w:rsidR="00084B22" w:rsidRPr="008B1975">
        <w:t>Section 1.7</w:t>
      </w:r>
      <w:bookmarkEnd w:id="11"/>
    </w:p>
    <w:p w14:paraId="554600B1" w14:textId="77777777" w:rsidR="00084B22" w:rsidRPr="008B1975" w:rsidRDefault="00084B22" w:rsidP="00084B22">
      <w:pPr>
        <w:pStyle w:val="Item"/>
      </w:pPr>
      <w:r w:rsidRPr="008B1975">
        <w:t>Repeal the section, substitute:</w:t>
      </w:r>
    </w:p>
    <w:p w14:paraId="79957138" w14:textId="77777777" w:rsidR="00084B22" w:rsidRPr="008B1975" w:rsidRDefault="00084B22" w:rsidP="006202EA">
      <w:pPr>
        <w:pStyle w:val="ActHead5"/>
        <w:outlineLvl w:val="9"/>
      </w:pPr>
      <w:r w:rsidRPr="008B1975">
        <w:t>1.7  Tables in sections provide for application of Standards</w:t>
      </w:r>
    </w:p>
    <w:p w14:paraId="75257943" w14:textId="77777777" w:rsidR="00084B22" w:rsidRPr="008B1975" w:rsidRDefault="00084B22" w:rsidP="00084B22">
      <w:pPr>
        <w:pStyle w:val="subsection"/>
      </w:pPr>
      <w:r w:rsidRPr="008B1975">
        <w:tab/>
      </w:r>
      <w:r w:rsidRPr="008B1975">
        <w:tab/>
        <w:t>These Standards apply to conveyances, premises and infrastructure as indicated in a table below each section.</w:t>
      </w:r>
    </w:p>
    <w:p w14:paraId="39A9EC5C" w14:textId="77777777" w:rsidR="00084B22" w:rsidRPr="008B1975" w:rsidRDefault="005373AF" w:rsidP="005373AF">
      <w:pPr>
        <w:pStyle w:val="ItemHead"/>
      </w:pPr>
      <w:bookmarkStart w:id="12" w:name="_Ref185283500"/>
      <w:bookmarkStart w:id="13" w:name="_Ref190422107"/>
      <w:r w:rsidRPr="008B1975">
        <w:t xml:space="preserve">3  </w:t>
      </w:r>
      <w:r w:rsidR="00084B22" w:rsidRPr="008B1975">
        <w:t>Section</w:t>
      </w:r>
      <w:r w:rsidR="008A40DA" w:rsidRPr="008B1975">
        <w:t>s</w:t>
      </w:r>
      <w:r w:rsidR="00084B22" w:rsidRPr="008B1975">
        <w:t xml:space="preserve"> 1.</w:t>
      </w:r>
      <w:r w:rsidR="008A40DA" w:rsidRPr="008B1975">
        <w:t>8 to</w:t>
      </w:r>
      <w:bookmarkEnd w:id="12"/>
      <w:r w:rsidR="006B2094" w:rsidRPr="008B1975">
        <w:t xml:space="preserve"> </w:t>
      </w:r>
      <w:r w:rsidR="00F15A1C" w:rsidRPr="008B1975">
        <w:t>1.11</w:t>
      </w:r>
      <w:bookmarkEnd w:id="13"/>
    </w:p>
    <w:p w14:paraId="46DD6A5A" w14:textId="77777777" w:rsidR="00084B22" w:rsidRPr="008B1975" w:rsidRDefault="00084B22" w:rsidP="00084B22">
      <w:pPr>
        <w:pStyle w:val="Item"/>
      </w:pPr>
      <w:r w:rsidRPr="008B1975">
        <w:t>Repeal the section</w:t>
      </w:r>
      <w:r w:rsidR="008A40DA" w:rsidRPr="008B1975">
        <w:t>s</w:t>
      </w:r>
      <w:r w:rsidRPr="008B1975">
        <w:t>, substitute:</w:t>
      </w:r>
    </w:p>
    <w:p w14:paraId="3745CBDF" w14:textId="77777777" w:rsidR="00084B22" w:rsidRPr="008B1975" w:rsidRDefault="00084B22" w:rsidP="006202EA">
      <w:pPr>
        <w:pStyle w:val="ActHead5"/>
        <w:outlineLvl w:val="9"/>
      </w:pPr>
      <w:r w:rsidRPr="008B1975">
        <w:t>1.8  Definitions</w:t>
      </w:r>
    </w:p>
    <w:p w14:paraId="0BAB074D" w14:textId="77777777" w:rsidR="00084B22" w:rsidRPr="008B1975" w:rsidRDefault="00084B22" w:rsidP="00084B22">
      <w:pPr>
        <w:pStyle w:val="notetext"/>
        <w:rPr>
          <w:color w:val="000000" w:themeColor="text1"/>
        </w:rPr>
      </w:pPr>
      <w:r w:rsidRPr="008B1975">
        <w:t>Note:</w:t>
      </w:r>
      <w:r w:rsidRPr="008B1975">
        <w:tab/>
        <w:t>A number of expressions used in this instrument are defined in the Act, including the following:</w:t>
      </w:r>
    </w:p>
    <w:p w14:paraId="3B43CDEB" w14:textId="77777777" w:rsidR="00084B22" w:rsidRPr="008B1975" w:rsidRDefault="00084B22" w:rsidP="00084B22">
      <w:pPr>
        <w:pStyle w:val="notepara"/>
      </w:pPr>
      <w:r w:rsidRPr="008B1975">
        <w:t>(a)</w:t>
      </w:r>
      <w:r w:rsidRPr="008B1975">
        <w:tab/>
        <w:t>Commission;</w:t>
      </w:r>
    </w:p>
    <w:p w14:paraId="333F8C02" w14:textId="77777777" w:rsidR="00084B22" w:rsidRPr="008B1975" w:rsidRDefault="00084B22" w:rsidP="00084B22">
      <w:pPr>
        <w:pStyle w:val="notepara"/>
      </w:pPr>
      <w:r w:rsidRPr="008B1975">
        <w:t>(b)</w:t>
      </w:r>
      <w:r w:rsidRPr="008B1975">
        <w:tab/>
        <w:t>disability;</w:t>
      </w:r>
    </w:p>
    <w:p w14:paraId="27EB0830" w14:textId="77777777" w:rsidR="00084B22" w:rsidRPr="008B1975" w:rsidRDefault="00084B22" w:rsidP="00084B22">
      <w:pPr>
        <w:pStyle w:val="notepara"/>
      </w:pPr>
      <w:r w:rsidRPr="008B1975">
        <w:t>(c)</w:t>
      </w:r>
      <w:r w:rsidRPr="008B1975">
        <w:tab/>
        <w:t>disability discrimination.</w:t>
      </w:r>
    </w:p>
    <w:p w14:paraId="7EA5DCA5" w14:textId="77777777" w:rsidR="00084B22" w:rsidRPr="008B1975" w:rsidRDefault="00084B22" w:rsidP="00084B22">
      <w:pPr>
        <w:pStyle w:val="subsection"/>
      </w:pPr>
      <w:r w:rsidRPr="008B1975">
        <w:tab/>
      </w:r>
      <w:r w:rsidRPr="008B1975">
        <w:tab/>
        <w:t>In these Standards:</w:t>
      </w:r>
    </w:p>
    <w:p w14:paraId="3C0EA386" w14:textId="77777777" w:rsidR="00C1642C" w:rsidRPr="008B1975" w:rsidRDefault="00C1642C" w:rsidP="00C1642C">
      <w:pPr>
        <w:pStyle w:val="Definition"/>
      </w:pPr>
      <w:r w:rsidRPr="008B1975">
        <w:rPr>
          <w:b/>
          <w:i/>
        </w:rPr>
        <w:t xml:space="preserve">Access Code </w:t>
      </w:r>
      <w:r w:rsidRPr="008B1975">
        <w:t>means the Access Code for Buildings, published by the Australian Building Codes Board, a copy of the text of which is set out in Schedule 1 to the Premises Standards.</w:t>
      </w:r>
    </w:p>
    <w:p w14:paraId="18A40FA4" w14:textId="77777777" w:rsidR="003D1A8C" w:rsidRPr="008B1975" w:rsidRDefault="003D1A8C" w:rsidP="003D1A8C">
      <w:pPr>
        <w:pStyle w:val="Definition"/>
        <w:rPr>
          <w:color w:val="000000" w:themeColor="text1"/>
        </w:rPr>
      </w:pPr>
      <w:r w:rsidRPr="008B1975">
        <w:rPr>
          <w:b/>
          <w:i/>
          <w:color w:val="000000" w:themeColor="text1"/>
        </w:rPr>
        <w:t>accessible</w:t>
      </w:r>
      <w:r w:rsidRPr="008B1975">
        <w:rPr>
          <w:color w:val="000000" w:themeColor="text1"/>
        </w:rPr>
        <w:t>:</w:t>
      </w:r>
    </w:p>
    <w:p w14:paraId="68F8D6C0" w14:textId="77777777" w:rsidR="003D1A8C" w:rsidRPr="008B1975" w:rsidRDefault="003D1A8C" w:rsidP="003D1A8C">
      <w:pPr>
        <w:pStyle w:val="paragraph"/>
        <w:rPr>
          <w:color w:val="000000" w:themeColor="text1"/>
        </w:rPr>
      </w:pPr>
      <w:r w:rsidRPr="008B1975">
        <w:rPr>
          <w:color w:val="000000" w:themeColor="text1"/>
        </w:rPr>
        <w:tab/>
        <w:t>(a)</w:t>
      </w:r>
      <w:r w:rsidRPr="008B1975">
        <w:rPr>
          <w:color w:val="000000" w:themeColor="text1"/>
        </w:rPr>
        <w:tab/>
        <w:t>in relation to a light rail car—means a light rail car that is marked as being accessible; or</w:t>
      </w:r>
    </w:p>
    <w:p w14:paraId="2D536B3A" w14:textId="77777777" w:rsidR="003D1A8C" w:rsidRPr="008B1975" w:rsidRDefault="003D1A8C" w:rsidP="003D1A8C">
      <w:pPr>
        <w:pStyle w:val="paragraph"/>
        <w:rPr>
          <w:color w:val="000000" w:themeColor="text1"/>
        </w:rPr>
      </w:pPr>
      <w:r w:rsidRPr="008B1975">
        <w:rPr>
          <w:color w:val="000000" w:themeColor="text1"/>
        </w:rPr>
        <w:tab/>
        <w:t>(b)</w:t>
      </w:r>
      <w:r w:rsidRPr="008B1975">
        <w:rPr>
          <w:color w:val="000000" w:themeColor="text1"/>
        </w:rPr>
        <w:tab/>
        <w:t>in relation to a taxi—means a taxi that is marked as being accessible; or</w:t>
      </w:r>
    </w:p>
    <w:p w14:paraId="744563FD" w14:textId="77777777" w:rsidR="003D1A8C" w:rsidRPr="008B1975" w:rsidRDefault="003D1A8C" w:rsidP="003D1A8C">
      <w:pPr>
        <w:pStyle w:val="paragraph"/>
        <w:rPr>
          <w:color w:val="000000" w:themeColor="text1"/>
        </w:rPr>
      </w:pPr>
      <w:r w:rsidRPr="008B1975">
        <w:rPr>
          <w:color w:val="000000" w:themeColor="text1"/>
        </w:rPr>
        <w:tab/>
        <w:t>(c)</w:t>
      </w:r>
      <w:r w:rsidRPr="008B1975">
        <w:rPr>
          <w:color w:val="000000" w:themeColor="text1"/>
        </w:rPr>
        <w:tab/>
        <w:t>in relation to a tram car—means a tram car that is marked as being accessible; or</w:t>
      </w:r>
    </w:p>
    <w:p w14:paraId="2519CB89" w14:textId="77777777" w:rsidR="003D1A8C" w:rsidRPr="008B1975" w:rsidRDefault="003D1A8C" w:rsidP="003D1A8C">
      <w:pPr>
        <w:pStyle w:val="paragraph"/>
        <w:rPr>
          <w:color w:val="000000" w:themeColor="text1"/>
        </w:rPr>
      </w:pPr>
      <w:r w:rsidRPr="008B1975">
        <w:rPr>
          <w:color w:val="000000" w:themeColor="text1"/>
        </w:rPr>
        <w:tab/>
        <w:t>(d)</w:t>
      </w:r>
      <w:r w:rsidRPr="008B1975">
        <w:rPr>
          <w:color w:val="000000" w:themeColor="text1"/>
        </w:rPr>
        <w:tab/>
        <w:t>in relation to a rail car—means a rail car that is marked as being accessible.</w:t>
      </w:r>
    </w:p>
    <w:p w14:paraId="69A20C87" w14:textId="77777777" w:rsidR="003D1A8C" w:rsidRPr="008B1975" w:rsidRDefault="003D1A8C" w:rsidP="003D1A8C">
      <w:pPr>
        <w:pStyle w:val="notetext"/>
        <w:rPr>
          <w:color w:val="000000" w:themeColor="text1"/>
        </w:rPr>
      </w:pPr>
      <w:r w:rsidRPr="008B1975">
        <w:rPr>
          <w:color w:val="000000" w:themeColor="text1"/>
        </w:rPr>
        <w:t>Note:</w:t>
      </w:r>
      <w:r w:rsidRPr="008B1975">
        <w:rPr>
          <w:color w:val="000000" w:themeColor="text1"/>
        </w:rPr>
        <w:tab/>
        <w:t>Section 8.1A provides that cars on certain conveyances must only be marked as being accessible if the conveyance provides access to certain facilities.</w:t>
      </w:r>
    </w:p>
    <w:p w14:paraId="66E078A9" w14:textId="77777777" w:rsidR="00E63D4B" w:rsidRPr="008B1975" w:rsidRDefault="00E63D4B" w:rsidP="00E63D4B">
      <w:pPr>
        <w:pStyle w:val="Definition"/>
      </w:pPr>
      <w:r w:rsidRPr="008B1975">
        <w:rPr>
          <w:b/>
          <w:i/>
        </w:rPr>
        <w:t>access path</w:t>
      </w:r>
      <w:r w:rsidRPr="008B1975">
        <w:t xml:space="preserve"> means a path that permits independent travel for all passengers to, into or within public transport premises, infrastructure or conveyances</w:t>
      </w:r>
      <w:r w:rsidR="008A40DA" w:rsidRPr="008B1975">
        <w:t>.</w:t>
      </w:r>
    </w:p>
    <w:p w14:paraId="4C81C84E" w14:textId="77777777" w:rsidR="00084B22" w:rsidRPr="008B1975" w:rsidRDefault="00084B22" w:rsidP="00084B22">
      <w:pPr>
        <w:pStyle w:val="Definition"/>
        <w:rPr>
          <w:i/>
        </w:rPr>
      </w:pPr>
      <w:r w:rsidRPr="008B1975">
        <w:rPr>
          <w:b/>
          <w:i/>
        </w:rPr>
        <w:t xml:space="preserve">Act </w:t>
      </w:r>
      <w:r w:rsidRPr="008B1975">
        <w:t xml:space="preserve">means the </w:t>
      </w:r>
      <w:r w:rsidRPr="008B1975">
        <w:rPr>
          <w:i/>
        </w:rPr>
        <w:t>Disability Discrimination Act 1992.</w:t>
      </w:r>
    </w:p>
    <w:p w14:paraId="29EE3B2B" w14:textId="77777777" w:rsidR="008A40DA" w:rsidRPr="008B1975" w:rsidRDefault="008A40DA" w:rsidP="00084B22">
      <w:pPr>
        <w:pStyle w:val="Definition"/>
      </w:pPr>
      <w:r w:rsidRPr="008B1975">
        <w:rPr>
          <w:b/>
          <w:i/>
        </w:rPr>
        <w:t>allocated</w:t>
      </w:r>
      <w:r w:rsidRPr="008B1975">
        <w:rPr>
          <w:i/>
        </w:rPr>
        <w:t xml:space="preserve"> </w:t>
      </w:r>
      <w:r w:rsidRPr="008B1975">
        <w:rPr>
          <w:b/>
          <w:i/>
        </w:rPr>
        <w:t>space</w:t>
      </w:r>
      <w:r w:rsidR="009511C4" w:rsidRPr="008B1975">
        <w:t xml:space="preserve"> means a three dimensional space that can accommodate a wheelchair or similar mobility aid</w:t>
      </w:r>
      <w:r w:rsidRPr="008B1975">
        <w:t>.</w:t>
      </w:r>
    </w:p>
    <w:p w14:paraId="3360AA80" w14:textId="77777777" w:rsidR="00084B22" w:rsidRPr="008B1975" w:rsidRDefault="00084B22" w:rsidP="00084B22">
      <w:pPr>
        <w:pStyle w:val="Definition"/>
        <w:rPr>
          <w:color w:val="000000"/>
          <w:szCs w:val="22"/>
        </w:rPr>
      </w:pPr>
      <w:r w:rsidRPr="008B1975">
        <w:rPr>
          <w:b/>
          <w:i/>
        </w:rPr>
        <w:lastRenderedPageBreak/>
        <w:t xml:space="preserve">AS 1428.1 (2009) </w:t>
      </w:r>
      <w:r w:rsidRPr="008B1975">
        <w:t xml:space="preserve">means </w:t>
      </w:r>
      <w:r w:rsidRPr="008B1975">
        <w:rPr>
          <w:i/>
        </w:rPr>
        <w:t>AS 1428.1-2009 Design for access and mobility, Part 1: General requirements for access - New building work</w:t>
      </w:r>
      <w:r w:rsidRPr="008B1975">
        <w:t xml:space="preserve">, </w:t>
      </w:r>
      <w:r w:rsidRPr="008B1975">
        <w:rPr>
          <w:color w:val="000000"/>
          <w:szCs w:val="22"/>
        </w:rPr>
        <w:t>as in force or existing at the time when this section commences.</w:t>
      </w:r>
    </w:p>
    <w:p w14:paraId="1E79CE16" w14:textId="77777777" w:rsidR="00084B22" w:rsidRPr="008B1975" w:rsidRDefault="00084B22" w:rsidP="00084B22">
      <w:pPr>
        <w:pStyle w:val="Definition"/>
      </w:pPr>
      <w:r w:rsidRPr="008B1975">
        <w:rPr>
          <w:b/>
          <w:i/>
        </w:rPr>
        <w:t xml:space="preserve">AS 1428.1 (2021) </w:t>
      </w:r>
      <w:r w:rsidRPr="008B1975">
        <w:t xml:space="preserve">means </w:t>
      </w:r>
      <w:r w:rsidRPr="008B1975">
        <w:rPr>
          <w:i/>
        </w:rPr>
        <w:t>AS 1428.1:2021 Design for access and mobility, Part 1: General requirements for access - New building work</w:t>
      </w:r>
      <w:r w:rsidRPr="008B1975">
        <w:t xml:space="preserve">, </w:t>
      </w:r>
      <w:r w:rsidRPr="008B1975">
        <w:rPr>
          <w:color w:val="000000"/>
          <w:szCs w:val="22"/>
        </w:rPr>
        <w:t>as in force or existing at the time when this section commences.</w:t>
      </w:r>
    </w:p>
    <w:p w14:paraId="41E3F6D0" w14:textId="77777777" w:rsidR="00084B22" w:rsidRPr="008B1975" w:rsidRDefault="00084B22" w:rsidP="00084B22">
      <w:pPr>
        <w:pStyle w:val="Definition"/>
        <w:rPr>
          <w:color w:val="000000"/>
          <w:szCs w:val="22"/>
        </w:rPr>
      </w:pPr>
      <w:r w:rsidRPr="008B1975">
        <w:rPr>
          <w:b/>
          <w:i/>
        </w:rPr>
        <w:t>AS 1428.2 (1992)</w:t>
      </w:r>
      <w:r w:rsidRPr="008B1975">
        <w:rPr>
          <w:i/>
        </w:rPr>
        <w:t xml:space="preserve"> </w:t>
      </w:r>
      <w:r w:rsidRPr="008B1975">
        <w:t xml:space="preserve">means </w:t>
      </w:r>
      <w:r w:rsidRPr="008B1975">
        <w:rPr>
          <w:i/>
        </w:rPr>
        <w:t>AS 1428.2-1992</w:t>
      </w:r>
      <w:r w:rsidRPr="008B1975">
        <w:t xml:space="preserve"> </w:t>
      </w:r>
      <w:r w:rsidRPr="008B1975">
        <w:rPr>
          <w:i/>
        </w:rPr>
        <w:t>Design for access and mobility, Part 2: Enhanced and additional requirements — Buildings and facilities</w:t>
      </w:r>
      <w:r w:rsidRPr="008B1975">
        <w:t>,</w:t>
      </w:r>
      <w:r w:rsidRPr="008B1975">
        <w:rPr>
          <w:color w:val="000000"/>
          <w:szCs w:val="22"/>
        </w:rPr>
        <w:t xml:space="preserve"> as in force or existing at the time when this section commences.</w:t>
      </w:r>
    </w:p>
    <w:p w14:paraId="618054B7" w14:textId="77777777" w:rsidR="00A13C15" w:rsidRPr="008B1975" w:rsidRDefault="00084B22" w:rsidP="00A13C15">
      <w:pPr>
        <w:pStyle w:val="Definition"/>
        <w:rPr>
          <w:color w:val="000000"/>
          <w:szCs w:val="22"/>
        </w:rPr>
      </w:pPr>
      <w:r w:rsidRPr="008B1975">
        <w:rPr>
          <w:b/>
          <w:i/>
        </w:rPr>
        <w:t xml:space="preserve">AS 1428.4.2 (2018) </w:t>
      </w:r>
      <w:r w:rsidRPr="008B1975">
        <w:t xml:space="preserve">means </w:t>
      </w:r>
      <w:r w:rsidRPr="008B1975">
        <w:rPr>
          <w:i/>
        </w:rPr>
        <w:t>AS 1428.4.2:2018 Design for access and mobility, Part 4.2: Means to assist the orientation of people with vision impairment — Wayfinding signs</w:t>
      </w:r>
      <w:r w:rsidRPr="008B1975">
        <w:t>,</w:t>
      </w:r>
      <w:r w:rsidRPr="008B1975">
        <w:rPr>
          <w:color w:val="000000"/>
          <w:szCs w:val="22"/>
        </w:rPr>
        <w:t xml:space="preserve"> as in force or existing at the time when this section commences.</w:t>
      </w:r>
    </w:p>
    <w:p w14:paraId="133ED171" w14:textId="77777777" w:rsidR="00084B22" w:rsidRPr="008B1975" w:rsidRDefault="00084B22" w:rsidP="00084B22">
      <w:pPr>
        <w:pStyle w:val="Definition"/>
        <w:rPr>
          <w:color w:val="000000"/>
          <w:szCs w:val="22"/>
        </w:rPr>
      </w:pPr>
      <w:r w:rsidRPr="008B1975">
        <w:rPr>
          <w:b/>
          <w:i/>
          <w:color w:val="000000"/>
          <w:szCs w:val="22"/>
        </w:rPr>
        <w:t xml:space="preserve">AS 1428.5 (2021) </w:t>
      </w:r>
      <w:r w:rsidRPr="008B1975">
        <w:rPr>
          <w:color w:val="000000"/>
          <w:szCs w:val="22"/>
        </w:rPr>
        <w:t xml:space="preserve">means </w:t>
      </w:r>
      <w:r w:rsidRPr="008B1975">
        <w:rPr>
          <w:i/>
          <w:color w:val="000000"/>
          <w:szCs w:val="22"/>
        </w:rPr>
        <w:t>AS 1428.5:2021 Design for access and mobility, Part 5: Communication for people who are deaf or hearing impaired</w:t>
      </w:r>
      <w:r w:rsidRPr="008B1975">
        <w:t>,</w:t>
      </w:r>
      <w:r w:rsidRPr="008B1975">
        <w:rPr>
          <w:color w:val="000000"/>
          <w:szCs w:val="22"/>
        </w:rPr>
        <w:t xml:space="preserve"> as in force or existing at the time when this section commences.</w:t>
      </w:r>
    </w:p>
    <w:p w14:paraId="6BF5912C" w14:textId="7030D321" w:rsidR="00084B22" w:rsidRPr="008B1975" w:rsidRDefault="00084B22" w:rsidP="00084B22">
      <w:pPr>
        <w:pStyle w:val="Definition"/>
        <w:rPr>
          <w:color w:val="000000"/>
          <w:szCs w:val="22"/>
        </w:rPr>
      </w:pPr>
      <w:r w:rsidRPr="008B1975">
        <w:rPr>
          <w:b/>
          <w:i/>
          <w:color w:val="000000"/>
          <w:szCs w:val="22"/>
        </w:rPr>
        <w:t>AS 17</w:t>
      </w:r>
      <w:r w:rsidR="00910906" w:rsidRPr="008B1975">
        <w:rPr>
          <w:b/>
          <w:i/>
          <w:color w:val="000000"/>
          <w:szCs w:val="22"/>
        </w:rPr>
        <w:t>3</w:t>
      </w:r>
      <w:r w:rsidRPr="008B1975">
        <w:rPr>
          <w:b/>
          <w:i/>
          <w:color w:val="000000"/>
          <w:szCs w:val="22"/>
        </w:rPr>
        <w:t xml:space="preserve">5.12 (2020) </w:t>
      </w:r>
      <w:r w:rsidRPr="008B1975">
        <w:rPr>
          <w:color w:val="000000"/>
          <w:szCs w:val="22"/>
        </w:rPr>
        <w:t xml:space="preserve">means </w:t>
      </w:r>
      <w:r w:rsidRPr="008B1975">
        <w:rPr>
          <w:i/>
          <w:color w:val="000000"/>
          <w:szCs w:val="22"/>
        </w:rPr>
        <w:t>AS 1735.12:2020 Lifts, escalators and moving walks, Part 12: Facilities for persons with disabilities (EN 81-70:2018, MOD)</w:t>
      </w:r>
      <w:r w:rsidRPr="008B1975">
        <w:rPr>
          <w:i/>
        </w:rPr>
        <w:t xml:space="preserve">, </w:t>
      </w:r>
      <w:r w:rsidRPr="008B1975">
        <w:rPr>
          <w:color w:val="000000"/>
          <w:szCs w:val="22"/>
        </w:rPr>
        <w:t>as in force or existing at the time when this section commences.</w:t>
      </w:r>
    </w:p>
    <w:p w14:paraId="175F0278" w14:textId="77777777" w:rsidR="00084B22" w:rsidRPr="008B1975" w:rsidRDefault="00084B22" w:rsidP="00084B22">
      <w:pPr>
        <w:pStyle w:val="Definition"/>
        <w:rPr>
          <w:color w:val="000000"/>
          <w:szCs w:val="22"/>
        </w:rPr>
      </w:pPr>
      <w:r w:rsidRPr="008B1975">
        <w:rPr>
          <w:b/>
          <w:i/>
          <w:color w:val="000000"/>
          <w:szCs w:val="22"/>
        </w:rPr>
        <w:t xml:space="preserve">AS 2890.5 (2020) </w:t>
      </w:r>
      <w:r w:rsidRPr="008B1975">
        <w:rPr>
          <w:color w:val="000000"/>
          <w:szCs w:val="22"/>
        </w:rPr>
        <w:t xml:space="preserve">means </w:t>
      </w:r>
      <w:r w:rsidRPr="008B1975">
        <w:rPr>
          <w:i/>
          <w:color w:val="000000"/>
          <w:szCs w:val="22"/>
        </w:rPr>
        <w:t>AS 2890.5:2020 Parking facilities, Part 5: On-street parking</w:t>
      </w:r>
      <w:r w:rsidRPr="008B1975">
        <w:t>,</w:t>
      </w:r>
      <w:r w:rsidRPr="008B1975">
        <w:rPr>
          <w:color w:val="000000"/>
          <w:szCs w:val="22"/>
        </w:rPr>
        <w:t xml:space="preserve"> as in force or existing at the time when this section commences.</w:t>
      </w:r>
    </w:p>
    <w:p w14:paraId="32EE65B3" w14:textId="77777777" w:rsidR="00084B22" w:rsidRPr="008B1975" w:rsidRDefault="00084B22" w:rsidP="00084B22">
      <w:pPr>
        <w:pStyle w:val="Definition"/>
        <w:rPr>
          <w:color w:val="000000"/>
          <w:szCs w:val="22"/>
        </w:rPr>
      </w:pPr>
      <w:r w:rsidRPr="008B1975">
        <w:rPr>
          <w:b/>
          <w:i/>
        </w:rPr>
        <w:t xml:space="preserve">AS 3962 (2001) </w:t>
      </w:r>
      <w:r w:rsidRPr="008B1975">
        <w:rPr>
          <w:color w:val="000000"/>
          <w:szCs w:val="22"/>
        </w:rPr>
        <w:t xml:space="preserve">means </w:t>
      </w:r>
      <w:r w:rsidRPr="008B1975">
        <w:rPr>
          <w:i/>
          <w:color w:val="000000"/>
          <w:szCs w:val="22"/>
        </w:rPr>
        <w:t>AS 3962-2001 Guidelines for design of marinas</w:t>
      </w:r>
      <w:r w:rsidRPr="008B1975">
        <w:rPr>
          <w:color w:val="000000"/>
          <w:szCs w:val="22"/>
        </w:rPr>
        <w:t>, as in force or existing at the time when this section commences.</w:t>
      </w:r>
    </w:p>
    <w:p w14:paraId="7EC04F07" w14:textId="77777777" w:rsidR="00084B22" w:rsidRPr="008B1975" w:rsidRDefault="00084B22" w:rsidP="00084B22">
      <w:pPr>
        <w:pStyle w:val="Definition"/>
      </w:pPr>
      <w:r w:rsidRPr="008B1975">
        <w:rPr>
          <w:b/>
          <w:i/>
        </w:rPr>
        <w:t xml:space="preserve">AS EN 301 549 (2020) </w:t>
      </w:r>
      <w:r w:rsidRPr="008B1975">
        <w:t xml:space="preserve">means </w:t>
      </w:r>
      <w:r w:rsidRPr="008B1975">
        <w:rPr>
          <w:i/>
        </w:rPr>
        <w:t>AS EN 301 549:2020 Accessibility requirements for ICT products and services</w:t>
      </w:r>
      <w:r w:rsidRPr="008B1975">
        <w:rPr>
          <w:color w:val="000000"/>
          <w:szCs w:val="22"/>
        </w:rPr>
        <w:t>, as in force or existing at the time when this section commences.</w:t>
      </w:r>
    </w:p>
    <w:p w14:paraId="32A4B8EE" w14:textId="77777777" w:rsidR="00084B22" w:rsidRPr="008B1975" w:rsidRDefault="00084B22" w:rsidP="00084B22">
      <w:pPr>
        <w:pStyle w:val="Definition"/>
      </w:pPr>
      <w:bookmarkStart w:id="14" w:name="_Hlk183694598"/>
      <w:r w:rsidRPr="008B1975">
        <w:rPr>
          <w:b/>
          <w:i/>
        </w:rPr>
        <w:t xml:space="preserve">ASNZS 2890.6 (2009) </w:t>
      </w:r>
      <w:bookmarkEnd w:id="14"/>
      <w:r w:rsidRPr="008B1975">
        <w:t xml:space="preserve">means </w:t>
      </w:r>
      <w:r w:rsidRPr="008B1975">
        <w:rPr>
          <w:i/>
        </w:rPr>
        <w:t>AS 2890.6:2009 Parking facilities, Part 6: Off-street parking for people with disabilities</w:t>
      </w:r>
      <w:r w:rsidRPr="008B1975">
        <w:t>,</w:t>
      </w:r>
      <w:r w:rsidRPr="008B1975">
        <w:rPr>
          <w:color w:val="000000"/>
          <w:szCs w:val="22"/>
        </w:rPr>
        <w:t xml:space="preserve"> as in force or existing at the time when this section commences.</w:t>
      </w:r>
    </w:p>
    <w:p w14:paraId="74573FD3" w14:textId="77777777" w:rsidR="00084B22" w:rsidRPr="008B1975" w:rsidRDefault="00084B22" w:rsidP="00084B22">
      <w:pPr>
        <w:pStyle w:val="Definition"/>
        <w:rPr>
          <w:color w:val="000000"/>
          <w:szCs w:val="22"/>
        </w:rPr>
      </w:pPr>
      <w:r w:rsidRPr="008B1975">
        <w:rPr>
          <w:b/>
          <w:i/>
        </w:rPr>
        <w:t xml:space="preserve">ASNZS 3856.1 (1998) </w:t>
      </w:r>
      <w:r w:rsidRPr="008B1975">
        <w:t xml:space="preserve">means </w:t>
      </w:r>
      <w:r w:rsidRPr="008B1975">
        <w:rPr>
          <w:i/>
        </w:rPr>
        <w:t>AS/NZS 3856.1:1998 Hoists and ramps for people with disabilities — Vehicle-mounted, Part 1: Product requirements</w:t>
      </w:r>
      <w:r w:rsidRPr="008B1975">
        <w:t>,</w:t>
      </w:r>
      <w:r w:rsidRPr="008B1975">
        <w:rPr>
          <w:color w:val="000000"/>
          <w:szCs w:val="22"/>
        </w:rPr>
        <w:t xml:space="preserve"> as in force or existing at the time when this section commences.</w:t>
      </w:r>
    </w:p>
    <w:p w14:paraId="523878CA" w14:textId="77777777" w:rsidR="003D1A8C" w:rsidRPr="008B1975" w:rsidRDefault="003D1A8C" w:rsidP="00084B22">
      <w:pPr>
        <w:pStyle w:val="Definition"/>
        <w:rPr>
          <w:color w:val="000000"/>
          <w:szCs w:val="22"/>
        </w:rPr>
      </w:pPr>
      <w:r w:rsidRPr="008B1975">
        <w:rPr>
          <w:b/>
          <w:i/>
          <w:shd w:val="clear" w:color="auto" w:fill="FFFFFF"/>
        </w:rPr>
        <w:t>AS/</w:t>
      </w:r>
      <w:r w:rsidRPr="008B1975">
        <w:rPr>
          <w:b/>
          <w:i/>
        </w:rPr>
        <w:t>NZS</w:t>
      </w:r>
      <w:r w:rsidRPr="008B1975">
        <w:rPr>
          <w:b/>
          <w:i/>
          <w:shd w:val="clear" w:color="auto" w:fill="FFFFFF"/>
        </w:rPr>
        <w:t xml:space="preserve"> 1428.4.1 (2009)</w:t>
      </w:r>
      <w:r w:rsidRPr="008B1975">
        <w:rPr>
          <w:shd w:val="clear" w:color="auto" w:fill="FFFFFF"/>
        </w:rPr>
        <w:t xml:space="preserve"> means </w:t>
      </w:r>
      <w:r w:rsidRPr="008B1975">
        <w:rPr>
          <w:i/>
          <w:shd w:val="clear" w:color="auto" w:fill="FFFFFF"/>
        </w:rPr>
        <w:t>AS/NZS 1428.4.1:2009 Design for access and mobility, Part 4.1: Means to assist the orientation of people with vision impairment - Tactile ground surface indicators</w:t>
      </w:r>
      <w:r w:rsidRPr="008B1975">
        <w:t>,</w:t>
      </w:r>
      <w:r w:rsidRPr="008B1975">
        <w:rPr>
          <w:color w:val="000000"/>
          <w:szCs w:val="22"/>
        </w:rPr>
        <w:t xml:space="preserve"> as in force or existing at the time when this section commences.</w:t>
      </w:r>
    </w:p>
    <w:p w14:paraId="5B7EB007" w14:textId="77777777" w:rsidR="00084B22" w:rsidRPr="008B1975" w:rsidRDefault="00084B22" w:rsidP="00084B22">
      <w:pPr>
        <w:pStyle w:val="Definition"/>
        <w:rPr>
          <w:color w:val="000000"/>
          <w:szCs w:val="22"/>
        </w:rPr>
      </w:pPr>
      <w:r w:rsidRPr="008B1975">
        <w:rPr>
          <w:b/>
          <w:i/>
        </w:rPr>
        <w:t xml:space="preserve">AS/NZS ISO 10865.1 </w:t>
      </w:r>
      <w:r w:rsidRPr="008B1975">
        <w:t xml:space="preserve">means </w:t>
      </w:r>
      <w:r w:rsidRPr="008B1975">
        <w:rPr>
          <w:i/>
        </w:rPr>
        <w:t>AS/NZS ISO 10865.1:2015 Wheelchair containment and occupant retention systems for accessible transport vehicles designed for use by both sitting and standing passengers, Part 1: Systems for rearward-facing wheelchair-seated passengers</w:t>
      </w:r>
      <w:r w:rsidRPr="008B1975">
        <w:t>,</w:t>
      </w:r>
      <w:r w:rsidRPr="008B1975">
        <w:rPr>
          <w:color w:val="000000"/>
          <w:szCs w:val="22"/>
        </w:rPr>
        <w:t xml:space="preserve"> as in force or existing at the time when this section commences.</w:t>
      </w:r>
    </w:p>
    <w:p w14:paraId="2633E3CC" w14:textId="77777777" w:rsidR="007F2F2D" w:rsidRPr="008B1975" w:rsidRDefault="007F2F2D" w:rsidP="007F2F2D">
      <w:pPr>
        <w:pStyle w:val="Definition"/>
      </w:pPr>
      <w:r w:rsidRPr="008B1975">
        <w:rPr>
          <w:b/>
          <w:i/>
        </w:rPr>
        <w:t xml:space="preserve">Australian Design Rule 58 </w:t>
      </w:r>
      <w:r w:rsidRPr="008B1975">
        <w:t xml:space="preserve">means </w:t>
      </w:r>
      <w:r w:rsidRPr="008B1975">
        <w:rPr>
          <w:i/>
        </w:rPr>
        <w:t>Australian Design Rule 58/00 — Requirements for Omnibuses Designed for Hire and Reward</w:t>
      </w:r>
      <w:r w:rsidRPr="008B1975">
        <w:t>.</w:t>
      </w:r>
    </w:p>
    <w:p w14:paraId="2FB6C820" w14:textId="77777777" w:rsidR="007B7AF1" w:rsidRPr="008B1975" w:rsidRDefault="007B7AF1" w:rsidP="00751A8A">
      <w:pPr>
        <w:pStyle w:val="notetext"/>
      </w:pPr>
      <w:r w:rsidRPr="008B1975">
        <w:lastRenderedPageBreak/>
        <w:t>Note:</w:t>
      </w:r>
      <w:r w:rsidRPr="008B1975">
        <w:tab/>
        <w:t xml:space="preserve">The Australian Design Rule 58 is also known as the </w:t>
      </w:r>
      <w:r w:rsidRPr="008B1975">
        <w:rPr>
          <w:i/>
        </w:rPr>
        <w:t>Vehicle Standard (Australian Design Rule 58/00 – Requirements for Omnibuses Designed for Hire and Reward) 2006.</w:t>
      </w:r>
    </w:p>
    <w:p w14:paraId="12284440" w14:textId="77777777" w:rsidR="004660DB" w:rsidRPr="008B1975" w:rsidRDefault="008A40DA" w:rsidP="00084B22">
      <w:pPr>
        <w:pStyle w:val="Definition"/>
        <w:rPr>
          <w:szCs w:val="22"/>
        </w:rPr>
      </w:pPr>
      <w:r w:rsidRPr="008B1975">
        <w:rPr>
          <w:b/>
          <w:i/>
          <w:color w:val="000000"/>
          <w:szCs w:val="22"/>
        </w:rPr>
        <w:t>boarding device</w:t>
      </w:r>
      <w:r w:rsidR="004660DB" w:rsidRPr="008B1975">
        <w:rPr>
          <w:b/>
          <w:i/>
          <w:color w:val="000000"/>
          <w:szCs w:val="22"/>
        </w:rPr>
        <w:t xml:space="preserve"> </w:t>
      </w:r>
      <w:r w:rsidR="00975520" w:rsidRPr="008B1975">
        <w:rPr>
          <w:szCs w:val="22"/>
        </w:rPr>
        <w:t>means a device designed to facilitate access to and from a conveyance, and includes hoists, removeable gangways, boarding ramps and scissor lifts, but does not include aerobridges.</w:t>
      </w:r>
    </w:p>
    <w:p w14:paraId="2DCF0FD0" w14:textId="77777777" w:rsidR="008A40DA" w:rsidRPr="008B1975" w:rsidRDefault="008A40DA" w:rsidP="00084B22">
      <w:pPr>
        <w:pStyle w:val="Definition"/>
        <w:rPr>
          <w:color w:val="000000"/>
          <w:szCs w:val="22"/>
        </w:rPr>
      </w:pPr>
      <w:r w:rsidRPr="008B1975">
        <w:rPr>
          <w:b/>
          <w:i/>
          <w:color w:val="000000"/>
          <w:szCs w:val="22"/>
        </w:rPr>
        <w:t>conveyance</w:t>
      </w:r>
      <w:r w:rsidRPr="008B1975">
        <w:rPr>
          <w:color w:val="000000"/>
          <w:szCs w:val="22"/>
        </w:rPr>
        <w:t>: see section 1.12.</w:t>
      </w:r>
    </w:p>
    <w:p w14:paraId="7B9E59C1" w14:textId="77777777" w:rsidR="008A40DA" w:rsidRPr="008B1975" w:rsidRDefault="008A40DA" w:rsidP="00084B22">
      <w:pPr>
        <w:pStyle w:val="Definition"/>
        <w:rPr>
          <w:color w:val="000000"/>
          <w:szCs w:val="22"/>
        </w:rPr>
      </w:pPr>
      <w:r w:rsidRPr="008B1975">
        <w:rPr>
          <w:b/>
          <w:i/>
          <w:color w:val="000000"/>
          <w:szCs w:val="22"/>
        </w:rPr>
        <w:t>dedicated school bus</w:t>
      </w:r>
      <w:r w:rsidRPr="008B1975">
        <w:rPr>
          <w:color w:val="000000"/>
          <w:szCs w:val="22"/>
        </w:rPr>
        <w:t xml:space="preserve">: </w:t>
      </w:r>
      <w:r w:rsidR="009511C4" w:rsidRPr="008B1975">
        <w:rPr>
          <w:szCs w:val="22"/>
        </w:rPr>
        <w:t xml:space="preserve">a bus is a </w:t>
      </w:r>
      <w:r w:rsidR="009511C4" w:rsidRPr="008B1975">
        <w:rPr>
          <w:b/>
          <w:i/>
          <w:szCs w:val="22"/>
        </w:rPr>
        <w:t>dedicated school bus</w:t>
      </w:r>
      <w:r w:rsidR="009511C4" w:rsidRPr="008B1975">
        <w:rPr>
          <w:szCs w:val="22"/>
        </w:rPr>
        <w:t xml:space="preserve"> only during the time in which it is being used to provide a </w:t>
      </w:r>
      <w:r w:rsidR="00B664C6" w:rsidRPr="008B1975">
        <w:rPr>
          <w:szCs w:val="22"/>
        </w:rPr>
        <w:t>service that operates to transport primary or secondary students to or from school or for other school purposes</w:t>
      </w:r>
      <w:r w:rsidRPr="008B1975">
        <w:rPr>
          <w:color w:val="000000"/>
          <w:szCs w:val="22"/>
        </w:rPr>
        <w:t>.</w:t>
      </w:r>
    </w:p>
    <w:p w14:paraId="04E62DFD" w14:textId="77777777" w:rsidR="009511C4" w:rsidRPr="008B1975" w:rsidRDefault="00680B47" w:rsidP="009511C4">
      <w:pPr>
        <w:pStyle w:val="Definition"/>
        <w:rPr>
          <w:szCs w:val="22"/>
        </w:rPr>
      </w:pPr>
      <w:r w:rsidRPr="008B1975">
        <w:rPr>
          <w:b/>
          <w:i/>
          <w:color w:val="000000"/>
          <w:szCs w:val="22"/>
        </w:rPr>
        <w:t>dial-a-ride service</w:t>
      </w:r>
      <w:r w:rsidR="009511C4" w:rsidRPr="008B1975">
        <w:rPr>
          <w:color w:val="000000"/>
          <w:szCs w:val="22"/>
        </w:rPr>
        <w:t xml:space="preserve"> </w:t>
      </w:r>
      <w:r w:rsidR="009511C4" w:rsidRPr="008B1975">
        <w:rPr>
          <w:szCs w:val="22"/>
        </w:rPr>
        <w:t>means a service that:</w:t>
      </w:r>
    </w:p>
    <w:p w14:paraId="0D7EF38B" w14:textId="77777777" w:rsidR="009511C4" w:rsidRPr="008B1975" w:rsidRDefault="009511C4" w:rsidP="009511C4">
      <w:pPr>
        <w:pStyle w:val="paragraph"/>
      </w:pPr>
      <w:r w:rsidRPr="008B1975">
        <w:tab/>
        <w:t>(a)</w:t>
      </w:r>
      <w:r w:rsidRPr="008B1975">
        <w:tab/>
        <w:t>is usually operated by a small bus; and</w:t>
      </w:r>
    </w:p>
    <w:p w14:paraId="5A51CA8D" w14:textId="77777777" w:rsidR="009511C4" w:rsidRPr="008B1975" w:rsidRDefault="009511C4" w:rsidP="009511C4">
      <w:pPr>
        <w:pStyle w:val="paragraph"/>
      </w:pPr>
      <w:r w:rsidRPr="008B1975">
        <w:tab/>
        <w:t>(b)</w:t>
      </w:r>
      <w:r w:rsidRPr="008B1975">
        <w:tab/>
        <w:t>serves a local community; and</w:t>
      </w:r>
    </w:p>
    <w:p w14:paraId="0ED45FC3" w14:textId="77777777" w:rsidR="00680B47" w:rsidRPr="008B1975" w:rsidRDefault="009511C4" w:rsidP="009511C4">
      <w:pPr>
        <w:pStyle w:val="paragraph"/>
      </w:pPr>
      <w:r w:rsidRPr="008B1975">
        <w:tab/>
        <w:t>(c)</w:t>
      </w:r>
      <w:r w:rsidRPr="008B1975">
        <w:tab/>
        <w:t>operates on flexible routes that allow passengers to be picked up and dropped off at their front doors.</w:t>
      </w:r>
    </w:p>
    <w:p w14:paraId="046A7BD5" w14:textId="77777777" w:rsidR="009511C4" w:rsidRPr="008B1975" w:rsidRDefault="00680B47" w:rsidP="009511C4">
      <w:pPr>
        <w:pStyle w:val="Definition"/>
        <w:rPr>
          <w:szCs w:val="22"/>
        </w:rPr>
      </w:pPr>
      <w:r w:rsidRPr="008B1975">
        <w:rPr>
          <w:b/>
          <w:i/>
          <w:color w:val="000000"/>
          <w:szCs w:val="22"/>
        </w:rPr>
        <w:t>direct assistance</w:t>
      </w:r>
      <w:r w:rsidRPr="008B1975">
        <w:rPr>
          <w:color w:val="000000"/>
          <w:szCs w:val="22"/>
        </w:rPr>
        <w:t xml:space="preserve"> </w:t>
      </w:r>
      <w:r w:rsidR="009511C4" w:rsidRPr="008B1975">
        <w:rPr>
          <w:szCs w:val="22"/>
        </w:rPr>
        <w:t>means help given by an operator or provider:</w:t>
      </w:r>
    </w:p>
    <w:p w14:paraId="041D5281" w14:textId="77777777" w:rsidR="009511C4" w:rsidRPr="008B1975" w:rsidRDefault="009511C4" w:rsidP="009511C4">
      <w:pPr>
        <w:pStyle w:val="paragraph"/>
      </w:pPr>
      <w:r w:rsidRPr="008B1975">
        <w:tab/>
        <w:t>(a)</w:t>
      </w:r>
      <w:r w:rsidRPr="008B1975">
        <w:tab/>
        <w:t>to make public transport accessible to a person with a disability when premises, infrastructure or conveyances do not fully comply with these Standards; or</w:t>
      </w:r>
    </w:p>
    <w:p w14:paraId="73F2D436" w14:textId="77777777" w:rsidR="00680B47" w:rsidRPr="008B1975" w:rsidRDefault="009511C4" w:rsidP="009511C4">
      <w:pPr>
        <w:pStyle w:val="paragraph"/>
      </w:pPr>
      <w:r w:rsidRPr="008B1975">
        <w:tab/>
        <w:t>(b)</w:t>
      </w:r>
      <w:r w:rsidRPr="008B1975">
        <w:tab/>
        <w:t>to provide non‑discriminatory access on request.</w:t>
      </w:r>
    </w:p>
    <w:p w14:paraId="45C4020B" w14:textId="77777777" w:rsidR="00680B47" w:rsidRPr="008B1975" w:rsidRDefault="00680B47" w:rsidP="00084B22">
      <w:pPr>
        <w:pStyle w:val="Definition"/>
        <w:rPr>
          <w:szCs w:val="22"/>
        </w:rPr>
      </w:pPr>
      <w:r w:rsidRPr="008B1975">
        <w:rPr>
          <w:b/>
          <w:i/>
          <w:szCs w:val="22"/>
        </w:rPr>
        <w:t>equivalent access</w:t>
      </w:r>
      <w:r w:rsidRPr="008B1975">
        <w:rPr>
          <w:szCs w:val="22"/>
        </w:rPr>
        <w:t>: see section 1.16.</w:t>
      </w:r>
    </w:p>
    <w:p w14:paraId="0B8F4587" w14:textId="77777777" w:rsidR="008A40DA" w:rsidRPr="008B1975" w:rsidRDefault="008A40DA" w:rsidP="00084B22">
      <w:pPr>
        <w:pStyle w:val="Definition"/>
      </w:pPr>
      <w:r w:rsidRPr="008B1975">
        <w:rPr>
          <w:b/>
          <w:i/>
        </w:rPr>
        <w:t>fixed gangway</w:t>
      </w:r>
      <w:r w:rsidR="00E7238E" w:rsidRPr="008B1975">
        <w:t xml:space="preserve"> means a structure that provides pedestrian access between a fixed jetty or shore and a floating structure.</w:t>
      </w:r>
    </w:p>
    <w:p w14:paraId="126B043E" w14:textId="77777777" w:rsidR="00680B47" w:rsidRPr="008B1975" w:rsidRDefault="00680B47" w:rsidP="00680B47">
      <w:pPr>
        <w:pStyle w:val="Definition"/>
      </w:pPr>
      <w:r w:rsidRPr="008B1975">
        <w:rPr>
          <w:b/>
          <w:i/>
        </w:rPr>
        <w:t>hail-and-ride service</w:t>
      </w:r>
      <w:r w:rsidRPr="008B1975">
        <w:t xml:space="preserve"> </w:t>
      </w:r>
      <w:r w:rsidR="009511C4" w:rsidRPr="008B1975">
        <w:t>means a service operated by a bus that follows set routes, but may stop for passengers at any safe point on the route.</w:t>
      </w:r>
    </w:p>
    <w:p w14:paraId="2E8E7AD8" w14:textId="77777777" w:rsidR="00680B47" w:rsidRPr="008B1975" w:rsidRDefault="00680B47" w:rsidP="00084B22">
      <w:pPr>
        <w:pStyle w:val="Definition"/>
      </w:pPr>
      <w:r w:rsidRPr="008B1975">
        <w:rPr>
          <w:b/>
          <w:i/>
        </w:rPr>
        <w:t>infrastructure</w:t>
      </w:r>
      <w:r w:rsidRPr="008B1975">
        <w:t>: see section 1.18.</w:t>
      </w:r>
    </w:p>
    <w:p w14:paraId="2B0B6C6A" w14:textId="77777777" w:rsidR="00D27B0F" w:rsidRPr="008B1975" w:rsidRDefault="00D27B0F" w:rsidP="00084B22">
      <w:pPr>
        <w:pStyle w:val="Definition"/>
        <w:rPr>
          <w:szCs w:val="22"/>
        </w:rPr>
      </w:pPr>
      <w:r w:rsidRPr="008B1975">
        <w:rPr>
          <w:b/>
          <w:i/>
          <w:szCs w:val="22"/>
        </w:rPr>
        <w:t>ISO</w:t>
      </w:r>
      <w:r w:rsidR="000358E0" w:rsidRPr="008B1975">
        <w:rPr>
          <w:b/>
          <w:i/>
          <w:szCs w:val="22"/>
        </w:rPr>
        <w:t xml:space="preserve"> 7001</w:t>
      </w:r>
      <w:r w:rsidRPr="008B1975">
        <w:rPr>
          <w:b/>
          <w:i/>
          <w:szCs w:val="22"/>
        </w:rPr>
        <w:t xml:space="preserve"> </w:t>
      </w:r>
      <w:r w:rsidRPr="008B1975">
        <w:rPr>
          <w:szCs w:val="22"/>
        </w:rPr>
        <w:t xml:space="preserve">means </w:t>
      </w:r>
      <w:r w:rsidRPr="008B1975">
        <w:rPr>
          <w:i/>
          <w:szCs w:val="22"/>
        </w:rPr>
        <w:t>ISO 7001:</w:t>
      </w:r>
      <w:r w:rsidR="000358E0" w:rsidRPr="008B1975">
        <w:rPr>
          <w:i/>
          <w:szCs w:val="22"/>
        </w:rPr>
        <w:t>2007</w:t>
      </w:r>
      <w:r w:rsidRPr="008B1975">
        <w:rPr>
          <w:i/>
          <w:szCs w:val="22"/>
        </w:rPr>
        <w:t xml:space="preserve"> Graphical symbols — Registered public information symbols</w:t>
      </w:r>
      <w:r w:rsidRPr="008B1975">
        <w:rPr>
          <w:szCs w:val="22"/>
        </w:rPr>
        <w:t>,</w:t>
      </w:r>
      <w:r w:rsidRPr="008B1975">
        <w:t xml:space="preserve"> </w:t>
      </w:r>
      <w:r w:rsidRPr="008B1975">
        <w:rPr>
          <w:szCs w:val="22"/>
        </w:rPr>
        <w:t>as in force or existing at the time when this section commences.</w:t>
      </w:r>
    </w:p>
    <w:p w14:paraId="704ADDF8" w14:textId="77777777" w:rsidR="00680B47" w:rsidRPr="008B1975" w:rsidRDefault="00680B47" w:rsidP="00084B22">
      <w:pPr>
        <w:pStyle w:val="Definition"/>
      </w:pPr>
      <w:r w:rsidRPr="008B1975">
        <w:rPr>
          <w:b/>
          <w:i/>
        </w:rPr>
        <w:t>manoeuvring area</w:t>
      </w:r>
      <w:r w:rsidRPr="008B1975">
        <w:t xml:space="preserve"> </w:t>
      </w:r>
      <w:r w:rsidR="00F15A1C" w:rsidRPr="008B1975">
        <w:t>means a space in which a wheelchair or similar mobility aid is able to turn</w:t>
      </w:r>
      <w:r w:rsidRPr="008B1975">
        <w:t>.</w:t>
      </w:r>
    </w:p>
    <w:p w14:paraId="03326D88" w14:textId="77777777" w:rsidR="00680B47" w:rsidRPr="008B1975" w:rsidRDefault="00680B47" w:rsidP="00084B22">
      <w:pPr>
        <w:pStyle w:val="Definition"/>
      </w:pPr>
      <w:r w:rsidRPr="008B1975">
        <w:rPr>
          <w:b/>
          <w:i/>
        </w:rPr>
        <w:t>operator</w:t>
      </w:r>
      <w:r w:rsidRPr="008B1975">
        <w:t>: see section 1.20.</w:t>
      </w:r>
    </w:p>
    <w:p w14:paraId="40A0A664" w14:textId="77777777" w:rsidR="00AB1BD2" w:rsidRPr="008B1975" w:rsidRDefault="00AB1BD2" w:rsidP="00084B22">
      <w:pPr>
        <w:pStyle w:val="Definition"/>
      </w:pPr>
      <w:r w:rsidRPr="008B1975">
        <w:rPr>
          <w:b/>
          <w:i/>
        </w:rPr>
        <w:t>passenger loading zone</w:t>
      </w:r>
      <w:r w:rsidRPr="008B1975">
        <w:t xml:space="preserve"> means an area with one or more spaces for vehicles to stop at in order to pick up or drop off passengers.</w:t>
      </w:r>
    </w:p>
    <w:p w14:paraId="6E1C15B5" w14:textId="77777777" w:rsidR="00680B47" w:rsidRPr="008B1975" w:rsidRDefault="00680B47" w:rsidP="00084B22">
      <w:pPr>
        <w:pStyle w:val="Definition"/>
      </w:pPr>
      <w:r w:rsidRPr="008B1975">
        <w:rPr>
          <w:b/>
          <w:i/>
        </w:rPr>
        <w:t>premises</w:t>
      </w:r>
      <w:r w:rsidR="00F15A1C" w:rsidRPr="008B1975">
        <w:t xml:space="preserve"> means structures, buildings or attached facilities that an operator provides for passenger use as part of a public transport service</w:t>
      </w:r>
      <w:r w:rsidR="006C2B77" w:rsidRPr="008B1975">
        <w:t>.</w:t>
      </w:r>
    </w:p>
    <w:p w14:paraId="4679A741" w14:textId="77777777" w:rsidR="006C2B77" w:rsidRPr="008B1975" w:rsidRDefault="006C2B77" w:rsidP="00084B22">
      <w:pPr>
        <w:pStyle w:val="Definition"/>
        <w:rPr>
          <w:i/>
        </w:rPr>
      </w:pPr>
      <w:r w:rsidRPr="008B1975">
        <w:rPr>
          <w:b/>
          <w:i/>
        </w:rPr>
        <w:t>Premises Standards</w:t>
      </w:r>
      <w:r w:rsidRPr="008B1975">
        <w:t xml:space="preserve"> means the </w:t>
      </w:r>
      <w:r w:rsidRPr="008B1975">
        <w:rPr>
          <w:i/>
        </w:rPr>
        <w:t>Disability (Access to Premises — Buildings) Standards 2010.</w:t>
      </w:r>
    </w:p>
    <w:p w14:paraId="44125509" w14:textId="77777777" w:rsidR="00F15A1C" w:rsidRPr="008B1975" w:rsidRDefault="006C2B77" w:rsidP="00F15A1C">
      <w:pPr>
        <w:pStyle w:val="Definition"/>
        <w:rPr>
          <w:color w:val="000000" w:themeColor="text1"/>
        </w:rPr>
      </w:pPr>
      <w:r w:rsidRPr="008B1975">
        <w:rPr>
          <w:b/>
          <w:i/>
        </w:rPr>
        <w:t>premises to which the Premises Standards apply</w:t>
      </w:r>
      <w:r w:rsidR="00F15A1C" w:rsidRPr="008B1975">
        <w:t xml:space="preserve"> means premises to which Part H2 of the Access Code applies</w:t>
      </w:r>
      <w:r w:rsidR="00F15A1C" w:rsidRPr="008B1975">
        <w:rPr>
          <w:color w:val="000000" w:themeColor="text1"/>
        </w:rPr>
        <w:t xml:space="preserve"> that are:</w:t>
      </w:r>
    </w:p>
    <w:p w14:paraId="0E550DBE" w14:textId="77777777" w:rsidR="00F15A1C" w:rsidRPr="008B1975" w:rsidRDefault="00F15A1C" w:rsidP="00F15A1C">
      <w:pPr>
        <w:pStyle w:val="paragraph"/>
        <w:rPr>
          <w:color w:val="000000" w:themeColor="text1"/>
        </w:rPr>
      </w:pPr>
      <w:r w:rsidRPr="008B1975">
        <w:rPr>
          <w:color w:val="000000" w:themeColor="text1"/>
        </w:rPr>
        <w:lastRenderedPageBreak/>
        <w:tab/>
        <w:t>(a)</w:t>
      </w:r>
      <w:r w:rsidRPr="008B1975">
        <w:rPr>
          <w:color w:val="000000" w:themeColor="text1"/>
        </w:rPr>
        <w:tab/>
        <w:t>a new building, or a new part or an affected part of a building, within the meaning of the Premises Standards; or</w:t>
      </w:r>
    </w:p>
    <w:p w14:paraId="6FFCF2D5" w14:textId="77777777" w:rsidR="008A44E5" w:rsidRPr="008B1975" w:rsidRDefault="00F15A1C" w:rsidP="008A44E5">
      <w:pPr>
        <w:pStyle w:val="paragraph"/>
        <w:rPr>
          <w:color w:val="000000" w:themeColor="text1"/>
        </w:rPr>
      </w:pPr>
      <w:r w:rsidRPr="008B1975">
        <w:rPr>
          <w:color w:val="000000" w:themeColor="text1"/>
        </w:rPr>
        <w:tab/>
        <w:t>(b)</w:t>
      </w:r>
      <w:r w:rsidRPr="008B1975">
        <w:rPr>
          <w:color w:val="000000" w:themeColor="text1"/>
        </w:rPr>
        <w:tab/>
        <w:t>an existing public transport building, within the meaning of the Premises Standards, that is still in use on the target date mentioned in an item in the table in section 3.1 of the Premises Standards</w:t>
      </w:r>
      <w:r w:rsidR="006C2B77" w:rsidRPr="008B1975">
        <w:rPr>
          <w:color w:val="000000" w:themeColor="text1"/>
        </w:rPr>
        <w:t>.</w:t>
      </w:r>
    </w:p>
    <w:p w14:paraId="0CF97B32" w14:textId="77777777" w:rsidR="006633FB" w:rsidRPr="008B1975" w:rsidRDefault="006633FB" w:rsidP="00084B22">
      <w:pPr>
        <w:pStyle w:val="Definition"/>
      </w:pPr>
      <w:r w:rsidRPr="008B1975">
        <w:rPr>
          <w:b/>
          <w:i/>
        </w:rPr>
        <w:t>priority seat</w:t>
      </w:r>
      <w:r w:rsidRPr="008B1975">
        <w:t xml:space="preserve"> means a seat identified as available for a person with </w:t>
      </w:r>
      <w:r w:rsidR="000F4635" w:rsidRPr="008B1975">
        <w:t>a disability</w:t>
      </w:r>
      <w:r w:rsidRPr="008B1975" w:rsidDel="00BB2E99">
        <w:t xml:space="preserve"> </w:t>
      </w:r>
      <w:r w:rsidRPr="008B1975">
        <w:t>if the person requires a seat.</w:t>
      </w:r>
    </w:p>
    <w:p w14:paraId="59F7EBE1" w14:textId="77777777" w:rsidR="006C2B77" w:rsidRPr="008B1975" w:rsidRDefault="006C2B77" w:rsidP="00084B22">
      <w:pPr>
        <w:pStyle w:val="Definition"/>
      </w:pPr>
      <w:r w:rsidRPr="008B1975">
        <w:rPr>
          <w:b/>
          <w:i/>
        </w:rPr>
        <w:t>provider</w:t>
      </w:r>
      <w:r w:rsidRPr="008B1975">
        <w:t>: see section 1.22.</w:t>
      </w:r>
    </w:p>
    <w:p w14:paraId="1720F1DB" w14:textId="77777777" w:rsidR="00FF40A6" w:rsidRPr="008B1975" w:rsidRDefault="006C2B77" w:rsidP="00FF40A6">
      <w:pPr>
        <w:pStyle w:val="Definition"/>
      </w:pPr>
      <w:r w:rsidRPr="008B1975">
        <w:rPr>
          <w:b/>
          <w:i/>
        </w:rPr>
        <w:t>public transport service</w:t>
      </w:r>
      <w:r w:rsidRPr="008B1975">
        <w:t>: see section 1.23.</w:t>
      </w:r>
    </w:p>
    <w:p w14:paraId="65EB0D3D" w14:textId="77777777" w:rsidR="00FF40A6" w:rsidRPr="008B1975" w:rsidRDefault="00FF40A6" w:rsidP="00FF40A6">
      <w:pPr>
        <w:pStyle w:val="Definition"/>
      </w:pPr>
      <w:r w:rsidRPr="008B1975">
        <w:rPr>
          <w:b/>
          <w:i/>
        </w:rPr>
        <w:t xml:space="preserve">removeable gangway </w:t>
      </w:r>
      <w:r w:rsidRPr="008B1975">
        <w:t>means a deployable ramp that bridges the gap between a pontoon boarding point and ferry deck.</w:t>
      </w:r>
    </w:p>
    <w:p w14:paraId="0567BD39" w14:textId="77777777" w:rsidR="003F5691" w:rsidRPr="008B1975" w:rsidRDefault="003F5691" w:rsidP="00084B22">
      <w:pPr>
        <w:pStyle w:val="Definition"/>
      </w:pPr>
      <w:r w:rsidRPr="008B1975">
        <w:rPr>
          <w:b/>
          <w:i/>
        </w:rPr>
        <w:t>Rules of Unified English Braille</w:t>
      </w:r>
      <w:r w:rsidRPr="008B1975">
        <w:t xml:space="preserve"> means </w:t>
      </w:r>
      <w:r w:rsidRPr="008B1975">
        <w:rPr>
          <w:i/>
        </w:rPr>
        <w:t>The Rules of Unified English Braille Third Edition 2024</w:t>
      </w:r>
      <w:r w:rsidRPr="008B1975">
        <w:t>, as in force or existing at the time when this section commences.</w:t>
      </w:r>
    </w:p>
    <w:p w14:paraId="77D2E1EF" w14:textId="6684B2D9" w:rsidR="006C2B77" w:rsidRPr="008B1975" w:rsidRDefault="006C2B77" w:rsidP="00084B22">
      <w:pPr>
        <w:pStyle w:val="Definition"/>
      </w:pPr>
      <w:r w:rsidRPr="008B1975">
        <w:rPr>
          <w:b/>
          <w:i/>
        </w:rPr>
        <w:t>small aircraft</w:t>
      </w:r>
      <w:r w:rsidRPr="008B1975">
        <w:rPr>
          <w:i/>
        </w:rPr>
        <w:t xml:space="preserve"> </w:t>
      </w:r>
      <w:r w:rsidR="00F15A1C" w:rsidRPr="008B1975">
        <w:t xml:space="preserve">means an aircraft with </w:t>
      </w:r>
      <w:r w:rsidR="008A44E5" w:rsidRPr="008B1975">
        <w:t>fewer</w:t>
      </w:r>
      <w:r w:rsidR="00F15A1C" w:rsidRPr="008B1975">
        <w:t xml:space="preserve"> than 30 seats for the carriage of passengers</w:t>
      </w:r>
      <w:r w:rsidRPr="008B1975">
        <w:t>.</w:t>
      </w:r>
    </w:p>
    <w:p w14:paraId="606BD304" w14:textId="5909F06B" w:rsidR="00910906" w:rsidRPr="008B1975" w:rsidRDefault="00910906" w:rsidP="00910906">
      <w:pPr>
        <w:pStyle w:val="Definition"/>
      </w:pPr>
      <w:r w:rsidRPr="008B1975">
        <w:rPr>
          <w:b/>
          <w:i/>
        </w:rPr>
        <w:t xml:space="preserve">WCAG </w:t>
      </w:r>
      <w:r w:rsidRPr="008B1975">
        <w:t>means the Web Content Accessibility Guidelines (WCAG) 2.1</w:t>
      </w:r>
      <w:r w:rsidR="0099092D" w:rsidRPr="008B1975">
        <w:t>,</w:t>
      </w:r>
      <w:r w:rsidRPr="008B1975">
        <w:t xml:space="preserve"> as </w:t>
      </w:r>
      <w:r w:rsidR="0099092D" w:rsidRPr="008B1975">
        <w:t xml:space="preserve">in force or </w:t>
      </w:r>
      <w:r w:rsidRPr="008B1975">
        <w:t>existing on the day this section commences.</w:t>
      </w:r>
    </w:p>
    <w:p w14:paraId="238B35A5" w14:textId="5686CA2D" w:rsidR="00910906" w:rsidRPr="008B1975" w:rsidRDefault="00910906" w:rsidP="00910906">
      <w:pPr>
        <w:pStyle w:val="notetext"/>
      </w:pPr>
      <w:r w:rsidRPr="008B1975">
        <w:t>Note:</w:t>
      </w:r>
      <w:r w:rsidRPr="008B1975">
        <w:tab/>
        <w:t xml:space="preserve">The </w:t>
      </w:r>
      <w:r w:rsidR="0099092D" w:rsidRPr="008B1975">
        <w:t>WCAG</w:t>
      </w:r>
      <w:r w:rsidRPr="008B1975">
        <w:t xml:space="preserve"> could in 202</w:t>
      </w:r>
      <w:r w:rsidR="0099092D" w:rsidRPr="008B1975">
        <w:t>5</w:t>
      </w:r>
      <w:r w:rsidRPr="008B1975">
        <w:t xml:space="preserve"> be viewed on the World Wide Web Consortium’s website (www.w3.org).</w:t>
      </w:r>
    </w:p>
    <w:p w14:paraId="703290CC" w14:textId="77777777" w:rsidR="004F1282" w:rsidRPr="008B1975" w:rsidRDefault="005373AF" w:rsidP="005373AF">
      <w:pPr>
        <w:pStyle w:val="ItemHead"/>
      </w:pPr>
      <w:bookmarkStart w:id="15" w:name="_Ref189498303"/>
      <w:bookmarkStart w:id="16" w:name="_Ref185283509"/>
      <w:r w:rsidRPr="008B1975">
        <w:t xml:space="preserve">4  </w:t>
      </w:r>
      <w:r w:rsidR="004F1282" w:rsidRPr="008B1975">
        <w:t>At the end of subsection 1.12(2)</w:t>
      </w:r>
      <w:bookmarkEnd w:id="15"/>
    </w:p>
    <w:p w14:paraId="5EE9CF6E" w14:textId="77777777" w:rsidR="004F1282" w:rsidRPr="008B1975" w:rsidRDefault="004F1282" w:rsidP="004F1282">
      <w:pPr>
        <w:pStyle w:val="Item"/>
      </w:pPr>
      <w:r w:rsidRPr="008B1975">
        <w:t>Add:</w:t>
      </w:r>
    </w:p>
    <w:p w14:paraId="4AC78966" w14:textId="77777777" w:rsidR="004F1282" w:rsidRPr="008B1975" w:rsidRDefault="004F1282" w:rsidP="004F1282">
      <w:pPr>
        <w:pStyle w:val="paragraph"/>
      </w:pPr>
      <w:r w:rsidRPr="008B1975">
        <w:tab/>
      </w:r>
      <w:r w:rsidR="00D56168" w:rsidRPr="008B1975">
        <w:t xml:space="preserve">; </w:t>
      </w:r>
      <w:r w:rsidR="00E65B7C" w:rsidRPr="008B1975">
        <w:t>(d)</w:t>
      </w:r>
      <w:r w:rsidR="00E65B7C" w:rsidRPr="008B1975">
        <w:tab/>
        <w:t>charter flights.</w:t>
      </w:r>
    </w:p>
    <w:p w14:paraId="63EEF11C" w14:textId="77777777" w:rsidR="00A813E4" w:rsidRPr="008B1975" w:rsidRDefault="005373AF" w:rsidP="005373AF">
      <w:pPr>
        <w:pStyle w:val="ItemHead"/>
      </w:pPr>
      <w:bookmarkStart w:id="17" w:name="_Ref190422116"/>
      <w:bookmarkEnd w:id="16"/>
      <w:r w:rsidRPr="008B1975">
        <w:t xml:space="preserve">5  </w:t>
      </w:r>
      <w:r w:rsidR="00A813E4" w:rsidRPr="008B1975">
        <w:t>Sections 1.13, 1.14, 1.15</w:t>
      </w:r>
      <w:r w:rsidR="008A44E5" w:rsidRPr="008B1975">
        <w:t xml:space="preserve"> and</w:t>
      </w:r>
      <w:r w:rsidR="00A813E4" w:rsidRPr="008B1975">
        <w:t xml:space="preserve"> 1.17</w:t>
      </w:r>
      <w:bookmarkEnd w:id="17"/>
    </w:p>
    <w:p w14:paraId="60A49DF4" w14:textId="77777777" w:rsidR="00523900" w:rsidRPr="008B1975" w:rsidRDefault="00A813E4" w:rsidP="00A813E4">
      <w:pPr>
        <w:pStyle w:val="Item"/>
      </w:pPr>
      <w:r w:rsidRPr="008B1975">
        <w:t>Repeal the sections</w:t>
      </w:r>
      <w:r w:rsidR="00D27B0F" w:rsidRPr="008B1975">
        <w:t>.</w:t>
      </w:r>
    </w:p>
    <w:p w14:paraId="264C913A" w14:textId="77777777" w:rsidR="008A44E5" w:rsidRPr="008B1975" w:rsidRDefault="005373AF" w:rsidP="005373AF">
      <w:pPr>
        <w:pStyle w:val="ItemHead"/>
      </w:pPr>
      <w:r w:rsidRPr="008B1975">
        <w:t xml:space="preserve">6  </w:t>
      </w:r>
      <w:r w:rsidR="008A44E5" w:rsidRPr="008B1975">
        <w:t>After subsection 1.18(2)</w:t>
      </w:r>
    </w:p>
    <w:p w14:paraId="626C3403" w14:textId="77777777" w:rsidR="008A44E5" w:rsidRPr="008B1975" w:rsidRDefault="008A44E5" w:rsidP="008A44E5">
      <w:pPr>
        <w:pStyle w:val="Item"/>
      </w:pPr>
      <w:r w:rsidRPr="008B1975">
        <w:t>Add:</w:t>
      </w:r>
    </w:p>
    <w:p w14:paraId="6C143E0A" w14:textId="77777777" w:rsidR="008A44E5" w:rsidRPr="008B1975" w:rsidRDefault="008A44E5" w:rsidP="008A44E5">
      <w:pPr>
        <w:pStyle w:val="subsection"/>
      </w:pPr>
      <w:r w:rsidRPr="008B1975">
        <w:tab/>
        <w:t>(3)</w:t>
      </w:r>
      <w:r w:rsidRPr="008B1975">
        <w:tab/>
      </w:r>
      <w:r w:rsidRPr="008B1975">
        <w:rPr>
          <w:b/>
          <w:i/>
        </w:rPr>
        <w:t>Infrastructure</w:t>
      </w:r>
      <w:r w:rsidRPr="008B1975">
        <w:t xml:space="preserve"> does not include an airport that does not accept aircraft that operate for the purpose of transporting persons generally, </w:t>
      </w:r>
      <w:r w:rsidR="005E2833" w:rsidRPr="008B1975">
        <w:t>or transporting cargo for persons generally, for hire or reward in accordance with fixed schedules to and from fixed terminals over specific routes with or without intermediate stopping places between terminals.</w:t>
      </w:r>
    </w:p>
    <w:p w14:paraId="5F9CF580" w14:textId="77777777" w:rsidR="008A44E5" w:rsidRPr="008B1975" w:rsidRDefault="005373AF" w:rsidP="005373AF">
      <w:pPr>
        <w:pStyle w:val="ItemHead"/>
      </w:pPr>
      <w:r w:rsidRPr="008B1975">
        <w:t xml:space="preserve">7  </w:t>
      </w:r>
      <w:r w:rsidR="008A44E5" w:rsidRPr="008B1975">
        <w:t>Sections 1.19, 1.21 and 1.24</w:t>
      </w:r>
    </w:p>
    <w:p w14:paraId="238310AF" w14:textId="77777777" w:rsidR="008A44E5" w:rsidRPr="008B1975" w:rsidRDefault="008A44E5" w:rsidP="008A44E5">
      <w:pPr>
        <w:pStyle w:val="Item"/>
      </w:pPr>
      <w:r w:rsidRPr="008B1975">
        <w:t>Repeal the sections.</w:t>
      </w:r>
    </w:p>
    <w:p w14:paraId="7623D39A" w14:textId="77777777" w:rsidR="00A35350" w:rsidRPr="008B1975" w:rsidRDefault="00A35350">
      <w:pPr>
        <w:spacing w:line="240" w:lineRule="auto"/>
        <w:rPr>
          <w:rStyle w:val="CharAmSchText"/>
          <w:rFonts w:ascii="Arial" w:eastAsia="Times New Roman" w:hAnsi="Arial" w:cs="Times New Roman"/>
          <w:b/>
          <w:kern w:val="28"/>
          <w:sz w:val="32"/>
          <w:lang w:eastAsia="en-AU"/>
        </w:rPr>
      </w:pPr>
      <w:r w:rsidRPr="008B1975">
        <w:rPr>
          <w:rStyle w:val="CharAmSchText"/>
        </w:rPr>
        <w:br w:type="page"/>
      </w:r>
    </w:p>
    <w:p w14:paraId="5779A677" w14:textId="77777777" w:rsidR="00C052FA" w:rsidRPr="008B1975" w:rsidRDefault="00C052FA" w:rsidP="00A35350">
      <w:pPr>
        <w:pStyle w:val="ActHead6"/>
        <w:rPr>
          <w:rStyle w:val="CharAmSchText"/>
        </w:rPr>
      </w:pPr>
      <w:bookmarkStart w:id="18" w:name="_Toc197178932"/>
      <w:r w:rsidRPr="008B1975">
        <w:rPr>
          <w:rStyle w:val="CharAmSchText"/>
        </w:rPr>
        <w:lastRenderedPageBreak/>
        <w:t>Schedule 2—Part 2 (Access paths) Amendments</w:t>
      </w:r>
      <w:bookmarkEnd w:id="18"/>
    </w:p>
    <w:p w14:paraId="70F4163E" w14:textId="77777777" w:rsidR="00C052FA" w:rsidRPr="008B1975" w:rsidRDefault="00C052FA" w:rsidP="00C052FA">
      <w:pPr>
        <w:pStyle w:val="ActHead9"/>
      </w:pPr>
      <w:bookmarkStart w:id="19" w:name="_Toc197178933"/>
      <w:r w:rsidRPr="008B1975">
        <w:t>Disability Standards for Accessible Public Transport 2002</w:t>
      </w:r>
      <w:bookmarkEnd w:id="19"/>
    </w:p>
    <w:p w14:paraId="5F0641C1" w14:textId="77777777" w:rsidR="00D63BEA" w:rsidRPr="008B1975" w:rsidRDefault="005373AF" w:rsidP="005373AF">
      <w:pPr>
        <w:pStyle w:val="ItemHead"/>
      </w:pPr>
      <w:bookmarkStart w:id="20" w:name="_Ref180415783"/>
      <w:r w:rsidRPr="008B1975">
        <w:t xml:space="preserve">1  </w:t>
      </w:r>
      <w:r w:rsidR="00D63BEA" w:rsidRPr="008B1975">
        <w:t>Section 2.1 (table)</w:t>
      </w:r>
      <w:bookmarkEnd w:id="20"/>
    </w:p>
    <w:p w14:paraId="0E15856C" w14:textId="77777777" w:rsidR="00D63BEA" w:rsidRPr="008B1975" w:rsidRDefault="00D63BEA" w:rsidP="00D63BEA">
      <w:pPr>
        <w:pStyle w:val="Item"/>
      </w:pPr>
      <w:r w:rsidRPr="008B1975">
        <w:t>Repeal the table, substitute:</w:t>
      </w:r>
    </w:p>
    <w:p w14:paraId="6AAC40D2" w14:textId="77777777" w:rsidR="00D63BEA" w:rsidRPr="008B1975" w:rsidRDefault="0025461F" w:rsidP="0025461F">
      <w:pPr>
        <w:pStyle w:val="subsection"/>
      </w:pPr>
      <w:r w:rsidRPr="008B1975">
        <w:tab/>
        <w:t>(3)</w:t>
      </w:r>
      <w:r w:rsidRPr="008B1975">
        <w:tab/>
      </w:r>
      <w:r w:rsidR="00D63BEA" w:rsidRPr="008B1975">
        <w:t>For the purposes of this section, an access path includes a fixed gangway.</w:t>
      </w:r>
    </w:p>
    <w:p w14:paraId="6D3FA828" w14:textId="77777777" w:rsidR="00D63BEA" w:rsidRPr="008B1975" w:rsidRDefault="0025461F" w:rsidP="00E6734E">
      <w:pPr>
        <w:pStyle w:val="subsection"/>
      </w:pPr>
      <w:r w:rsidRPr="008B1975">
        <w:tab/>
        <w:t>(4)</w:t>
      </w:r>
      <w:r w:rsidRPr="008B1975">
        <w:tab/>
      </w:r>
      <w:r w:rsidR="00D63BEA" w:rsidRPr="008B1975">
        <w:t>The following table specifies conveyances, premises and infrastructure this section applies to.</w:t>
      </w:r>
    </w:p>
    <w:p w14:paraId="3E22E7A4" w14:textId="77777777" w:rsidR="00F4277D" w:rsidRPr="008B1975" w:rsidRDefault="00F4277D" w:rsidP="00F4277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63BEA" w:rsidRPr="008B1975" w14:paraId="696BF9DB" w14:textId="77777777" w:rsidTr="002531AC">
        <w:trPr>
          <w:trHeight w:val="300"/>
          <w:tblHeader/>
        </w:trPr>
        <w:tc>
          <w:tcPr>
            <w:tcW w:w="5000" w:type="pct"/>
            <w:gridSpan w:val="3"/>
            <w:tcBorders>
              <w:top w:val="single" w:sz="12" w:space="0" w:color="auto"/>
              <w:left w:val="nil"/>
              <w:bottom w:val="single" w:sz="6" w:space="0" w:color="auto"/>
              <w:right w:val="nil"/>
            </w:tcBorders>
            <w:hideMark/>
          </w:tcPr>
          <w:p w14:paraId="5C1D41A3" w14:textId="77777777" w:rsidR="00D63BEA" w:rsidRPr="008B1975" w:rsidRDefault="00D63BEA" w:rsidP="002531AC">
            <w:pPr>
              <w:pStyle w:val="TableHeading"/>
            </w:pPr>
            <w:r w:rsidRPr="008B1975">
              <w:t>Application of this section</w:t>
            </w:r>
          </w:p>
        </w:tc>
      </w:tr>
      <w:tr w:rsidR="00D63BEA" w:rsidRPr="008B1975" w14:paraId="7BBFF080" w14:textId="77777777" w:rsidTr="00E6734E">
        <w:trPr>
          <w:trHeight w:val="300"/>
          <w:tblHeader/>
        </w:trPr>
        <w:tc>
          <w:tcPr>
            <w:tcW w:w="1667" w:type="pct"/>
            <w:tcBorders>
              <w:top w:val="single" w:sz="6" w:space="0" w:color="auto"/>
              <w:left w:val="nil"/>
              <w:bottom w:val="single" w:sz="12" w:space="0" w:color="auto"/>
              <w:right w:val="nil"/>
            </w:tcBorders>
            <w:hideMark/>
          </w:tcPr>
          <w:p w14:paraId="6E5D391F" w14:textId="77777777" w:rsidR="00D63BEA" w:rsidRPr="008B1975" w:rsidRDefault="00D63BEA" w:rsidP="002531AC">
            <w:pPr>
              <w:pStyle w:val="TableHeading"/>
            </w:pPr>
            <w:r w:rsidRPr="008B1975">
              <w:t>Conveyances</w:t>
            </w:r>
          </w:p>
        </w:tc>
        <w:tc>
          <w:tcPr>
            <w:tcW w:w="1667" w:type="pct"/>
            <w:tcBorders>
              <w:top w:val="single" w:sz="6" w:space="0" w:color="auto"/>
              <w:left w:val="nil"/>
              <w:bottom w:val="single" w:sz="12" w:space="0" w:color="auto"/>
              <w:right w:val="nil"/>
            </w:tcBorders>
            <w:hideMark/>
          </w:tcPr>
          <w:p w14:paraId="0965500D" w14:textId="77777777" w:rsidR="00D63BEA" w:rsidRPr="008B1975" w:rsidRDefault="00D63BEA" w:rsidP="002531AC">
            <w:pPr>
              <w:pStyle w:val="TableHeading"/>
            </w:pPr>
            <w:r w:rsidRPr="008B1975">
              <w:t>Premises</w:t>
            </w:r>
          </w:p>
        </w:tc>
        <w:tc>
          <w:tcPr>
            <w:tcW w:w="1667" w:type="pct"/>
            <w:tcBorders>
              <w:top w:val="single" w:sz="6" w:space="0" w:color="auto"/>
              <w:left w:val="nil"/>
              <w:bottom w:val="single" w:sz="12" w:space="0" w:color="auto"/>
              <w:right w:val="nil"/>
            </w:tcBorders>
            <w:hideMark/>
          </w:tcPr>
          <w:p w14:paraId="0EBCCAE2" w14:textId="77777777" w:rsidR="00D63BEA" w:rsidRPr="008B1975" w:rsidRDefault="00D63BEA" w:rsidP="002531AC">
            <w:pPr>
              <w:pStyle w:val="TableHeading"/>
            </w:pPr>
            <w:r w:rsidRPr="008B1975">
              <w:t>Infrastructure</w:t>
            </w:r>
          </w:p>
        </w:tc>
      </w:tr>
      <w:tr w:rsidR="00D63BEA" w:rsidRPr="008B1975" w14:paraId="5E0EA249" w14:textId="77777777" w:rsidTr="00E6734E">
        <w:trPr>
          <w:trHeight w:val="300"/>
        </w:trPr>
        <w:tc>
          <w:tcPr>
            <w:tcW w:w="1667" w:type="pct"/>
            <w:tcBorders>
              <w:top w:val="single" w:sz="12" w:space="0" w:color="auto"/>
              <w:left w:val="nil"/>
              <w:bottom w:val="single" w:sz="12" w:space="0" w:color="auto"/>
              <w:right w:val="nil"/>
            </w:tcBorders>
            <w:hideMark/>
          </w:tcPr>
          <w:p w14:paraId="0D7A6BBE" w14:textId="77777777" w:rsidR="00D63BEA" w:rsidRPr="008B1975" w:rsidRDefault="00D63BEA" w:rsidP="00E6734E">
            <w:pPr>
              <w:pStyle w:val="Tabletext"/>
            </w:pPr>
            <w:r w:rsidRPr="008B1975">
              <w:t>None</w:t>
            </w:r>
          </w:p>
        </w:tc>
        <w:tc>
          <w:tcPr>
            <w:tcW w:w="1667" w:type="pct"/>
            <w:tcBorders>
              <w:top w:val="single" w:sz="12" w:space="0" w:color="auto"/>
              <w:left w:val="nil"/>
              <w:bottom w:val="single" w:sz="12" w:space="0" w:color="auto"/>
              <w:right w:val="nil"/>
            </w:tcBorders>
            <w:hideMark/>
          </w:tcPr>
          <w:p w14:paraId="2C841AA3" w14:textId="77777777" w:rsidR="00D63BEA" w:rsidRPr="008B1975" w:rsidRDefault="00D63BEA" w:rsidP="002531A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2FEA50C" w14:textId="77777777" w:rsidR="00D63BEA" w:rsidRPr="008B1975" w:rsidRDefault="00D63BEA" w:rsidP="002531AC">
            <w:pPr>
              <w:pStyle w:val="Tabletext"/>
            </w:pPr>
            <w:r w:rsidRPr="008B1975">
              <w:t>All</w:t>
            </w:r>
          </w:p>
        </w:tc>
      </w:tr>
    </w:tbl>
    <w:p w14:paraId="7274BE0E" w14:textId="77777777" w:rsidR="00FB42CC" w:rsidRPr="008B1975" w:rsidRDefault="005373AF" w:rsidP="005373AF">
      <w:pPr>
        <w:pStyle w:val="ItemHead"/>
      </w:pPr>
      <w:bookmarkStart w:id="21" w:name="_Ref185283584"/>
      <w:bookmarkStart w:id="22" w:name="_Ref180416913"/>
      <w:r w:rsidRPr="008B1975">
        <w:t xml:space="preserve">2  </w:t>
      </w:r>
      <w:r w:rsidR="00FB42CC" w:rsidRPr="008B1975">
        <w:t>Section 2.2</w:t>
      </w:r>
      <w:bookmarkEnd w:id="21"/>
    </w:p>
    <w:p w14:paraId="03AC22BD" w14:textId="77777777" w:rsidR="00FB42CC" w:rsidRPr="008B1975" w:rsidRDefault="00FB42CC" w:rsidP="00FB42CC">
      <w:pPr>
        <w:pStyle w:val="Item"/>
      </w:pPr>
      <w:r w:rsidRPr="008B1975">
        <w:t>Repeal the section, substitute:</w:t>
      </w:r>
    </w:p>
    <w:p w14:paraId="7DBD65AD" w14:textId="77777777" w:rsidR="00FB42CC" w:rsidRPr="008B1975" w:rsidRDefault="00FB42CC" w:rsidP="006202EA">
      <w:pPr>
        <w:pStyle w:val="ActHead5"/>
        <w:outlineLvl w:val="9"/>
      </w:pPr>
      <w:r w:rsidRPr="008B1975">
        <w:t>2.2  Continuous accessibility</w:t>
      </w:r>
    </w:p>
    <w:p w14:paraId="65F2A6D1" w14:textId="77777777" w:rsidR="00FB42CC" w:rsidRPr="008B1975" w:rsidRDefault="00FB42CC" w:rsidP="00FB42CC">
      <w:pPr>
        <w:pStyle w:val="subsection"/>
      </w:pPr>
      <w:r w:rsidRPr="008B1975">
        <w:tab/>
      </w:r>
      <w:r w:rsidR="00796FA5" w:rsidRPr="008B1975">
        <w:t>(1)</w:t>
      </w:r>
      <w:r w:rsidRPr="008B1975">
        <w:tab/>
      </w:r>
      <w:r w:rsidR="00A90AF1" w:rsidRPr="008B1975">
        <w:t>A</w:t>
      </w:r>
      <w:r w:rsidRPr="008B1975">
        <w:t>ccess paths must be provided that enable passengers to:</w:t>
      </w:r>
    </w:p>
    <w:p w14:paraId="28F67B44" w14:textId="77777777" w:rsidR="00FB42CC" w:rsidRPr="008B1975" w:rsidRDefault="00FB42CC" w:rsidP="00FB42CC">
      <w:pPr>
        <w:pStyle w:val="paragraph"/>
      </w:pPr>
      <w:r w:rsidRPr="008B1975">
        <w:tab/>
      </w:r>
      <w:r w:rsidR="00796FA5" w:rsidRPr="008B1975">
        <w:t>(a)</w:t>
      </w:r>
      <w:r w:rsidRPr="008B1975">
        <w:tab/>
        <w:t>approach premises or infrastructure from any accessible car parking spaces associated with the premises or infrastructure; and</w:t>
      </w:r>
    </w:p>
    <w:p w14:paraId="12E3A34B" w14:textId="77777777" w:rsidR="00FB42CC" w:rsidRPr="008B1975" w:rsidRDefault="00FB42CC" w:rsidP="00FB42CC">
      <w:pPr>
        <w:pStyle w:val="paragraph"/>
      </w:pPr>
      <w:r w:rsidRPr="008B1975">
        <w:tab/>
      </w:r>
      <w:r w:rsidR="00796FA5" w:rsidRPr="008B1975">
        <w:t>(b)</w:t>
      </w:r>
      <w:r w:rsidRPr="008B1975">
        <w:tab/>
        <w:t xml:space="preserve">enter premises or infrastructure from </w:t>
      </w:r>
      <w:r w:rsidR="00A063E1" w:rsidRPr="008B1975">
        <w:t>both</w:t>
      </w:r>
      <w:r w:rsidRPr="008B1975">
        <w:t xml:space="preserve"> of the following:</w:t>
      </w:r>
    </w:p>
    <w:p w14:paraId="41FC2194" w14:textId="77777777" w:rsidR="00FB42CC" w:rsidRPr="008B1975" w:rsidRDefault="00FB42CC" w:rsidP="00FB42CC">
      <w:pPr>
        <w:pStyle w:val="paragraphsub"/>
      </w:pPr>
      <w:r w:rsidRPr="008B1975">
        <w:tab/>
      </w:r>
      <w:r w:rsidR="00796FA5" w:rsidRPr="008B1975">
        <w:t>(i)</w:t>
      </w:r>
      <w:r w:rsidRPr="008B1975">
        <w:tab/>
        <w:t xml:space="preserve">adjoining public streets or walkways; </w:t>
      </w:r>
    </w:p>
    <w:p w14:paraId="00A1007D" w14:textId="77777777" w:rsidR="00FB42CC" w:rsidRPr="008B1975" w:rsidRDefault="00FB42CC" w:rsidP="00A063E1">
      <w:pPr>
        <w:pStyle w:val="paragraphsub"/>
      </w:pPr>
      <w:r w:rsidRPr="008B1975">
        <w:tab/>
      </w:r>
      <w:r w:rsidR="00796FA5" w:rsidRPr="008B1975">
        <w:t>(ii)</w:t>
      </w:r>
      <w:r w:rsidRPr="008B1975">
        <w:tab/>
      </w:r>
      <w:r w:rsidR="00A063E1" w:rsidRPr="008B1975">
        <w:t>buildings or structures that are separate from but are close or connected to the premises and infrastructure; and</w:t>
      </w:r>
    </w:p>
    <w:p w14:paraId="3B9C6718" w14:textId="77777777" w:rsidR="00FB42CC" w:rsidRPr="008B1975" w:rsidRDefault="00FB42CC" w:rsidP="00FB42CC">
      <w:pPr>
        <w:pStyle w:val="paragraph"/>
        <w:rPr>
          <w:color w:val="000000" w:themeColor="text1"/>
        </w:rPr>
      </w:pPr>
      <w:r w:rsidRPr="008B1975">
        <w:tab/>
      </w:r>
      <w:r w:rsidR="00796FA5" w:rsidRPr="008B1975">
        <w:t>(c)</w:t>
      </w:r>
      <w:r w:rsidRPr="008B1975">
        <w:tab/>
        <w:t xml:space="preserve">access public spaces and </w:t>
      </w:r>
      <w:r w:rsidRPr="008B1975">
        <w:rPr>
          <w:color w:val="000000" w:themeColor="text1"/>
        </w:rPr>
        <w:t>accessible facilities within the premises or infrastructure.</w:t>
      </w:r>
    </w:p>
    <w:p w14:paraId="7A2BD996" w14:textId="77777777" w:rsidR="00FB42CC" w:rsidRPr="008B1975" w:rsidRDefault="00FB42CC" w:rsidP="00FB42CC">
      <w:pPr>
        <w:pStyle w:val="subsection"/>
        <w:rPr>
          <w:color w:val="000000" w:themeColor="text1"/>
        </w:rPr>
      </w:pPr>
      <w:r w:rsidRPr="008B1975">
        <w:rPr>
          <w:color w:val="000000" w:themeColor="text1"/>
        </w:rPr>
        <w:tab/>
      </w:r>
      <w:r w:rsidR="00796FA5" w:rsidRPr="008B1975">
        <w:rPr>
          <w:color w:val="000000" w:themeColor="text1"/>
        </w:rPr>
        <w:t>(2)</w:t>
      </w:r>
      <w:r w:rsidRPr="008B1975">
        <w:rPr>
          <w:color w:val="000000" w:themeColor="text1"/>
        </w:rPr>
        <w:tab/>
        <w:t xml:space="preserve">Access paths must be </w:t>
      </w:r>
      <w:r w:rsidR="00A90AF1" w:rsidRPr="008B1975">
        <w:t>easily identifiable</w:t>
      </w:r>
      <w:r w:rsidRPr="008B1975">
        <w:rPr>
          <w:color w:val="000000" w:themeColor="text1"/>
        </w:rPr>
        <w:t>.</w:t>
      </w:r>
    </w:p>
    <w:p w14:paraId="7F473AF0" w14:textId="77777777" w:rsidR="00FB42CC" w:rsidRPr="008B1975" w:rsidRDefault="00FB42CC" w:rsidP="00FB42CC">
      <w:pPr>
        <w:pStyle w:val="subsection"/>
      </w:pPr>
      <w:r w:rsidRPr="008B1975">
        <w:rPr>
          <w:color w:val="000000" w:themeColor="text1"/>
        </w:rPr>
        <w:tab/>
      </w:r>
      <w:r w:rsidR="00796FA5" w:rsidRPr="008B1975">
        <w:rPr>
          <w:color w:val="000000" w:themeColor="text1"/>
        </w:rPr>
        <w:t>(3)</w:t>
      </w:r>
      <w:r w:rsidRPr="008B1975">
        <w:rPr>
          <w:color w:val="000000" w:themeColor="text1"/>
        </w:rPr>
        <w:tab/>
        <w:t xml:space="preserve">Access paths must be designed to minimise the distance that people with disability need to move to travel </w:t>
      </w:r>
      <w:r w:rsidR="00A063E1" w:rsidRPr="008B1975">
        <w:rPr>
          <w:color w:val="000000" w:themeColor="text1"/>
        </w:rPr>
        <w:t>between</w:t>
      </w:r>
      <w:r w:rsidRPr="008B1975">
        <w:rPr>
          <w:color w:val="000000" w:themeColor="text1"/>
        </w:rPr>
        <w:t xml:space="preserve"> accessible facilities of premises </w:t>
      </w:r>
      <w:r w:rsidRPr="008B1975">
        <w:t>or infrastructure.</w:t>
      </w:r>
    </w:p>
    <w:p w14:paraId="6AACF54F" w14:textId="77777777" w:rsidR="00FB42CC" w:rsidRPr="008B1975" w:rsidRDefault="00FB42CC" w:rsidP="00FB42CC">
      <w:pPr>
        <w:pStyle w:val="subsection"/>
      </w:pPr>
      <w:r w:rsidRPr="008B1975">
        <w:tab/>
        <w:t>(4)</w:t>
      </w:r>
      <w:r w:rsidRPr="008B1975">
        <w:tab/>
        <w:t>The following table specifies conveyances, premises and infrastructure this section applies to.</w:t>
      </w:r>
    </w:p>
    <w:p w14:paraId="084BB5BD"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02B2FE1B"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5B87C590" w14:textId="77777777" w:rsidR="00FB42CC" w:rsidRPr="008B1975" w:rsidRDefault="00FB42CC" w:rsidP="00FB42CC">
            <w:pPr>
              <w:pStyle w:val="TableHeading"/>
            </w:pPr>
            <w:r w:rsidRPr="008B1975">
              <w:t>Application of this section</w:t>
            </w:r>
          </w:p>
        </w:tc>
      </w:tr>
      <w:tr w:rsidR="00FB42CC" w:rsidRPr="008B1975" w14:paraId="2025FFAC" w14:textId="77777777" w:rsidTr="00E6734E">
        <w:trPr>
          <w:trHeight w:val="300"/>
          <w:tblHeader/>
        </w:trPr>
        <w:tc>
          <w:tcPr>
            <w:tcW w:w="1667" w:type="pct"/>
            <w:tcBorders>
              <w:top w:val="single" w:sz="6" w:space="0" w:color="auto"/>
              <w:bottom w:val="single" w:sz="12" w:space="0" w:color="auto"/>
            </w:tcBorders>
            <w:shd w:val="clear" w:color="auto" w:fill="auto"/>
            <w:hideMark/>
          </w:tcPr>
          <w:p w14:paraId="27CB0EA7" w14:textId="77777777" w:rsidR="00FB42CC" w:rsidRPr="008B1975" w:rsidRDefault="00FB42CC" w:rsidP="00FB42C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3FDE307" w14:textId="77777777" w:rsidR="00FB42CC" w:rsidRPr="008B1975" w:rsidRDefault="00FB42CC" w:rsidP="00FB42C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DFB6387" w14:textId="77777777" w:rsidR="00FB42CC" w:rsidRPr="008B1975" w:rsidRDefault="00FB42CC" w:rsidP="00FB42CC">
            <w:pPr>
              <w:pStyle w:val="TableHeading"/>
            </w:pPr>
            <w:r w:rsidRPr="008B1975">
              <w:t>Infrastructure</w:t>
            </w:r>
          </w:p>
        </w:tc>
      </w:tr>
      <w:tr w:rsidR="00FB42CC" w:rsidRPr="008B1975" w14:paraId="13088ECE" w14:textId="77777777" w:rsidTr="00E6734E">
        <w:trPr>
          <w:trHeight w:val="300"/>
        </w:trPr>
        <w:tc>
          <w:tcPr>
            <w:tcW w:w="1667" w:type="pct"/>
            <w:tcBorders>
              <w:top w:val="single" w:sz="12" w:space="0" w:color="auto"/>
              <w:bottom w:val="single" w:sz="12" w:space="0" w:color="auto"/>
            </w:tcBorders>
            <w:shd w:val="clear" w:color="auto" w:fill="auto"/>
            <w:hideMark/>
          </w:tcPr>
          <w:p w14:paraId="6CCE23DA" w14:textId="77777777" w:rsidR="00FB42CC" w:rsidRPr="008B1975" w:rsidRDefault="00FB42CC" w:rsidP="00FB42CC">
            <w:pPr>
              <w:pStyle w:val="Tabletext"/>
            </w:pPr>
            <w:r w:rsidRPr="008B1975">
              <w:t>None</w:t>
            </w:r>
          </w:p>
        </w:tc>
        <w:tc>
          <w:tcPr>
            <w:tcW w:w="1667" w:type="pct"/>
            <w:tcBorders>
              <w:top w:val="single" w:sz="12" w:space="0" w:color="auto"/>
              <w:bottom w:val="single" w:sz="12" w:space="0" w:color="auto"/>
            </w:tcBorders>
            <w:shd w:val="clear" w:color="auto" w:fill="auto"/>
            <w:hideMark/>
          </w:tcPr>
          <w:p w14:paraId="3B424F24" w14:textId="77777777" w:rsidR="00FB42CC" w:rsidRPr="008B1975" w:rsidRDefault="00FB42CC" w:rsidP="00FB42CC">
            <w:pPr>
              <w:pStyle w:val="Tabletext"/>
            </w:pPr>
            <w:r w:rsidRPr="008B1975">
              <w:t>All</w:t>
            </w:r>
            <w:r w:rsidR="00E50593" w:rsidRPr="008B1975">
              <w:rPr>
                <w:color w:val="000000" w:themeColor="text1"/>
              </w:rPr>
              <w:t>,</w:t>
            </w:r>
            <w:r w:rsidRPr="008B1975">
              <w:t xml:space="preserve"> except premises to which the Premises Standards apply</w:t>
            </w:r>
          </w:p>
        </w:tc>
        <w:tc>
          <w:tcPr>
            <w:tcW w:w="1667" w:type="pct"/>
            <w:tcBorders>
              <w:top w:val="single" w:sz="12" w:space="0" w:color="auto"/>
              <w:bottom w:val="single" w:sz="12" w:space="0" w:color="auto"/>
            </w:tcBorders>
            <w:shd w:val="clear" w:color="auto" w:fill="auto"/>
          </w:tcPr>
          <w:p w14:paraId="79E2F61C" w14:textId="77777777" w:rsidR="00FB42CC" w:rsidRPr="008B1975" w:rsidRDefault="00FB42CC" w:rsidP="00FB42CC">
            <w:pPr>
              <w:pStyle w:val="Tabletext"/>
            </w:pPr>
            <w:r w:rsidRPr="008B1975">
              <w:t>All</w:t>
            </w:r>
          </w:p>
        </w:tc>
      </w:tr>
    </w:tbl>
    <w:p w14:paraId="4A5B276A" w14:textId="77777777" w:rsidR="007660BF" w:rsidRPr="008B1975" w:rsidRDefault="005373AF" w:rsidP="005373AF">
      <w:pPr>
        <w:pStyle w:val="ItemHead"/>
      </w:pPr>
      <w:bookmarkStart w:id="23" w:name="_Ref185283634"/>
      <w:r w:rsidRPr="008B1975">
        <w:t xml:space="preserve">3  </w:t>
      </w:r>
      <w:r w:rsidR="007660BF" w:rsidRPr="008B1975">
        <w:t>Section 2.3</w:t>
      </w:r>
      <w:bookmarkEnd w:id="23"/>
    </w:p>
    <w:p w14:paraId="2603D84A" w14:textId="77777777" w:rsidR="007660BF" w:rsidRPr="008B1975" w:rsidRDefault="007660BF" w:rsidP="007660BF">
      <w:pPr>
        <w:pStyle w:val="Item"/>
      </w:pPr>
      <w:r w:rsidRPr="008B1975">
        <w:t>Before “If”, insert “(1)”.</w:t>
      </w:r>
    </w:p>
    <w:p w14:paraId="7C8D4CFF" w14:textId="77777777" w:rsidR="007660BF" w:rsidRPr="008B1975" w:rsidRDefault="005373AF" w:rsidP="005373AF">
      <w:pPr>
        <w:pStyle w:val="ItemHead"/>
      </w:pPr>
      <w:bookmarkStart w:id="24" w:name="_Ref185283642"/>
      <w:r w:rsidRPr="008B1975">
        <w:lastRenderedPageBreak/>
        <w:t xml:space="preserve">4  </w:t>
      </w:r>
      <w:r w:rsidR="007660BF" w:rsidRPr="008B1975">
        <w:t>Section 2.3 (table)</w:t>
      </w:r>
      <w:bookmarkEnd w:id="24"/>
    </w:p>
    <w:p w14:paraId="53CFC2BB" w14:textId="77777777" w:rsidR="007660BF" w:rsidRPr="008B1975" w:rsidRDefault="007660BF" w:rsidP="007660BF">
      <w:pPr>
        <w:pStyle w:val="Item"/>
      </w:pPr>
      <w:r w:rsidRPr="008B1975">
        <w:t>Repeal the table, substitute:</w:t>
      </w:r>
    </w:p>
    <w:p w14:paraId="646E4F95" w14:textId="77777777" w:rsidR="00804A32" w:rsidRPr="008B1975" w:rsidRDefault="00804A32" w:rsidP="00804A32">
      <w:pPr>
        <w:pStyle w:val="subsection"/>
        <w:tabs>
          <w:tab w:val="clear" w:pos="1021"/>
          <w:tab w:val="right" w:pos="993"/>
        </w:tabs>
      </w:pPr>
      <w:r w:rsidRPr="008B1975">
        <w:tab/>
      </w:r>
      <w:r w:rsidR="007660BF" w:rsidRPr="008B1975">
        <w:t>(2)</w:t>
      </w:r>
      <w:r w:rsidRPr="008B1975">
        <w:tab/>
      </w:r>
      <w:r w:rsidR="007660BF" w:rsidRPr="008B1975">
        <w:t>The following table specifies conveyances, premises and infrastructure this</w:t>
      </w:r>
      <w:r w:rsidR="000B6B72" w:rsidRPr="008B1975">
        <w:t xml:space="preserve"> </w:t>
      </w:r>
      <w:r w:rsidR="007660BF" w:rsidRPr="008B1975">
        <w:t>section applies</w:t>
      </w:r>
      <w:r w:rsidRPr="008B1975">
        <w:t xml:space="preserve"> </w:t>
      </w:r>
      <w:r w:rsidR="007660BF" w:rsidRPr="008B1975">
        <w:t>to.</w:t>
      </w:r>
    </w:p>
    <w:p w14:paraId="76EFE430" w14:textId="77777777" w:rsidR="00804A32" w:rsidRPr="008B1975" w:rsidRDefault="00804A32" w:rsidP="005E283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660BF" w:rsidRPr="008B1975" w14:paraId="081F10F8" w14:textId="77777777" w:rsidTr="007660BF">
        <w:trPr>
          <w:trHeight w:val="300"/>
          <w:tblHeader/>
        </w:trPr>
        <w:tc>
          <w:tcPr>
            <w:tcW w:w="5000" w:type="pct"/>
            <w:gridSpan w:val="3"/>
            <w:tcBorders>
              <w:top w:val="single" w:sz="12" w:space="0" w:color="auto"/>
              <w:left w:val="nil"/>
              <w:bottom w:val="single" w:sz="6" w:space="0" w:color="auto"/>
              <w:right w:val="nil"/>
            </w:tcBorders>
            <w:hideMark/>
          </w:tcPr>
          <w:p w14:paraId="6C11F634" w14:textId="77777777" w:rsidR="007660BF" w:rsidRPr="008B1975" w:rsidRDefault="007660BF" w:rsidP="007660BF">
            <w:pPr>
              <w:pStyle w:val="TableHeading"/>
            </w:pPr>
            <w:r w:rsidRPr="008B1975">
              <w:t>Application of this section</w:t>
            </w:r>
          </w:p>
        </w:tc>
      </w:tr>
      <w:tr w:rsidR="007660BF" w:rsidRPr="008B1975" w14:paraId="674AEEAD" w14:textId="77777777" w:rsidTr="00E6734E">
        <w:trPr>
          <w:trHeight w:val="300"/>
          <w:tblHeader/>
        </w:trPr>
        <w:tc>
          <w:tcPr>
            <w:tcW w:w="1667" w:type="pct"/>
            <w:tcBorders>
              <w:top w:val="single" w:sz="6" w:space="0" w:color="auto"/>
              <w:left w:val="nil"/>
              <w:bottom w:val="single" w:sz="12" w:space="0" w:color="auto"/>
              <w:right w:val="nil"/>
            </w:tcBorders>
            <w:hideMark/>
          </w:tcPr>
          <w:p w14:paraId="2ADAB91C" w14:textId="77777777" w:rsidR="007660BF" w:rsidRPr="008B1975" w:rsidRDefault="007660BF" w:rsidP="007660BF">
            <w:pPr>
              <w:pStyle w:val="TableHeading"/>
            </w:pPr>
            <w:r w:rsidRPr="008B1975">
              <w:t>Conveyances</w:t>
            </w:r>
          </w:p>
        </w:tc>
        <w:tc>
          <w:tcPr>
            <w:tcW w:w="1667" w:type="pct"/>
            <w:tcBorders>
              <w:top w:val="single" w:sz="6" w:space="0" w:color="auto"/>
              <w:left w:val="nil"/>
              <w:bottom w:val="single" w:sz="12" w:space="0" w:color="auto"/>
              <w:right w:val="nil"/>
            </w:tcBorders>
            <w:hideMark/>
          </w:tcPr>
          <w:p w14:paraId="23FC37CC" w14:textId="77777777" w:rsidR="007660BF" w:rsidRPr="008B1975" w:rsidRDefault="007660BF" w:rsidP="007660BF">
            <w:pPr>
              <w:pStyle w:val="TableHeading"/>
            </w:pPr>
            <w:r w:rsidRPr="008B1975">
              <w:t>Premises</w:t>
            </w:r>
          </w:p>
        </w:tc>
        <w:tc>
          <w:tcPr>
            <w:tcW w:w="1667" w:type="pct"/>
            <w:tcBorders>
              <w:top w:val="single" w:sz="6" w:space="0" w:color="auto"/>
              <w:left w:val="nil"/>
              <w:bottom w:val="single" w:sz="12" w:space="0" w:color="auto"/>
              <w:right w:val="nil"/>
            </w:tcBorders>
            <w:hideMark/>
          </w:tcPr>
          <w:p w14:paraId="1DF551AC" w14:textId="77777777" w:rsidR="007660BF" w:rsidRPr="008B1975" w:rsidRDefault="007660BF" w:rsidP="007660BF">
            <w:pPr>
              <w:pStyle w:val="TableHeading"/>
            </w:pPr>
            <w:r w:rsidRPr="008B1975">
              <w:t>Infrastructure</w:t>
            </w:r>
          </w:p>
        </w:tc>
      </w:tr>
      <w:tr w:rsidR="007660BF" w:rsidRPr="008B1975" w14:paraId="2BDE7E8B" w14:textId="77777777" w:rsidTr="00E6734E">
        <w:trPr>
          <w:trHeight w:val="300"/>
        </w:trPr>
        <w:tc>
          <w:tcPr>
            <w:tcW w:w="1667" w:type="pct"/>
            <w:tcBorders>
              <w:top w:val="single" w:sz="12" w:space="0" w:color="auto"/>
              <w:left w:val="nil"/>
              <w:bottom w:val="single" w:sz="12" w:space="0" w:color="auto"/>
              <w:right w:val="nil"/>
            </w:tcBorders>
            <w:hideMark/>
          </w:tcPr>
          <w:p w14:paraId="40B34FB8" w14:textId="77777777" w:rsidR="007660BF" w:rsidRPr="008B1975" w:rsidRDefault="007660BF"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3A061CC3" w14:textId="77777777" w:rsidR="007660BF" w:rsidRPr="008B1975" w:rsidRDefault="007660BF" w:rsidP="007660BF">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178A334B" w14:textId="77777777" w:rsidR="007660BF" w:rsidRPr="008B1975" w:rsidRDefault="007660BF" w:rsidP="007660BF">
            <w:pPr>
              <w:pStyle w:val="Tabletext"/>
            </w:pPr>
            <w:r w:rsidRPr="008B1975">
              <w:t>All</w:t>
            </w:r>
          </w:p>
        </w:tc>
      </w:tr>
    </w:tbl>
    <w:p w14:paraId="11A95A1D" w14:textId="57E01A9C" w:rsidR="00D63BEA" w:rsidRPr="008B1975" w:rsidRDefault="005373AF" w:rsidP="005373AF">
      <w:pPr>
        <w:pStyle w:val="ItemHead"/>
      </w:pPr>
      <w:bookmarkStart w:id="25" w:name="_Ref185283701"/>
      <w:r w:rsidRPr="008B1975">
        <w:t xml:space="preserve">5  </w:t>
      </w:r>
      <w:r w:rsidR="00D63BEA" w:rsidRPr="008B1975">
        <w:t>Subsection 2.4(1)</w:t>
      </w:r>
      <w:bookmarkEnd w:id="22"/>
      <w:bookmarkEnd w:id="25"/>
    </w:p>
    <w:p w14:paraId="28F2C62E" w14:textId="77777777" w:rsidR="00D63BEA" w:rsidRPr="008B1975" w:rsidRDefault="00D63BEA" w:rsidP="00D63BEA">
      <w:pPr>
        <w:pStyle w:val="Item"/>
      </w:pPr>
      <w:r w:rsidRPr="008B1975">
        <w:t>Omit “(</w:t>
      </w:r>
      <w:r w:rsidRPr="008B1975">
        <w:rPr>
          <w:b/>
        </w:rPr>
        <w:t>AS1428.2 (1992) Clause 6.4</w:t>
      </w:r>
      <w:r w:rsidRPr="008B1975">
        <w:t xml:space="preserve">, </w:t>
      </w:r>
      <w:r w:rsidRPr="008B1975">
        <w:rPr>
          <w:i/>
        </w:rPr>
        <w:t>Width of path of travel</w:t>
      </w:r>
      <w:r w:rsidRPr="008B1975">
        <w:t>)”.</w:t>
      </w:r>
    </w:p>
    <w:p w14:paraId="04A99CAB" w14:textId="77777777" w:rsidR="00D63BEA" w:rsidRPr="008B1975" w:rsidRDefault="005373AF" w:rsidP="005373AF">
      <w:pPr>
        <w:pStyle w:val="ItemHead"/>
      </w:pPr>
      <w:bookmarkStart w:id="26" w:name="_Ref180416949"/>
      <w:r w:rsidRPr="008B1975">
        <w:t xml:space="preserve">6  </w:t>
      </w:r>
      <w:r w:rsidR="00D63BEA" w:rsidRPr="008B1975">
        <w:t>Subsection 2.4(2)</w:t>
      </w:r>
      <w:bookmarkEnd w:id="26"/>
    </w:p>
    <w:p w14:paraId="79EC0A4F" w14:textId="77777777" w:rsidR="00D63BEA" w:rsidRPr="008B1975" w:rsidRDefault="00D63BEA" w:rsidP="00D63BEA">
      <w:pPr>
        <w:pStyle w:val="Item"/>
      </w:pPr>
      <w:r w:rsidRPr="008B1975">
        <w:t>Repeal the subsection, substitute:</w:t>
      </w:r>
    </w:p>
    <w:p w14:paraId="6F546FC2" w14:textId="77777777" w:rsidR="00D63BEA" w:rsidRPr="008B1975" w:rsidRDefault="00D63BEA" w:rsidP="00804A32">
      <w:pPr>
        <w:pStyle w:val="subsection"/>
      </w:pPr>
      <w:r w:rsidRPr="008B1975">
        <w:tab/>
        <w:t>(2)</w:t>
      </w:r>
      <w:r w:rsidRPr="008B1975">
        <w:tab/>
        <w:t xml:space="preserve">However, if a moving walkway forms part of an access path, the </w:t>
      </w:r>
      <w:r w:rsidRPr="008B1975">
        <w:rPr>
          <w:color w:val="000000"/>
        </w:rPr>
        <w:t>minimum unobstructed width of the moving walkway must be 850 mm.</w:t>
      </w:r>
    </w:p>
    <w:p w14:paraId="15505772" w14:textId="77777777" w:rsidR="00D63BEA" w:rsidRPr="008B1975" w:rsidRDefault="005373AF" w:rsidP="005373AF">
      <w:pPr>
        <w:pStyle w:val="ItemHead"/>
      </w:pPr>
      <w:bookmarkStart w:id="27" w:name="_Ref180416964"/>
      <w:r w:rsidRPr="008B1975">
        <w:t xml:space="preserve">7  </w:t>
      </w:r>
      <w:r w:rsidR="00D63BEA" w:rsidRPr="008B1975">
        <w:t>Section 2.4 (table)</w:t>
      </w:r>
      <w:bookmarkEnd w:id="27"/>
    </w:p>
    <w:p w14:paraId="46376E88" w14:textId="77777777" w:rsidR="00D63BEA" w:rsidRPr="008B1975" w:rsidRDefault="00D63BEA" w:rsidP="00D63BEA">
      <w:pPr>
        <w:pStyle w:val="Item"/>
      </w:pPr>
      <w:r w:rsidRPr="008B1975">
        <w:t>Repeal the table, substitute:</w:t>
      </w:r>
    </w:p>
    <w:p w14:paraId="57982122" w14:textId="77777777" w:rsidR="00D63BEA" w:rsidRPr="008B1975" w:rsidRDefault="00D63BEA" w:rsidP="00D63BEA">
      <w:pPr>
        <w:pStyle w:val="subsection"/>
      </w:pPr>
      <w:r w:rsidRPr="008B1975">
        <w:tab/>
        <w:t>(3)</w:t>
      </w:r>
      <w:r w:rsidRPr="008B1975">
        <w:tab/>
      </w:r>
      <w:bookmarkStart w:id="28" w:name="_Hlk182567714"/>
      <w:r w:rsidRPr="008B1975">
        <w:t>The following table specifies conveyances, premises and infrastructure this section applies to.</w:t>
      </w:r>
      <w:bookmarkEnd w:id="28"/>
    </w:p>
    <w:p w14:paraId="023C0B5E" w14:textId="77777777" w:rsidR="00D63BEA" w:rsidRPr="008B1975" w:rsidRDefault="00D63BEA" w:rsidP="00D63BEA">
      <w:pPr>
        <w:pStyle w:val="Tabletext"/>
        <w:ind w:left="720"/>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63BEA" w:rsidRPr="008B1975" w14:paraId="38750E3D" w14:textId="77777777" w:rsidTr="002531AC">
        <w:trPr>
          <w:trHeight w:val="300"/>
          <w:tblHeader/>
        </w:trPr>
        <w:tc>
          <w:tcPr>
            <w:tcW w:w="5000" w:type="pct"/>
            <w:gridSpan w:val="3"/>
            <w:tcBorders>
              <w:top w:val="single" w:sz="12" w:space="0" w:color="auto"/>
              <w:left w:val="nil"/>
              <w:bottom w:val="single" w:sz="6" w:space="0" w:color="auto"/>
              <w:right w:val="nil"/>
            </w:tcBorders>
            <w:hideMark/>
          </w:tcPr>
          <w:p w14:paraId="548CCBD8" w14:textId="77777777" w:rsidR="00D63BEA" w:rsidRPr="008B1975" w:rsidRDefault="00D63BEA" w:rsidP="002531AC">
            <w:pPr>
              <w:pStyle w:val="TableHeading"/>
            </w:pPr>
            <w:r w:rsidRPr="008B1975">
              <w:t>Application of this section</w:t>
            </w:r>
          </w:p>
        </w:tc>
      </w:tr>
      <w:tr w:rsidR="00D63BEA" w:rsidRPr="008B1975" w14:paraId="217E5C19" w14:textId="77777777" w:rsidTr="00E6734E">
        <w:trPr>
          <w:trHeight w:val="300"/>
          <w:tblHeader/>
        </w:trPr>
        <w:tc>
          <w:tcPr>
            <w:tcW w:w="1667" w:type="pct"/>
            <w:tcBorders>
              <w:top w:val="single" w:sz="6" w:space="0" w:color="auto"/>
              <w:left w:val="nil"/>
              <w:bottom w:val="single" w:sz="12" w:space="0" w:color="auto"/>
              <w:right w:val="nil"/>
            </w:tcBorders>
            <w:hideMark/>
          </w:tcPr>
          <w:p w14:paraId="7DB012CC" w14:textId="77777777" w:rsidR="00D63BEA" w:rsidRPr="008B1975" w:rsidRDefault="00D63BEA" w:rsidP="002531AC">
            <w:pPr>
              <w:pStyle w:val="TableHeading"/>
            </w:pPr>
            <w:r w:rsidRPr="008B1975">
              <w:t>Conveyances</w:t>
            </w:r>
          </w:p>
        </w:tc>
        <w:tc>
          <w:tcPr>
            <w:tcW w:w="1667" w:type="pct"/>
            <w:tcBorders>
              <w:top w:val="single" w:sz="6" w:space="0" w:color="auto"/>
              <w:left w:val="nil"/>
              <w:bottom w:val="single" w:sz="12" w:space="0" w:color="auto"/>
              <w:right w:val="nil"/>
            </w:tcBorders>
            <w:hideMark/>
          </w:tcPr>
          <w:p w14:paraId="66CE17BD" w14:textId="77777777" w:rsidR="00D63BEA" w:rsidRPr="008B1975" w:rsidRDefault="00D63BEA" w:rsidP="002531AC">
            <w:pPr>
              <w:pStyle w:val="TableHeading"/>
            </w:pPr>
            <w:r w:rsidRPr="008B1975">
              <w:t>Premises</w:t>
            </w:r>
          </w:p>
        </w:tc>
        <w:tc>
          <w:tcPr>
            <w:tcW w:w="1667" w:type="pct"/>
            <w:tcBorders>
              <w:top w:val="single" w:sz="6" w:space="0" w:color="auto"/>
              <w:left w:val="nil"/>
              <w:bottom w:val="single" w:sz="12" w:space="0" w:color="auto"/>
              <w:right w:val="nil"/>
            </w:tcBorders>
            <w:hideMark/>
          </w:tcPr>
          <w:p w14:paraId="0B71A2C7" w14:textId="77777777" w:rsidR="00D63BEA" w:rsidRPr="008B1975" w:rsidRDefault="00D63BEA" w:rsidP="002531AC">
            <w:pPr>
              <w:pStyle w:val="TableHeading"/>
            </w:pPr>
            <w:r w:rsidRPr="008B1975">
              <w:t>Infrastructure</w:t>
            </w:r>
          </w:p>
        </w:tc>
      </w:tr>
      <w:tr w:rsidR="00D63BEA" w:rsidRPr="008B1975" w14:paraId="5F5F8873" w14:textId="77777777" w:rsidTr="00E6734E">
        <w:trPr>
          <w:trHeight w:val="300"/>
        </w:trPr>
        <w:tc>
          <w:tcPr>
            <w:tcW w:w="1667" w:type="pct"/>
            <w:tcBorders>
              <w:top w:val="single" w:sz="12" w:space="0" w:color="auto"/>
              <w:left w:val="nil"/>
              <w:bottom w:val="single" w:sz="12" w:space="0" w:color="auto"/>
              <w:right w:val="nil"/>
            </w:tcBorders>
            <w:hideMark/>
          </w:tcPr>
          <w:p w14:paraId="07A00094" w14:textId="77777777" w:rsidR="00D63BEA" w:rsidRPr="008B1975" w:rsidRDefault="00D63BEA"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2042EAE9" w14:textId="77777777" w:rsidR="00D63BEA" w:rsidRPr="008B1975" w:rsidRDefault="00D63BEA" w:rsidP="002531A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423AA883" w14:textId="77777777" w:rsidR="00D63BEA" w:rsidRPr="008B1975" w:rsidRDefault="00D63BEA" w:rsidP="002531AC">
            <w:pPr>
              <w:pStyle w:val="Tabletext"/>
            </w:pPr>
            <w:r w:rsidRPr="008B1975">
              <w:t>All</w:t>
            </w:r>
          </w:p>
        </w:tc>
      </w:tr>
    </w:tbl>
    <w:p w14:paraId="6F027BF7" w14:textId="77777777" w:rsidR="00FB42CC" w:rsidRPr="008B1975" w:rsidRDefault="005373AF" w:rsidP="005373AF">
      <w:pPr>
        <w:pStyle w:val="ItemHead"/>
      </w:pPr>
      <w:bookmarkStart w:id="29" w:name="_Ref180403022"/>
      <w:bookmarkStart w:id="30" w:name="_Ref180417600"/>
      <w:r w:rsidRPr="008B1975">
        <w:t xml:space="preserve">8  </w:t>
      </w:r>
      <w:r w:rsidR="00FB42CC" w:rsidRPr="008B1975">
        <w:t>Subsection 2.5(1)</w:t>
      </w:r>
      <w:bookmarkEnd w:id="29"/>
    </w:p>
    <w:p w14:paraId="4D5AAAEA" w14:textId="77777777" w:rsidR="00FB42CC" w:rsidRPr="008B1975" w:rsidRDefault="00FB42CC" w:rsidP="00FB42CC">
      <w:pPr>
        <w:pStyle w:val="Item"/>
        <w:rPr>
          <w:color w:val="000000" w:themeColor="text1"/>
        </w:rPr>
      </w:pPr>
      <w:r w:rsidRPr="008B1975">
        <w:rPr>
          <w:color w:val="000000" w:themeColor="text1"/>
        </w:rPr>
        <w:t>Omit “Poles”, substitute “Structures</w:t>
      </w:r>
      <w:r w:rsidR="00A063E1" w:rsidRPr="008B1975">
        <w:rPr>
          <w:color w:val="000000" w:themeColor="text1"/>
        </w:rPr>
        <w:t xml:space="preserve"> </w:t>
      </w:r>
      <w:r w:rsidRPr="008B1975">
        <w:rPr>
          <w:color w:val="000000" w:themeColor="text1"/>
        </w:rPr>
        <w:t>such as poles”.</w:t>
      </w:r>
    </w:p>
    <w:p w14:paraId="2A5BBA56" w14:textId="77777777" w:rsidR="00FB42CC" w:rsidRPr="008B1975" w:rsidRDefault="005373AF" w:rsidP="005373AF">
      <w:pPr>
        <w:pStyle w:val="ItemHead"/>
      </w:pPr>
      <w:bookmarkStart w:id="31" w:name="_Ref180403026"/>
      <w:r w:rsidRPr="008B1975">
        <w:rPr>
          <w:color w:val="000000" w:themeColor="text1"/>
        </w:rPr>
        <w:t xml:space="preserve">9  </w:t>
      </w:r>
      <w:r w:rsidR="00FB42CC" w:rsidRPr="008B1975">
        <w:rPr>
          <w:color w:val="000000" w:themeColor="text1"/>
        </w:rPr>
        <w:t>Subsection 2.5(2)</w:t>
      </w:r>
      <w:bookmarkEnd w:id="31"/>
    </w:p>
    <w:p w14:paraId="1C083B3A" w14:textId="77777777" w:rsidR="00FB42CC" w:rsidRPr="008B1975" w:rsidRDefault="00FB42CC" w:rsidP="00FB42CC">
      <w:pPr>
        <w:pStyle w:val="Item"/>
        <w:rPr>
          <w:color w:val="000000" w:themeColor="text1"/>
        </w:rPr>
      </w:pPr>
      <w:r w:rsidRPr="008B1975">
        <w:rPr>
          <w:color w:val="000000" w:themeColor="text1"/>
        </w:rPr>
        <w:t>Repeal the subsection, substitute:</w:t>
      </w:r>
    </w:p>
    <w:p w14:paraId="02D4EC93" w14:textId="77777777" w:rsidR="00FB42CC" w:rsidRPr="008B1975" w:rsidRDefault="00FB42CC" w:rsidP="00FB42CC">
      <w:pPr>
        <w:pStyle w:val="subsection"/>
      </w:pPr>
      <w:r w:rsidRPr="008B1975">
        <w:rPr>
          <w:i/>
          <w:color w:val="000000" w:themeColor="text1"/>
        </w:rPr>
        <w:tab/>
      </w:r>
      <w:r w:rsidR="00A063E1" w:rsidRPr="008B1975">
        <w:rPr>
          <w:color w:val="000000" w:themeColor="text1"/>
        </w:rPr>
        <w:t>(2)</w:t>
      </w:r>
      <w:r w:rsidRPr="008B1975">
        <w:rPr>
          <w:i/>
          <w:color w:val="000000" w:themeColor="text1"/>
        </w:rPr>
        <w:tab/>
      </w:r>
      <w:r w:rsidR="00A063E1" w:rsidRPr="008B1975">
        <w:rPr>
          <w:color w:val="000000" w:themeColor="text1"/>
        </w:rPr>
        <w:t>S</w:t>
      </w:r>
      <w:r w:rsidRPr="008B1975">
        <w:rPr>
          <w:color w:val="000000" w:themeColor="text1"/>
        </w:rPr>
        <w:t>tructures</w:t>
      </w:r>
      <w:r w:rsidR="00A063E1" w:rsidRPr="008B1975">
        <w:rPr>
          <w:color w:val="000000" w:themeColor="text1"/>
        </w:rPr>
        <w:t xml:space="preserve"> such as poles, columns</w:t>
      </w:r>
      <w:r w:rsidR="00451CB1" w:rsidRPr="008B1975">
        <w:rPr>
          <w:color w:val="000000" w:themeColor="text1"/>
        </w:rPr>
        <w:t>, stanchions, bollards and fixtures</w:t>
      </w:r>
      <w:r w:rsidRPr="008B1975">
        <w:rPr>
          <w:color w:val="000000" w:themeColor="text1"/>
        </w:rPr>
        <w:t xml:space="preserve"> </w:t>
      </w:r>
      <w:r w:rsidRPr="008B1975">
        <w:t xml:space="preserve">that abut an access path must </w:t>
      </w:r>
      <w:bookmarkStart w:id="32" w:name="_Hlk180765644"/>
      <w:r w:rsidRPr="008B1975">
        <w:t>have a luminance contrast of not less than 30%, as tested in accordance with Appendix B of AS</w:t>
      </w:r>
      <w:r w:rsidR="00462DD1" w:rsidRPr="008B1975">
        <w:t xml:space="preserve"> </w:t>
      </w:r>
      <w:r w:rsidRPr="008B1975">
        <w:t>1428.1 (2021)</w:t>
      </w:r>
      <w:bookmarkEnd w:id="32"/>
      <w:r w:rsidRPr="008B1975">
        <w:t>, when viewed against:</w:t>
      </w:r>
    </w:p>
    <w:p w14:paraId="3D848856" w14:textId="77777777" w:rsidR="00FB42CC" w:rsidRPr="008B1975" w:rsidRDefault="00FB42CC" w:rsidP="00FB42CC">
      <w:pPr>
        <w:pStyle w:val="paragraph"/>
      </w:pPr>
      <w:r w:rsidRPr="008B1975">
        <w:tab/>
      </w:r>
      <w:r w:rsidR="00451CB1" w:rsidRPr="008B1975">
        <w:t>(a)</w:t>
      </w:r>
      <w:r w:rsidRPr="008B1975">
        <w:tab/>
        <w:t>the surrounding floor or pavement; or</w:t>
      </w:r>
    </w:p>
    <w:p w14:paraId="206F2948" w14:textId="77777777" w:rsidR="00FB42CC" w:rsidRPr="008B1975" w:rsidRDefault="00FB42CC" w:rsidP="00FB42CC">
      <w:pPr>
        <w:pStyle w:val="paragraph"/>
      </w:pPr>
      <w:r w:rsidRPr="008B1975">
        <w:tab/>
      </w:r>
      <w:r w:rsidR="00451CB1" w:rsidRPr="008B1975">
        <w:t>(b)</w:t>
      </w:r>
      <w:r w:rsidRPr="008B1975">
        <w:tab/>
        <w:t>other fixed surfaces that are within 2 metres of the obstacle.</w:t>
      </w:r>
    </w:p>
    <w:p w14:paraId="638F780F" w14:textId="77777777" w:rsidR="00FB42CC" w:rsidRPr="008B1975" w:rsidRDefault="005373AF" w:rsidP="005373AF">
      <w:pPr>
        <w:pStyle w:val="ItemHead"/>
      </w:pPr>
      <w:bookmarkStart w:id="33" w:name="_Ref185256922"/>
      <w:r w:rsidRPr="008B1975">
        <w:t xml:space="preserve">10  </w:t>
      </w:r>
      <w:r w:rsidR="00FB42CC" w:rsidRPr="008B1975">
        <w:t>Section 2.5 (table)</w:t>
      </w:r>
      <w:bookmarkEnd w:id="33"/>
    </w:p>
    <w:p w14:paraId="11FDCD8A" w14:textId="77777777" w:rsidR="00FB42CC" w:rsidRPr="008B1975" w:rsidRDefault="00FB42CC" w:rsidP="00FB42CC">
      <w:pPr>
        <w:pStyle w:val="Item"/>
      </w:pPr>
      <w:r w:rsidRPr="008B1975">
        <w:t>Repeal the table, substitute:</w:t>
      </w:r>
    </w:p>
    <w:p w14:paraId="50C2E4CC" w14:textId="77777777" w:rsidR="00FB42CC" w:rsidRPr="008B1975" w:rsidRDefault="00FB42CC" w:rsidP="00FB42CC">
      <w:pPr>
        <w:pStyle w:val="subsection"/>
      </w:pPr>
      <w:r w:rsidRPr="008B1975">
        <w:tab/>
        <w:t>(3)</w:t>
      </w:r>
      <w:r w:rsidRPr="008B1975">
        <w:tab/>
        <w:t>The following table specifies conveyances, premises and infrastructure this section applies to.</w:t>
      </w:r>
    </w:p>
    <w:p w14:paraId="5FD052C1"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63E3FC39"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56039E7D" w14:textId="77777777" w:rsidR="00FB42CC" w:rsidRPr="008B1975" w:rsidRDefault="00FB42CC" w:rsidP="00FB42CC">
            <w:pPr>
              <w:pStyle w:val="TableHeading"/>
            </w:pPr>
            <w:r w:rsidRPr="008B1975">
              <w:lastRenderedPageBreak/>
              <w:t>Application of this section</w:t>
            </w:r>
          </w:p>
        </w:tc>
      </w:tr>
      <w:tr w:rsidR="00FB42CC" w:rsidRPr="008B1975" w14:paraId="45B61DBF" w14:textId="77777777" w:rsidTr="00E6734E">
        <w:trPr>
          <w:trHeight w:val="300"/>
          <w:tblHeader/>
        </w:trPr>
        <w:tc>
          <w:tcPr>
            <w:tcW w:w="1667" w:type="pct"/>
            <w:tcBorders>
              <w:top w:val="single" w:sz="6" w:space="0" w:color="auto"/>
              <w:bottom w:val="single" w:sz="12" w:space="0" w:color="auto"/>
            </w:tcBorders>
            <w:shd w:val="clear" w:color="auto" w:fill="auto"/>
            <w:hideMark/>
          </w:tcPr>
          <w:p w14:paraId="3C4FF63E" w14:textId="77777777" w:rsidR="00FB42CC" w:rsidRPr="008B1975" w:rsidRDefault="00FB42CC" w:rsidP="00FB42C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62A672B3" w14:textId="77777777" w:rsidR="00FB42CC" w:rsidRPr="008B1975" w:rsidRDefault="00FB42CC" w:rsidP="00FB42C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68B367D" w14:textId="77777777" w:rsidR="00FB42CC" w:rsidRPr="008B1975" w:rsidRDefault="00FB42CC" w:rsidP="00FB42CC">
            <w:pPr>
              <w:pStyle w:val="TableHeading"/>
            </w:pPr>
            <w:r w:rsidRPr="008B1975">
              <w:t>Infrastructure</w:t>
            </w:r>
          </w:p>
        </w:tc>
      </w:tr>
      <w:tr w:rsidR="00FB42CC" w:rsidRPr="008B1975" w14:paraId="726732DC" w14:textId="77777777" w:rsidTr="00E6734E">
        <w:trPr>
          <w:trHeight w:val="300"/>
        </w:trPr>
        <w:tc>
          <w:tcPr>
            <w:tcW w:w="1667" w:type="pct"/>
            <w:tcBorders>
              <w:top w:val="single" w:sz="12" w:space="0" w:color="auto"/>
              <w:bottom w:val="single" w:sz="12" w:space="0" w:color="auto"/>
            </w:tcBorders>
            <w:shd w:val="clear" w:color="auto" w:fill="auto"/>
            <w:hideMark/>
          </w:tcPr>
          <w:p w14:paraId="769FF509" w14:textId="77777777" w:rsidR="00FB42CC" w:rsidRPr="008B1975" w:rsidRDefault="00FB42CC" w:rsidP="00FB42CC">
            <w:pPr>
              <w:pStyle w:val="Tabletext"/>
            </w:pPr>
            <w:r w:rsidRPr="008B1975">
              <w:t>None</w:t>
            </w:r>
          </w:p>
        </w:tc>
        <w:tc>
          <w:tcPr>
            <w:tcW w:w="1667" w:type="pct"/>
            <w:tcBorders>
              <w:top w:val="single" w:sz="12" w:space="0" w:color="auto"/>
              <w:bottom w:val="single" w:sz="12" w:space="0" w:color="auto"/>
            </w:tcBorders>
            <w:shd w:val="clear" w:color="auto" w:fill="auto"/>
            <w:hideMark/>
          </w:tcPr>
          <w:p w14:paraId="71885380" w14:textId="77777777" w:rsidR="00FB42CC" w:rsidRPr="008B1975" w:rsidRDefault="00FB42CC" w:rsidP="00FB42CC">
            <w:pPr>
              <w:pStyle w:val="Tabletext"/>
            </w:pPr>
            <w:r w:rsidRPr="008B1975">
              <w:t>All</w:t>
            </w:r>
            <w:r w:rsidR="00792665" w:rsidRPr="008B1975">
              <w:t>,</w:t>
            </w:r>
            <w:r w:rsidRPr="008B1975">
              <w:t xml:space="preserve"> except premises to which the Premises Standards apply</w:t>
            </w:r>
          </w:p>
        </w:tc>
        <w:tc>
          <w:tcPr>
            <w:tcW w:w="1667" w:type="pct"/>
            <w:tcBorders>
              <w:top w:val="single" w:sz="12" w:space="0" w:color="auto"/>
              <w:bottom w:val="single" w:sz="12" w:space="0" w:color="auto"/>
            </w:tcBorders>
            <w:shd w:val="clear" w:color="auto" w:fill="auto"/>
          </w:tcPr>
          <w:p w14:paraId="15F851CF" w14:textId="77777777" w:rsidR="00FB42CC" w:rsidRPr="008B1975" w:rsidRDefault="00FB42CC" w:rsidP="00FB42CC">
            <w:pPr>
              <w:pStyle w:val="Tabletext"/>
            </w:pPr>
            <w:r w:rsidRPr="008B1975">
              <w:t>All</w:t>
            </w:r>
          </w:p>
        </w:tc>
      </w:tr>
    </w:tbl>
    <w:p w14:paraId="7C1718C1" w14:textId="77777777" w:rsidR="00F71AAC" w:rsidRPr="008B1975" w:rsidRDefault="005373AF" w:rsidP="005373AF">
      <w:pPr>
        <w:pStyle w:val="ItemHead"/>
      </w:pPr>
      <w:bookmarkStart w:id="34" w:name="_Ref185256745"/>
      <w:r w:rsidRPr="008B1975">
        <w:t xml:space="preserve">11  </w:t>
      </w:r>
      <w:r w:rsidR="00F71AAC" w:rsidRPr="008B1975">
        <w:t>After subsection 2.6(1)</w:t>
      </w:r>
      <w:bookmarkEnd w:id="34"/>
    </w:p>
    <w:p w14:paraId="1D1DA79D" w14:textId="77777777" w:rsidR="00F71AAC" w:rsidRPr="008B1975" w:rsidRDefault="00F71AAC" w:rsidP="00F71AAC">
      <w:pPr>
        <w:pStyle w:val="Item"/>
      </w:pPr>
      <w:r w:rsidRPr="008B1975">
        <w:t>Insert</w:t>
      </w:r>
    </w:p>
    <w:p w14:paraId="15B4037C" w14:textId="77777777" w:rsidR="00F71AAC" w:rsidRPr="008B1975" w:rsidRDefault="00F71AAC" w:rsidP="00F71AAC">
      <w:pPr>
        <w:pStyle w:val="subsection"/>
      </w:pPr>
      <w:r w:rsidRPr="008B1975">
        <w:tab/>
        <w:t>(1A)</w:t>
      </w:r>
      <w:r w:rsidRPr="008B1975">
        <w:tab/>
        <w:t>Subject to section 2.7</w:t>
      </w:r>
      <w:r w:rsidRPr="008B1975">
        <w:rPr>
          <w:i/>
        </w:rPr>
        <w:t>,</w:t>
      </w:r>
      <w:r w:rsidR="006B2094" w:rsidRPr="008B1975">
        <w:t xml:space="preserve"> </w:t>
      </w:r>
      <w:r w:rsidRPr="008B1975">
        <w:t>the access path must have a vertical dimension that extends unobstructed for at least 1,500 mm starting from the path’s floor.</w:t>
      </w:r>
    </w:p>
    <w:p w14:paraId="35F67088" w14:textId="77777777" w:rsidR="00F71AAC" w:rsidRPr="008B1975" w:rsidRDefault="00F71AAC" w:rsidP="00F71AAC">
      <w:pPr>
        <w:pStyle w:val="subsection"/>
      </w:pPr>
      <w:r w:rsidRPr="008B1975">
        <w:tab/>
        <w:t>(1B)</w:t>
      </w:r>
      <w:r w:rsidRPr="008B1975">
        <w:tab/>
        <w:t>No objects or fixtures are to</w:t>
      </w:r>
      <w:r w:rsidR="00C5067F" w:rsidRPr="008B1975">
        <w:t xml:space="preserve"> project</w:t>
      </w:r>
      <w:r w:rsidRPr="008B1975">
        <w:rPr>
          <w:i/>
        </w:rPr>
        <w:t xml:space="preserve"> </w:t>
      </w:r>
      <w:r w:rsidRPr="008B1975">
        <w:t>into the access path unless the object or fixture is:</w:t>
      </w:r>
    </w:p>
    <w:p w14:paraId="4A47EBFF" w14:textId="77777777" w:rsidR="00F71AAC" w:rsidRPr="008B1975" w:rsidRDefault="00F71AAC" w:rsidP="00F71AAC">
      <w:pPr>
        <w:pStyle w:val="paragraph"/>
      </w:pPr>
      <w:r w:rsidRPr="008B1975">
        <w:tab/>
        <w:t>(a)</w:t>
      </w:r>
      <w:r w:rsidRPr="008B1975">
        <w:tab/>
        <w:t>a grabrail; or</w:t>
      </w:r>
    </w:p>
    <w:p w14:paraId="44356044" w14:textId="77777777" w:rsidR="00F71AAC" w:rsidRPr="008B1975" w:rsidRDefault="00F71AAC" w:rsidP="00F71AAC">
      <w:pPr>
        <w:pStyle w:val="paragraph"/>
      </w:pPr>
      <w:r w:rsidRPr="008B1975">
        <w:tab/>
        <w:t>(b)</w:t>
      </w:r>
      <w:r w:rsidRPr="008B1975">
        <w:tab/>
        <w:t>a device to signal to request the use of a boarding device; or</w:t>
      </w:r>
    </w:p>
    <w:p w14:paraId="4EBAE73F" w14:textId="77777777" w:rsidR="00F71AAC" w:rsidRPr="008B1975" w:rsidRDefault="00F71AAC" w:rsidP="00F71AAC">
      <w:pPr>
        <w:pStyle w:val="paragraph"/>
      </w:pPr>
      <w:r w:rsidRPr="008B1975">
        <w:tab/>
        <w:t>(c)</w:t>
      </w:r>
      <w:r w:rsidRPr="008B1975">
        <w:tab/>
        <w:t>overhead handrails or handgrips; or</w:t>
      </w:r>
    </w:p>
    <w:p w14:paraId="73462DDB" w14:textId="77777777" w:rsidR="00F71AAC" w:rsidRPr="008B1975" w:rsidRDefault="00F71AAC" w:rsidP="00F71AAC">
      <w:pPr>
        <w:pStyle w:val="paragraph"/>
      </w:pPr>
      <w:r w:rsidRPr="008B1975">
        <w:tab/>
        <w:t>(d)</w:t>
      </w:r>
      <w:r w:rsidRPr="008B1975">
        <w:tab/>
        <w:t>a forward excursion barrier, or a lateral excursion barrier, that complies</w:t>
      </w:r>
      <w:r w:rsidR="006B2094" w:rsidRPr="008B1975">
        <w:t xml:space="preserve"> </w:t>
      </w:r>
      <w:r w:rsidR="00994307" w:rsidRPr="008B1975">
        <w:t>with AS/NZS ISO 10865.1-2015</w:t>
      </w:r>
      <w:r w:rsidRPr="008B1975">
        <w:t>.</w:t>
      </w:r>
    </w:p>
    <w:p w14:paraId="665A1FD2" w14:textId="77777777" w:rsidR="00F71AAC" w:rsidRPr="008B1975" w:rsidRDefault="005373AF" w:rsidP="005373AF">
      <w:pPr>
        <w:pStyle w:val="ItemHead"/>
      </w:pPr>
      <w:bookmarkStart w:id="35" w:name="_Ref185256751"/>
      <w:r w:rsidRPr="008B1975">
        <w:t xml:space="preserve">12  </w:t>
      </w:r>
      <w:r w:rsidR="00F71AAC" w:rsidRPr="008B1975">
        <w:t>Subsection 2.6(2)</w:t>
      </w:r>
      <w:bookmarkEnd w:id="35"/>
    </w:p>
    <w:p w14:paraId="2A839F78" w14:textId="77777777" w:rsidR="00F71AAC" w:rsidRPr="008B1975" w:rsidRDefault="00F71AAC" w:rsidP="00F71AAC">
      <w:pPr>
        <w:pStyle w:val="Item"/>
      </w:pPr>
      <w:r w:rsidRPr="008B1975">
        <w:t>Omit “Subsection (1) applies”, substitute “Subsections (1), (1A) and (1B) apply”.</w:t>
      </w:r>
    </w:p>
    <w:p w14:paraId="168992D1" w14:textId="77777777" w:rsidR="00804A32" w:rsidRPr="008B1975" w:rsidRDefault="005373AF" w:rsidP="005373AF">
      <w:pPr>
        <w:pStyle w:val="ItemHead"/>
      </w:pPr>
      <w:bookmarkStart w:id="36" w:name="_Ref185326300"/>
      <w:r w:rsidRPr="008B1975">
        <w:t xml:space="preserve">13  </w:t>
      </w:r>
      <w:r w:rsidR="00804A32" w:rsidRPr="008B1975">
        <w:t>Section 2.6 (table)</w:t>
      </w:r>
      <w:bookmarkEnd w:id="36"/>
    </w:p>
    <w:p w14:paraId="36D215B2" w14:textId="77777777" w:rsidR="00804A32" w:rsidRPr="008B1975" w:rsidRDefault="00804A32" w:rsidP="00804A32">
      <w:pPr>
        <w:pStyle w:val="Item"/>
      </w:pPr>
      <w:bookmarkStart w:id="37" w:name="_Hlk184373394"/>
      <w:r w:rsidRPr="008B1975">
        <w:t>Repeal the table, substitute:</w:t>
      </w:r>
    </w:p>
    <w:p w14:paraId="3497293A" w14:textId="64F71050" w:rsidR="00804A32" w:rsidRPr="008B1975" w:rsidRDefault="00804A32" w:rsidP="00804A32">
      <w:pPr>
        <w:pStyle w:val="subsection"/>
      </w:pPr>
      <w:r w:rsidRPr="008B1975">
        <w:tab/>
        <w:t>(</w:t>
      </w:r>
      <w:r w:rsidR="00612DC6" w:rsidRPr="008B1975">
        <w:t>4</w:t>
      </w:r>
      <w:r w:rsidRPr="008B1975">
        <w:t>)</w:t>
      </w:r>
      <w:r w:rsidRPr="008B1975">
        <w:tab/>
        <w:t>The following table specifies conveyances, premises and infrastructure this section applies to.</w:t>
      </w:r>
    </w:p>
    <w:p w14:paraId="26156E90" w14:textId="77777777" w:rsidR="00804A32" w:rsidRPr="008B1975" w:rsidRDefault="00804A32"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04A32" w:rsidRPr="008B1975" w14:paraId="5B2BFDC8" w14:textId="77777777" w:rsidTr="005606F7">
        <w:trPr>
          <w:trHeight w:val="300"/>
          <w:tblHeader/>
        </w:trPr>
        <w:tc>
          <w:tcPr>
            <w:tcW w:w="5000" w:type="pct"/>
            <w:gridSpan w:val="3"/>
            <w:tcBorders>
              <w:top w:val="single" w:sz="12" w:space="0" w:color="auto"/>
              <w:bottom w:val="single" w:sz="6" w:space="0" w:color="auto"/>
            </w:tcBorders>
            <w:shd w:val="clear" w:color="auto" w:fill="auto"/>
            <w:hideMark/>
          </w:tcPr>
          <w:p w14:paraId="1F3F51A6" w14:textId="77777777" w:rsidR="00804A32" w:rsidRPr="008B1975" w:rsidRDefault="00804A32" w:rsidP="005606F7">
            <w:pPr>
              <w:pStyle w:val="TableHeading"/>
            </w:pPr>
            <w:r w:rsidRPr="008B1975">
              <w:t>Application of this section</w:t>
            </w:r>
          </w:p>
        </w:tc>
      </w:tr>
      <w:tr w:rsidR="00804A32" w:rsidRPr="008B1975" w14:paraId="776FC337" w14:textId="77777777" w:rsidTr="00A77A4A">
        <w:trPr>
          <w:trHeight w:val="300"/>
          <w:tblHeader/>
        </w:trPr>
        <w:tc>
          <w:tcPr>
            <w:tcW w:w="1667" w:type="pct"/>
            <w:tcBorders>
              <w:top w:val="single" w:sz="6" w:space="0" w:color="auto"/>
              <w:bottom w:val="single" w:sz="12" w:space="0" w:color="auto"/>
            </w:tcBorders>
            <w:shd w:val="clear" w:color="auto" w:fill="auto"/>
            <w:hideMark/>
          </w:tcPr>
          <w:p w14:paraId="41B3CF80" w14:textId="77777777" w:rsidR="00804A32" w:rsidRPr="008B1975" w:rsidRDefault="00804A32" w:rsidP="005606F7">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A2C4648" w14:textId="77777777" w:rsidR="00804A32" w:rsidRPr="008B1975" w:rsidRDefault="00804A32" w:rsidP="005606F7">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F90F764" w14:textId="77777777" w:rsidR="00804A32" w:rsidRPr="008B1975" w:rsidRDefault="00804A32" w:rsidP="005606F7">
            <w:pPr>
              <w:pStyle w:val="TableHeading"/>
            </w:pPr>
            <w:r w:rsidRPr="008B1975">
              <w:t>Infrastructure</w:t>
            </w:r>
          </w:p>
        </w:tc>
      </w:tr>
      <w:tr w:rsidR="00804A32" w:rsidRPr="008B1975" w14:paraId="62D8DEF7" w14:textId="77777777" w:rsidTr="00A77A4A">
        <w:trPr>
          <w:trHeight w:val="300"/>
        </w:trPr>
        <w:tc>
          <w:tcPr>
            <w:tcW w:w="1667" w:type="pct"/>
            <w:tcBorders>
              <w:top w:val="single" w:sz="12" w:space="0" w:color="auto"/>
              <w:bottom w:val="single" w:sz="12" w:space="0" w:color="auto"/>
            </w:tcBorders>
            <w:shd w:val="clear" w:color="auto" w:fill="auto"/>
            <w:hideMark/>
          </w:tcPr>
          <w:p w14:paraId="15A119FB" w14:textId="77777777" w:rsidR="00A700BB" w:rsidRPr="008B1975" w:rsidRDefault="00A700BB" w:rsidP="00451CB1">
            <w:pPr>
              <w:pStyle w:val="Tabletext"/>
            </w:pPr>
            <w:r w:rsidRPr="008B1975">
              <w:t>The following:</w:t>
            </w:r>
          </w:p>
          <w:p w14:paraId="606E758B" w14:textId="77777777" w:rsidR="00A700BB" w:rsidRPr="008B1975" w:rsidRDefault="00A700BB" w:rsidP="00A700BB">
            <w:pPr>
              <w:pStyle w:val="Tablea"/>
            </w:pPr>
            <w:r w:rsidRPr="008B1975">
              <w:t xml:space="preserve">(a) </w:t>
            </w:r>
            <w:r w:rsidR="00240824" w:rsidRPr="008B1975">
              <w:t>b</w:t>
            </w:r>
            <w:r w:rsidRPr="008B1975">
              <w:t>uses</w:t>
            </w:r>
            <w:r w:rsidR="00451CB1" w:rsidRPr="008B1975">
              <w:t>;</w:t>
            </w:r>
          </w:p>
          <w:p w14:paraId="08A03AA7" w14:textId="77777777" w:rsidR="00A700BB" w:rsidRPr="008B1975" w:rsidRDefault="00A700BB" w:rsidP="00A700BB">
            <w:pPr>
              <w:pStyle w:val="Tablea"/>
            </w:pPr>
            <w:r w:rsidRPr="008B1975">
              <w:t xml:space="preserve">(b) </w:t>
            </w:r>
            <w:r w:rsidR="00240824" w:rsidRPr="008B1975">
              <w:t>f</w:t>
            </w:r>
            <w:r w:rsidRPr="008B1975">
              <w:t>erries</w:t>
            </w:r>
            <w:r w:rsidR="00451CB1" w:rsidRPr="008B1975">
              <w:t>;</w:t>
            </w:r>
          </w:p>
          <w:p w14:paraId="05F6D464" w14:textId="77777777" w:rsidR="00A700BB" w:rsidRPr="008B1975" w:rsidRDefault="00A700BB" w:rsidP="00A700BB">
            <w:pPr>
              <w:pStyle w:val="Tablea"/>
            </w:pPr>
            <w:r w:rsidRPr="008B1975">
              <w:t xml:space="preserve">(c) </w:t>
            </w:r>
            <w:r w:rsidR="00240824" w:rsidRPr="008B1975">
              <w:t>t</w:t>
            </w:r>
            <w:r w:rsidRPr="008B1975">
              <w:t>rains</w:t>
            </w:r>
            <w:r w:rsidR="00451CB1" w:rsidRPr="008B1975">
              <w:t>;</w:t>
            </w:r>
          </w:p>
          <w:p w14:paraId="693EAAE3" w14:textId="77777777" w:rsidR="00A700BB" w:rsidRPr="008B1975" w:rsidRDefault="00A700BB" w:rsidP="00A700BB">
            <w:pPr>
              <w:pStyle w:val="Tablea"/>
            </w:pPr>
            <w:r w:rsidRPr="008B1975">
              <w:t>(d)</w:t>
            </w:r>
            <w:r w:rsidR="00240824" w:rsidRPr="008B1975">
              <w:t xml:space="preserve"> t</w:t>
            </w:r>
            <w:r w:rsidRPr="008B1975">
              <w:t>rams</w:t>
            </w:r>
            <w:r w:rsidR="00451CB1" w:rsidRPr="008B1975">
              <w:t>;</w:t>
            </w:r>
          </w:p>
          <w:p w14:paraId="242EA6E6" w14:textId="77777777" w:rsidR="00A700BB" w:rsidRPr="008B1975" w:rsidRDefault="00A700BB" w:rsidP="005606F7">
            <w:pPr>
              <w:pStyle w:val="Tabletext"/>
            </w:pPr>
            <w:r w:rsidRPr="008B1975">
              <w:t xml:space="preserve">(e) </w:t>
            </w:r>
            <w:r w:rsidR="00240824" w:rsidRPr="008B1975">
              <w:t>l</w:t>
            </w:r>
            <w:r w:rsidRPr="008B1975">
              <w:t>ight rail</w:t>
            </w:r>
          </w:p>
        </w:tc>
        <w:tc>
          <w:tcPr>
            <w:tcW w:w="1667" w:type="pct"/>
            <w:tcBorders>
              <w:top w:val="single" w:sz="12" w:space="0" w:color="auto"/>
              <w:bottom w:val="single" w:sz="12" w:space="0" w:color="auto"/>
            </w:tcBorders>
            <w:shd w:val="clear" w:color="auto" w:fill="auto"/>
            <w:hideMark/>
          </w:tcPr>
          <w:p w14:paraId="2CC596A1" w14:textId="77777777" w:rsidR="00804A32" w:rsidRPr="008B1975" w:rsidRDefault="00804A32" w:rsidP="005606F7">
            <w:pPr>
              <w:pStyle w:val="Tabletext"/>
            </w:pPr>
            <w:r w:rsidRPr="008B1975">
              <w:t>None</w:t>
            </w:r>
          </w:p>
        </w:tc>
        <w:tc>
          <w:tcPr>
            <w:tcW w:w="1667" w:type="pct"/>
            <w:tcBorders>
              <w:top w:val="single" w:sz="12" w:space="0" w:color="auto"/>
              <w:bottom w:val="single" w:sz="12" w:space="0" w:color="auto"/>
            </w:tcBorders>
            <w:shd w:val="clear" w:color="auto" w:fill="auto"/>
          </w:tcPr>
          <w:p w14:paraId="3330667F" w14:textId="77777777" w:rsidR="00804A32" w:rsidRPr="008B1975" w:rsidRDefault="00804A32" w:rsidP="005606F7">
            <w:pPr>
              <w:pStyle w:val="Tabletext"/>
            </w:pPr>
            <w:r w:rsidRPr="008B1975">
              <w:t>None</w:t>
            </w:r>
          </w:p>
        </w:tc>
      </w:tr>
    </w:tbl>
    <w:p w14:paraId="34EE98DA" w14:textId="77777777" w:rsidR="00D63BEA" w:rsidRPr="008B1975" w:rsidRDefault="005373AF" w:rsidP="005373AF">
      <w:pPr>
        <w:pStyle w:val="ItemHead"/>
      </w:pPr>
      <w:bookmarkStart w:id="38" w:name="_Ref185256889"/>
      <w:bookmarkStart w:id="39" w:name="_Ref185326359"/>
      <w:bookmarkEnd w:id="37"/>
      <w:r w:rsidRPr="008B1975">
        <w:t xml:space="preserve">14  </w:t>
      </w:r>
      <w:r w:rsidR="00D63BEA" w:rsidRPr="008B1975">
        <w:t>Section 2.7</w:t>
      </w:r>
      <w:bookmarkEnd w:id="30"/>
      <w:bookmarkEnd w:id="38"/>
      <w:bookmarkEnd w:id="39"/>
    </w:p>
    <w:p w14:paraId="406AA4FC" w14:textId="77777777" w:rsidR="00D63BEA" w:rsidRPr="008B1975" w:rsidRDefault="00D63BEA" w:rsidP="00D63BEA">
      <w:pPr>
        <w:pStyle w:val="Item"/>
      </w:pPr>
      <w:r w:rsidRPr="008B1975">
        <w:t>Before “Between”, insert “(1)”.</w:t>
      </w:r>
    </w:p>
    <w:p w14:paraId="56481D74" w14:textId="77777777" w:rsidR="00D63BEA" w:rsidRPr="008B1975" w:rsidRDefault="005373AF" w:rsidP="005373AF">
      <w:pPr>
        <w:pStyle w:val="ItemHead"/>
      </w:pPr>
      <w:bookmarkStart w:id="40" w:name="_Ref180417611"/>
      <w:r w:rsidRPr="008B1975">
        <w:t xml:space="preserve">15  </w:t>
      </w:r>
      <w:r w:rsidR="00D63BEA" w:rsidRPr="008B1975">
        <w:t>After subsection 2.7(1)</w:t>
      </w:r>
      <w:bookmarkEnd w:id="40"/>
    </w:p>
    <w:p w14:paraId="279ED70A" w14:textId="77777777" w:rsidR="00D63BEA" w:rsidRPr="008B1975" w:rsidRDefault="00D63BEA" w:rsidP="00D63BEA">
      <w:pPr>
        <w:pStyle w:val="Item"/>
      </w:pPr>
      <w:r w:rsidRPr="008B1975">
        <w:t>Insert:</w:t>
      </w:r>
    </w:p>
    <w:p w14:paraId="13AC63B1" w14:textId="77777777" w:rsidR="00D63BEA" w:rsidRPr="008B1975" w:rsidRDefault="00D63BEA" w:rsidP="00D63BEA">
      <w:pPr>
        <w:pStyle w:val="subsection"/>
      </w:pPr>
      <w:r w:rsidRPr="008B1975">
        <w:tab/>
      </w:r>
      <w:r w:rsidR="00A92EBD" w:rsidRPr="008B1975">
        <w:t>(2)</w:t>
      </w:r>
      <w:r w:rsidRPr="008B1975">
        <w:tab/>
        <w:t xml:space="preserve">For the purposes of this section, the </w:t>
      </w:r>
      <w:r w:rsidRPr="008B1975">
        <w:rPr>
          <w:b/>
          <w:i/>
        </w:rPr>
        <w:t>front wheel arches of the bus</w:t>
      </w:r>
      <w:r w:rsidRPr="008B1975">
        <w:t xml:space="preserve"> are the area</w:t>
      </w:r>
      <w:r w:rsidR="00462DD1" w:rsidRPr="008B1975">
        <w:t>s</w:t>
      </w:r>
      <w:r w:rsidRPr="008B1975">
        <w:t xml:space="preserve"> forward and rearward of the axle that contain</w:t>
      </w:r>
      <w:r w:rsidR="00462DD1" w:rsidRPr="008B1975">
        <w:t xml:space="preserve"> </w:t>
      </w:r>
      <w:r w:rsidRPr="008B1975">
        <w:t>the front road wheels plus any supporting chassis structure.</w:t>
      </w:r>
    </w:p>
    <w:p w14:paraId="57793499" w14:textId="77777777" w:rsidR="00804A32" w:rsidRPr="008B1975" w:rsidRDefault="005373AF" w:rsidP="005373AF">
      <w:pPr>
        <w:pStyle w:val="ItemHead"/>
      </w:pPr>
      <w:bookmarkStart w:id="41" w:name="_Ref185283879"/>
      <w:r w:rsidRPr="008B1975">
        <w:lastRenderedPageBreak/>
        <w:t xml:space="preserve">16  </w:t>
      </w:r>
      <w:r w:rsidR="00804A32" w:rsidRPr="008B1975">
        <w:t>Section 2.7 (table)</w:t>
      </w:r>
      <w:bookmarkEnd w:id="41"/>
    </w:p>
    <w:p w14:paraId="5FE3AD5E" w14:textId="77777777" w:rsidR="00804A32" w:rsidRPr="008B1975" w:rsidRDefault="00804A32" w:rsidP="00804A32">
      <w:pPr>
        <w:pStyle w:val="Item"/>
      </w:pPr>
      <w:r w:rsidRPr="008B1975">
        <w:t>Repeal the table, substitute:</w:t>
      </w:r>
    </w:p>
    <w:p w14:paraId="3C7EDC8B" w14:textId="77777777" w:rsidR="00804A32" w:rsidRPr="008B1975" w:rsidRDefault="00804A32" w:rsidP="00804A32">
      <w:pPr>
        <w:pStyle w:val="subsection"/>
      </w:pPr>
      <w:r w:rsidRPr="008B1975">
        <w:tab/>
        <w:t>(</w:t>
      </w:r>
      <w:r w:rsidR="00F71AAC" w:rsidRPr="008B1975">
        <w:t>3</w:t>
      </w:r>
      <w:r w:rsidRPr="008B1975">
        <w:t>)</w:t>
      </w:r>
      <w:r w:rsidRPr="008B1975">
        <w:tab/>
        <w:t>The following table specifies conveyances, premises and infrastructure this section applies to.</w:t>
      </w:r>
    </w:p>
    <w:p w14:paraId="69DFA1D3" w14:textId="77777777" w:rsidR="00804A32" w:rsidRPr="008B1975" w:rsidRDefault="00804A32"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04A32" w:rsidRPr="008B1975" w14:paraId="73019576" w14:textId="77777777" w:rsidTr="005606F7">
        <w:trPr>
          <w:trHeight w:val="300"/>
          <w:tblHeader/>
        </w:trPr>
        <w:tc>
          <w:tcPr>
            <w:tcW w:w="5000" w:type="pct"/>
            <w:gridSpan w:val="3"/>
            <w:tcBorders>
              <w:top w:val="single" w:sz="12" w:space="0" w:color="auto"/>
              <w:bottom w:val="single" w:sz="6" w:space="0" w:color="auto"/>
            </w:tcBorders>
            <w:shd w:val="clear" w:color="auto" w:fill="auto"/>
            <w:hideMark/>
          </w:tcPr>
          <w:p w14:paraId="435019FB" w14:textId="77777777" w:rsidR="00804A32" w:rsidRPr="008B1975" w:rsidRDefault="00804A32" w:rsidP="005606F7">
            <w:pPr>
              <w:pStyle w:val="TableHeading"/>
            </w:pPr>
            <w:r w:rsidRPr="008B1975">
              <w:t>Application of this section</w:t>
            </w:r>
          </w:p>
        </w:tc>
      </w:tr>
      <w:tr w:rsidR="00804A32" w:rsidRPr="008B1975" w14:paraId="7AD80A16" w14:textId="77777777" w:rsidTr="00A77A4A">
        <w:trPr>
          <w:trHeight w:val="300"/>
          <w:tblHeader/>
        </w:trPr>
        <w:tc>
          <w:tcPr>
            <w:tcW w:w="1667" w:type="pct"/>
            <w:tcBorders>
              <w:top w:val="single" w:sz="6" w:space="0" w:color="auto"/>
              <w:bottom w:val="single" w:sz="12" w:space="0" w:color="auto"/>
            </w:tcBorders>
            <w:shd w:val="clear" w:color="auto" w:fill="auto"/>
            <w:hideMark/>
          </w:tcPr>
          <w:p w14:paraId="1ECFC38F" w14:textId="77777777" w:rsidR="00804A32" w:rsidRPr="008B1975" w:rsidRDefault="00804A32" w:rsidP="005606F7">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38E09CF" w14:textId="77777777" w:rsidR="00804A32" w:rsidRPr="008B1975" w:rsidRDefault="00804A32" w:rsidP="005606F7">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1B1B2145" w14:textId="77777777" w:rsidR="00804A32" w:rsidRPr="008B1975" w:rsidRDefault="00804A32" w:rsidP="005606F7">
            <w:pPr>
              <w:pStyle w:val="TableHeading"/>
            </w:pPr>
            <w:r w:rsidRPr="008B1975">
              <w:t>Infrastructure</w:t>
            </w:r>
          </w:p>
        </w:tc>
      </w:tr>
      <w:tr w:rsidR="00804A32" w:rsidRPr="008B1975" w14:paraId="75F7FEB9" w14:textId="77777777" w:rsidTr="00A77A4A">
        <w:trPr>
          <w:trHeight w:val="300"/>
        </w:trPr>
        <w:tc>
          <w:tcPr>
            <w:tcW w:w="1667" w:type="pct"/>
            <w:tcBorders>
              <w:top w:val="single" w:sz="12" w:space="0" w:color="auto"/>
              <w:bottom w:val="single" w:sz="12" w:space="0" w:color="auto"/>
            </w:tcBorders>
            <w:shd w:val="clear" w:color="auto" w:fill="auto"/>
            <w:hideMark/>
          </w:tcPr>
          <w:p w14:paraId="4D07ECC5" w14:textId="77777777" w:rsidR="00804A32" w:rsidRPr="008B1975" w:rsidRDefault="00804A32" w:rsidP="005606F7">
            <w:pPr>
              <w:pStyle w:val="Tabletext"/>
            </w:pPr>
            <w:r w:rsidRPr="008B1975">
              <w:t>Buses</w:t>
            </w:r>
          </w:p>
        </w:tc>
        <w:tc>
          <w:tcPr>
            <w:tcW w:w="1667" w:type="pct"/>
            <w:tcBorders>
              <w:top w:val="single" w:sz="12" w:space="0" w:color="auto"/>
              <w:bottom w:val="single" w:sz="12" w:space="0" w:color="auto"/>
            </w:tcBorders>
            <w:shd w:val="clear" w:color="auto" w:fill="auto"/>
            <w:hideMark/>
          </w:tcPr>
          <w:p w14:paraId="4413284B" w14:textId="77777777" w:rsidR="00804A32" w:rsidRPr="008B1975" w:rsidRDefault="00804A32" w:rsidP="005606F7">
            <w:pPr>
              <w:pStyle w:val="Tabletext"/>
            </w:pPr>
            <w:r w:rsidRPr="008B1975">
              <w:t>None</w:t>
            </w:r>
          </w:p>
        </w:tc>
        <w:tc>
          <w:tcPr>
            <w:tcW w:w="1667" w:type="pct"/>
            <w:tcBorders>
              <w:top w:val="single" w:sz="12" w:space="0" w:color="auto"/>
              <w:bottom w:val="single" w:sz="12" w:space="0" w:color="auto"/>
            </w:tcBorders>
            <w:shd w:val="clear" w:color="auto" w:fill="auto"/>
          </w:tcPr>
          <w:p w14:paraId="2DFDA036" w14:textId="77777777" w:rsidR="00804A32" w:rsidRPr="008B1975" w:rsidRDefault="00804A32" w:rsidP="005606F7">
            <w:pPr>
              <w:pStyle w:val="Tabletext"/>
            </w:pPr>
            <w:r w:rsidRPr="008B1975">
              <w:t>None</w:t>
            </w:r>
          </w:p>
        </w:tc>
      </w:tr>
    </w:tbl>
    <w:p w14:paraId="45F3E782" w14:textId="77777777" w:rsidR="00804A32" w:rsidRPr="008B1975" w:rsidRDefault="005373AF" w:rsidP="005373AF">
      <w:pPr>
        <w:pStyle w:val="ItemHead"/>
      </w:pPr>
      <w:bookmarkStart w:id="42" w:name="_Ref185326482"/>
      <w:r w:rsidRPr="008B1975">
        <w:t xml:space="preserve">17  </w:t>
      </w:r>
      <w:r w:rsidR="00804A32" w:rsidRPr="008B1975">
        <w:t>Section 2.8 (table)</w:t>
      </w:r>
      <w:bookmarkEnd w:id="42"/>
    </w:p>
    <w:p w14:paraId="39053A12" w14:textId="77777777" w:rsidR="00804A32" w:rsidRPr="008B1975" w:rsidRDefault="00804A32" w:rsidP="00804A32">
      <w:pPr>
        <w:pStyle w:val="Item"/>
      </w:pPr>
      <w:r w:rsidRPr="008B1975">
        <w:t>Repeal the table, substitute:</w:t>
      </w:r>
    </w:p>
    <w:p w14:paraId="1891A832" w14:textId="77777777" w:rsidR="00804A32" w:rsidRPr="008B1975" w:rsidRDefault="00804A32" w:rsidP="00804A32">
      <w:pPr>
        <w:pStyle w:val="subsection"/>
      </w:pPr>
      <w:r w:rsidRPr="008B1975">
        <w:tab/>
        <w:t>(4)</w:t>
      </w:r>
      <w:r w:rsidRPr="008B1975">
        <w:tab/>
        <w:t>The following table specifies conveyances, premises and infrastructure this section applies to.</w:t>
      </w:r>
    </w:p>
    <w:p w14:paraId="26EE4FF8" w14:textId="77777777" w:rsidR="00804A32" w:rsidRPr="008B1975" w:rsidRDefault="00804A32"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04A32" w:rsidRPr="008B1975" w14:paraId="5AC1260E" w14:textId="77777777" w:rsidTr="005606F7">
        <w:trPr>
          <w:trHeight w:val="300"/>
          <w:tblHeader/>
        </w:trPr>
        <w:tc>
          <w:tcPr>
            <w:tcW w:w="5000" w:type="pct"/>
            <w:gridSpan w:val="3"/>
            <w:tcBorders>
              <w:top w:val="single" w:sz="12" w:space="0" w:color="auto"/>
              <w:bottom w:val="single" w:sz="6" w:space="0" w:color="auto"/>
            </w:tcBorders>
            <w:shd w:val="clear" w:color="auto" w:fill="auto"/>
            <w:hideMark/>
          </w:tcPr>
          <w:p w14:paraId="1F7EB3B7" w14:textId="77777777" w:rsidR="00804A32" w:rsidRPr="008B1975" w:rsidRDefault="00804A32" w:rsidP="005606F7">
            <w:pPr>
              <w:pStyle w:val="TableHeading"/>
            </w:pPr>
            <w:r w:rsidRPr="008B1975">
              <w:t>Application of this section</w:t>
            </w:r>
          </w:p>
        </w:tc>
      </w:tr>
      <w:tr w:rsidR="00804A32" w:rsidRPr="008B1975" w14:paraId="70479749" w14:textId="77777777" w:rsidTr="00A77A4A">
        <w:trPr>
          <w:trHeight w:val="300"/>
          <w:tblHeader/>
        </w:trPr>
        <w:tc>
          <w:tcPr>
            <w:tcW w:w="1667" w:type="pct"/>
            <w:tcBorders>
              <w:top w:val="single" w:sz="6" w:space="0" w:color="auto"/>
              <w:bottom w:val="single" w:sz="12" w:space="0" w:color="auto"/>
            </w:tcBorders>
            <w:shd w:val="clear" w:color="auto" w:fill="auto"/>
            <w:hideMark/>
          </w:tcPr>
          <w:p w14:paraId="3EDDD83A" w14:textId="77777777" w:rsidR="00804A32" w:rsidRPr="008B1975" w:rsidRDefault="00804A32" w:rsidP="005606F7">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FBD0D8C" w14:textId="77777777" w:rsidR="00804A32" w:rsidRPr="008B1975" w:rsidRDefault="00804A32" w:rsidP="005606F7">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2BDA3F3" w14:textId="77777777" w:rsidR="00804A32" w:rsidRPr="008B1975" w:rsidRDefault="00804A32" w:rsidP="005606F7">
            <w:pPr>
              <w:pStyle w:val="TableHeading"/>
            </w:pPr>
            <w:r w:rsidRPr="008B1975">
              <w:t>Infrastructure</w:t>
            </w:r>
          </w:p>
        </w:tc>
      </w:tr>
      <w:tr w:rsidR="00804A32" w:rsidRPr="008B1975" w14:paraId="3D7091D7" w14:textId="77777777" w:rsidTr="00A77A4A">
        <w:trPr>
          <w:trHeight w:val="300"/>
        </w:trPr>
        <w:tc>
          <w:tcPr>
            <w:tcW w:w="1667" w:type="pct"/>
            <w:tcBorders>
              <w:top w:val="single" w:sz="12" w:space="0" w:color="auto"/>
              <w:bottom w:val="single" w:sz="12" w:space="0" w:color="auto"/>
            </w:tcBorders>
            <w:shd w:val="clear" w:color="auto" w:fill="auto"/>
            <w:hideMark/>
          </w:tcPr>
          <w:p w14:paraId="0583CF06" w14:textId="77777777" w:rsidR="00A700BB" w:rsidRPr="008B1975" w:rsidRDefault="00A700BB" w:rsidP="00451CB1">
            <w:pPr>
              <w:pStyle w:val="Tabletext"/>
            </w:pPr>
            <w:r w:rsidRPr="008B1975">
              <w:t>The following:</w:t>
            </w:r>
          </w:p>
          <w:p w14:paraId="2CA9C444" w14:textId="77777777" w:rsidR="00A700BB" w:rsidRPr="008B1975" w:rsidRDefault="00A700BB" w:rsidP="00A700BB">
            <w:pPr>
              <w:pStyle w:val="Tablea"/>
            </w:pPr>
            <w:r w:rsidRPr="008B1975">
              <w:t xml:space="preserve">(a) </w:t>
            </w:r>
            <w:r w:rsidR="00240824" w:rsidRPr="008B1975">
              <w:t>b</w:t>
            </w:r>
            <w:r w:rsidRPr="008B1975">
              <w:t>uses</w:t>
            </w:r>
            <w:r w:rsidR="00451CB1" w:rsidRPr="008B1975">
              <w:t>;</w:t>
            </w:r>
          </w:p>
          <w:p w14:paraId="07DB2931" w14:textId="77777777" w:rsidR="00A700BB" w:rsidRPr="008B1975" w:rsidRDefault="00A700BB" w:rsidP="00A700BB">
            <w:pPr>
              <w:pStyle w:val="Tablea"/>
            </w:pPr>
            <w:r w:rsidRPr="008B1975">
              <w:t xml:space="preserve">(b) </w:t>
            </w:r>
            <w:r w:rsidR="00240824" w:rsidRPr="008B1975">
              <w:t>f</w:t>
            </w:r>
            <w:r w:rsidRPr="008B1975">
              <w:t>erries</w:t>
            </w:r>
            <w:r w:rsidR="00451CB1" w:rsidRPr="008B1975">
              <w:t>;</w:t>
            </w:r>
          </w:p>
          <w:p w14:paraId="7DC7F106" w14:textId="77777777" w:rsidR="00A700BB" w:rsidRPr="008B1975" w:rsidRDefault="00A700BB" w:rsidP="00A700BB">
            <w:pPr>
              <w:pStyle w:val="Tablea"/>
            </w:pPr>
            <w:r w:rsidRPr="008B1975">
              <w:t xml:space="preserve">(c) </w:t>
            </w:r>
            <w:r w:rsidR="00240824" w:rsidRPr="008B1975">
              <w:t>t</w:t>
            </w:r>
            <w:r w:rsidRPr="008B1975">
              <w:t>rains</w:t>
            </w:r>
            <w:r w:rsidR="00451CB1" w:rsidRPr="008B1975">
              <w:t>;</w:t>
            </w:r>
          </w:p>
          <w:p w14:paraId="7A76642B" w14:textId="77777777" w:rsidR="00A700BB" w:rsidRPr="008B1975" w:rsidRDefault="00A700BB" w:rsidP="00A700BB">
            <w:pPr>
              <w:pStyle w:val="Tablea"/>
            </w:pPr>
            <w:r w:rsidRPr="008B1975">
              <w:t xml:space="preserve">(d) </w:t>
            </w:r>
            <w:r w:rsidR="00240824" w:rsidRPr="008B1975">
              <w:t>t</w:t>
            </w:r>
            <w:r w:rsidRPr="008B1975">
              <w:t>rams</w:t>
            </w:r>
            <w:r w:rsidR="00451CB1" w:rsidRPr="008B1975">
              <w:t>;</w:t>
            </w:r>
          </w:p>
          <w:p w14:paraId="2AEDC287" w14:textId="77777777" w:rsidR="00804A32" w:rsidRPr="008B1975" w:rsidRDefault="00A700BB" w:rsidP="005606F7">
            <w:pPr>
              <w:pStyle w:val="Tabletext"/>
            </w:pPr>
            <w:r w:rsidRPr="008B1975">
              <w:t xml:space="preserve">(e) </w:t>
            </w:r>
            <w:r w:rsidR="00240824" w:rsidRPr="008B1975">
              <w:t>l</w:t>
            </w:r>
            <w:r w:rsidRPr="008B1975">
              <w:t>ight rail</w:t>
            </w:r>
          </w:p>
        </w:tc>
        <w:tc>
          <w:tcPr>
            <w:tcW w:w="1667" w:type="pct"/>
            <w:tcBorders>
              <w:top w:val="single" w:sz="12" w:space="0" w:color="auto"/>
              <w:bottom w:val="single" w:sz="12" w:space="0" w:color="auto"/>
            </w:tcBorders>
            <w:shd w:val="clear" w:color="auto" w:fill="auto"/>
            <w:hideMark/>
          </w:tcPr>
          <w:p w14:paraId="7E4C8716" w14:textId="77777777" w:rsidR="00804A32" w:rsidRPr="008B1975" w:rsidRDefault="00804A32" w:rsidP="005606F7">
            <w:pPr>
              <w:pStyle w:val="Tabletext"/>
            </w:pPr>
            <w:r w:rsidRPr="008B1975">
              <w:t>None</w:t>
            </w:r>
          </w:p>
        </w:tc>
        <w:tc>
          <w:tcPr>
            <w:tcW w:w="1667" w:type="pct"/>
            <w:tcBorders>
              <w:top w:val="single" w:sz="12" w:space="0" w:color="auto"/>
              <w:bottom w:val="single" w:sz="12" w:space="0" w:color="auto"/>
            </w:tcBorders>
            <w:shd w:val="clear" w:color="auto" w:fill="auto"/>
          </w:tcPr>
          <w:p w14:paraId="58E75339" w14:textId="77777777" w:rsidR="00804A32" w:rsidRPr="008B1975" w:rsidRDefault="00804A32" w:rsidP="005606F7">
            <w:pPr>
              <w:pStyle w:val="Tabletext"/>
            </w:pPr>
            <w:r w:rsidRPr="008B1975">
              <w:t>None</w:t>
            </w:r>
          </w:p>
        </w:tc>
      </w:tr>
    </w:tbl>
    <w:p w14:paraId="2297C0AC" w14:textId="77777777" w:rsidR="00734B02" w:rsidRPr="008B1975" w:rsidRDefault="005373AF" w:rsidP="005373AF">
      <w:pPr>
        <w:pStyle w:val="ItemHead"/>
      </w:pPr>
      <w:bookmarkStart w:id="43" w:name="_Ref185283886"/>
      <w:r w:rsidRPr="008B1975">
        <w:t xml:space="preserve">18  </w:t>
      </w:r>
      <w:r w:rsidR="00734B02" w:rsidRPr="008B1975">
        <w:t>Section 2.9 (table)</w:t>
      </w:r>
      <w:bookmarkEnd w:id="43"/>
    </w:p>
    <w:p w14:paraId="32C7389D" w14:textId="77777777" w:rsidR="00734B02" w:rsidRPr="008B1975" w:rsidRDefault="00734B02" w:rsidP="00734B02">
      <w:pPr>
        <w:pStyle w:val="Item"/>
      </w:pPr>
      <w:r w:rsidRPr="008B1975">
        <w:t>Repeal the table, substitute:</w:t>
      </w:r>
    </w:p>
    <w:p w14:paraId="1FD3A65F" w14:textId="77777777" w:rsidR="00734B02" w:rsidRPr="008B1975" w:rsidRDefault="00734B02" w:rsidP="00734B02">
      <w:pPr>
        <w:pStyle w:val="subsection"/>
      </w:pPr>
      <w:r w:rsidRPr="008B1975">
        <w:tab/>
        <w:t>(3)</w:t>
      </w:r>
      <w:r w:rsidRPr="008B1975">
        <w:tab/>
        <w:t xml:space="preserve">The </w:t>
      </w:r>
      <w:r w:rsidR="00240824" w:rsidRPr="008B1975">
        <w:t xml:space="preserve">following </w:t>
      </w:r>
      <w:r w:rsidRPr="008B1975">
        <w:t>table specifies conveyances, premises and infrastructure this section applies to.</w:t>
      </w:r>
    </w:p>
    <w:p w14:paraId="15A23AFE" w14:textId="77777777" w:rsidR="00734B02" w:rsidRPr="008B1975" w:rsidRDefault="00734B02"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0FBD75E5" w14:textId="77777777" w:rsidTr="005606F7">
        <w:trPr>
          <w:trHeight w:val="300"/>
          <w:tblHeader/>
        </w:trPr>
        <w:tc>
          <w:tcPr>
            <w:tcW w:w="5000" w:type="pct"/>
            <w:gridSpan w:val="3"/>
            <w:tcBorders>
              <w:top w:val="single" w:sz="12" w:space="0" w:color="auto"/>
              <w:bottom w:val="single" w:sz="6" w:space="0" w:color="auto"/>
            </w:tcBorders>
            <w:shd w:val="clear" w:color="auto" w:fill="auto"/>
            <w:hideMark/>
          </w:tcPr>
          <w:p w14:paraId="0BBDE9C2" w14:textId="77777777" w:rsidR="00734B02" w:rsidRPr="008B1975" w:rsidRDefault="00734B02" w:rsidP="005606F7">
            <w:pPr>
              <w:pStyle w:val="TableHeading"/>
            </w:pPr>
            <w:r w:rsidRPr="008B1975">
              <w:t>Application of this section</w:t>
            </w:r>
          </w:p>
        </w:tc>
      </w:tr>
      <w:tr w:rsidR="00734B02" w:rsidRPr="008B1975" w14:paraId="303E7FB9" w14:textId="77777777" w:rsidTr="00B9444D">
        <w:trPr>
          <w:trHeight w:val="300"/>
          <w:tblHeader/>
        </w:trPr>
        <w:tc>
          <w:tcPr>
            <w:tcW w:w="1667" w:type="pct"/>
            <w:tcBorders>
              <w:top w:val="single" w:sz="6" w:space="0" w:color="auto"/>
              <w:bottom w:val="single" w:sz="12" w:space="0" w:color="auto"/>
            </w:tcBorders>
            <w:shd w:val="clear" w:color="auto" w:fill="auto"/>
            <w:hideMark/>
          </w:tcPr>
          <w:p w14:paraId="7260916E" w14:textId="77777777" w:rsidR="00734B02" w:rsidRPr="008B1975" w:rsidRDefault="00734B02" w:rsidP="005606F7">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7DB80E7C" w14:textId="77777777" w:rsidR="00734B02" w:rsidRPr="008B1975" w:rsidRDefault="00734B02" w:rsidP="005606F7">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1910B00C" w14:textId="77777777" w:rsidR="00734B02" w:rsidRPr="008B1975" w:rsidRDefault="00734B02" w:rsidP="005606F7">
            <w:pPr>
              <w:pStyle w:val="TableHeading"/>
            </w:pPr>
            <w:r w:rsidRPr="008B1975">
              <w:t>Infrastructure</w:t>
            </w:r>
          </w:p>
        </w:tc>
      </w:tr>
      <w:tr w:rsidR="00734B02" w:rsidRPr="008B1975" w14:paraId="5BD4018C" w14:textId="77777777" w:rsidTr="00B9444D">
        <w:trPr>
          <w:trHeight w:val="300"/>
        </w:trPr>
        <w:tc>
          <w:tcPr>
            <w:tcW w:w="1667" w:type="pct"/>
            <w:tcBorders>
              <w:top w:val="single" w:sz="12" w:space="0" w:color="auto"/>
              <w:bottom w:val="single" w:sz="12" w:space="0" w:color="auto"/>
            </w:tcBorders>
            <w:shd w:val="clear" w:color="auto" w:fill="auto"/>
            <w:hideMark/>
          </w:tcPr>
          <w:p w14:paraId="68B69AFF" w14:textId="77777777" w:rsidR="00A700BB" w:rsidRPr="008B1975" w:rsidRDefault="00A700BB" w:rsidP="00451CB1">
            <w:pPr>
              <w:pStyle w:val="Tabletext"/>
            </w:pPr>
            <w:r w:rsidRPr="008B1975">
              <w:t>The following:</w:t>
            </w:r>
          </w:p>
          <w:p w14:paraId="40650AB8" w14:textId="77777777" w:rsidR="00A700BB" w:rsidRPr="008B1975" w:rsidRDefault="00A700BB" w:rsidP="00451CB1">
            <w:pPr>
              <w:pStyle w:val="Tablea"/>
            </w:pPr>
            <w:r w:rsidRPr="008B1975">
              <w:t xml:space="preserve">(a) </w:t>
            </w:r>
            <w:r w:rsidR="00240824" w:rsidRPr="008B1975">
              <w:t>acc</w:t>
            </w:r>
            <w:r w:rsidRPr="008B1975">
              <w:t>essible taxis</w:t>
            </w:r>
            <w:r w:rsidR="00451CB1" w:rsidRPr="008B1975">
              <w:t>;</w:t>
            </w:r>
          </w:p>
          <w:p w14:paraId="7F5905C3" w14:textId="77777777" w:rsidR="00A700BB" w:rsidRPr="008B1975" w:rsidRDefault="00A700BB" w:rsidP="00451CB1">
            <w:pPr>
              <w:pStyle w:val="Tablea"/>
            </w:pPr>
            <w:r w:rsidRPr="008B1975">
              <w:t xml:space="preserve">(b) </w:t>
            </w:r>
            <w:r w:rsidR="00240824" w:rsidRPr="008B1975">
              <w:t>c</w:t>
            </w:r>
            <w:r w:rsidRPr="008B1975">
              <w:t>oaches</w:t>
            </w:r>
            <w:r w:rsidR="00451CB1" w:rsidRPr="008B1975">
              <w:t>;</w:t>
            </w:r>
          </w:p>
          <w:p w14:paraId="153F10A4" w14:textId="77777777" w:rsidR="00734B02" w:rsidRPr="008B1975" w:rsidRDefault="00A700BB" w:rsidP="00451CB1">
            <w:pPr>
              <w:pStyle w:val="Tablea"/>
            </w:pPr>
            <w:r w:rsidRPr="008B1975">
              <w:t xml:space="preserve">(c) </w:t>
            </w:r>
            <w:r w:rsidR="00240824" w:rsidRPr="008B1975">
              <w:t>a</w:t>
            </w:r>
            <w:r w:rsidRPr="008B1975">
              <w:t>ircraft</w:t>
            </w:r>
          </w:p>
        </w:tc>
        <w:tc>
          <w:tcPr>
            <w:tcW w:w="1667" w:type="pct"/>
            <w:tcBorders>
              <w:top w:val="single" w:sz="12" w:space="0" w:color="auto"/>
              <w:bottom w:val="single" w:sz="12" w:space="0" w:color="auto"/>
            </w:tcBorders>
            <w:shd w:val="clear" w:color="auto" w:fill="auto"/>
            <w:hideMark/>
          </w:tcPr>
          <w:p w14:paraId="2F6E0E5D" w14:textId="77777777" w:rsidR="00734B02" w:rsidRPr="008B1975" w:rsidRDefault="00734B02" w:rsidP="005606F7">
            <w:pPr>
              <w:pStyle w:val="Tabletext"/>
            </w:pPr>
            <w:r w:rsidRPr="008B1975">
              <w:t>None</w:t>
            </w:r>
          </w:p>
        </w:tc>
        <w:tc>
          <w:tcPr>
            <w:tcW w:w="1667" w:type="pct"/>
            <w:tcBorders>
              <w:top w:val="single" w:sz="12" w:space="0" w:color="auto"/>
              <w:bottom w:val="single" w:sz="12" w:space="0" w:color="auto"/>
            </w:tcBorders>
            <w:shd w:val="clear" w:color="auto" w:fill="auto"/>
          </w:tcPr>
          <w:p w14:paraId="2C29D4C3" w14:textId="77777777" w:rsidR="00734B02" w:rsidRPr="008B1975" w:rsidRDefault="00734B02" w:rsidP="005606F7">
            <w:pPr>
              <w:pStyle w:val="Tabletext"/>
            </w:pPr>
            <w:r w:rsidRPr="008B1975">
              <w:t>None</w:t>
            </w:r>
          </w:p>
        </w:tc>
      </w:tr>
    </w:tbl>
    <w:p w14:paraId="6F4C475A" w14:textId="77777777" w:rsidR="00A35350" w:rsidRPr="008B1975" w:rsidRDefault="00A35350">
      <w:pPr>
        <w:spacing w:line="240" w:lineRule="auto"/>
        <w:rPr>
          <w:rStyle w:val="CharAmSchNo"/>
          <w:rFonts w:ascii="Arial" w:eastAsia="Times New Roman" w:hAnsi="Arial" w:cs="Times New Roman"/>
          <w:b/>
          <w:kern w:val="28"/>
          <w:sz w:val="32"/>
          <w:lang w:eastAsia="en-AU"/>
        </w:rPr>
      </w:pPr>
      <w:r w:rsidRPr="008B1975">
        <w:rPr>
          <w:rStyle w:val="CharAmSchNo"/>
        </w:rPr>
        <w:br w:type="page"/>
      </w:r>
    </w:p>
    <w:p w14:paraId="5C5A2C53" w14:textId="77777777" w:rsidR="00C052FA" w:rsidRPr="008B1975" w:rsidRDefault="00C052FA" w:rsidP="00A35350">
      <w:pPr>
        <w:pStyle w:val="ActHead6"/>
        <w:rPr>
          <w:rStyle w:val="CharAmSchText"/>
        </w:rPr>
      </w:pPr>
      <w:bookmarkStart w:id="44" w:name="_Toc197178934"/>
      <w:r w:rsidRPr="008B1975">
        <w:rPr>
          <w:rStyle w:val="CharAmSchNo"/>
        </w:rPr>
        <w:lastRenderedPageBreak/>
        <w:t>Schedule 3</w:t>
      </w:r>
      <w:r w:rsidRPr="008B1975">
        <w:t>—</w:t>
      </w:r>
      <w:r w:rsidRPr="008B1975">
        <w:rPr>
          <w:rStyle w:val="CharAmSchText"/>
        </w:rPr>
        <w:t>Part 3 (Manoeuvring areas) Amendments</w:t>
      </w:r>
      <w:bookmarkEnd w:id="44"/>
    </w:p>
    <w:p w14:paraId="0A6343E6" w14:textId="77777777" w:rsidR="00C052FA" w:rsidRPr="008B1975" w:rsidRDefault="00C052FA" w:rsidP="00C052FA">
      <w:pPr>
        <w:pStyle w:val="ActHead9"/>
      </w:pPr>
      <w:bookmarkStart w:id="45" w:name="_Toc197178935"/>
      <w:bookmarkStart w:id="46" w:name="_Hlk184123753"/>
      <w:r w:rsidRPr="008B1975">
        <w:t>Disability Standards for Accessible Public Transport 2002</w:t>
      </w:r>
      <w:bookmarkEnd w:id="45"/>
    </w:p>
    <w:p w14:paraId="1D307692" w14:textId="77777777" w:rsidR="0025461F" w:rsidRPr="008B1975" w:rsidRDefault="005373AF" w:rsidP="005373AF">
      <w:pPr>
        <w:pStyle w:val="ItemHead"/>
      </w:pPr>
      <w:bookmarkStart w:id="47" w:name="_Ref185326661"/>
      <w:bookmarkStart w:id="48" w:name="_Ref180417766"/>
      <w:r w:rsidRPr="008B1975">
        <w:t xml:space="preserve">1  </w:t>
      </w:r>
      <w:r w:rsidR="0025461F" w:rsidRPr="008B1975">
        <w:t>Section 3.1</w:t>
      </w:r>
      <w:bookmarkEnd w:id="47"/>
    </w:p>
    <w:p w14:paraId="6741725D" w14:textId="77777777" w:rsidR="0025461F" w:rsidRPr="008B1975" w:rsidRDefault="0025461F" w:rsidP="0025461F">
      <w:pPr>
        <w:pStyle w:val="Item"/>
      </w:pPr>
      <w:r w:rsidRPr="008B1975">
        <w:t>Before “A”, insert “(1)”.</w:t>
      </w:r>
    </w:p>
    <w:p w14:paraId="54CD43E2" w14:textId="77777777" w:rsidR="0025461F" w:rsidRPr="008B1975" w:rsidRDefault="005373AF" w:rsidP="005373AF">
      <w:pPr>
        <w:pStyle w:val="ItemHead"/>
      </w:pPr>
      <w:bookmarkStart w:id="49" w:name="_Ref185342068"/>
      <w:r w:rsidRPr="008B1975">
        <w:t xml:space="preserve">2  </w:t>
      </w:r>
      <w:r w:rsidR="0025461F" w:rsidRPr="008B1975">
        <w:t>Section 3.1</w:t>
      </w:r>
      <w:bookmarkEnd w:id="48"/>
      <w:bookmarkEnd w:id="49"/>
    </w:p>
    <w:p w14:paraId="61B216BB" w14:textId="77777777" w:rsidR="0025461F" w:rsidRPr="008B1975" w:rsidRDefault="0025461F" w:rsidP="0025461F">
      <w:pPr>
        <w:pStyle w:val="Item"/>
      </w:pPr>
      <w:r w:rsidRPr="008B1975">
        <w:t>Omit “</w:t>
      </w:r>
      <w:r w:rsidRPr="008B1975">
        <w:rPr>
          <w:b/>
        </w:rPr>
        <w:t>AS1428.2 (1992) Clause 6.2,</w:t>
      </w:r>
      <w:r w:rsidRPr="008B1975">
        <w:t xml:space="preserve"> </w:t>
      </w:r>
      <w:r w:rsidRPr="008B1975">
        <w:rPr>
          <w:i/>
          <w:iCs/>
          <w:color w:val="000000"/>
        </w:rPr>
        <w:t>Circulation space for a 180 degree wheelchair turn</w:t>
      </w:r>
      <w:r w:rsidRPr="008B1975">
        <w:t>”, substitute “clause 3.5 of AS1428.1 (2021) (circulation space for wheelchair turn)”.</w:t>
      </w:r>
    </w:p>
    <w:p w14:paraId="081EF7C7" w14:textId="77777777" w:rsidR="0025461F" w:rsidRPr="008B1975" w:rsidRDefault="005373AF" w:rsidP="005373AF">
      <w:pPr>
        <w:pStyle w:val="ItemHead"/>
      </w:pPr>
      <w:bookmarkStart w:id="50" w:name="_Ref180417780"/>
      <w:r w:rsidRPr="008B1975">
        <w:t xml:space="preserve">3  </w:t>
      </w:r>
      <w:r w:rsidR="0025461F" w:rsidRPr="008B1975">
        <w:t>Section 3.1 (table)</w:t>
      </w:r>
      <w:bookmarkEnd w:id="50"/>
    </w:p>
    <w:p w14:paraId="271439BA" w14:textId="77777777" w:rsidR="0025461F" w:rsidRPr="008B1975" w:rsidRDefault="0025461F" w:rsidP="0025461F">
      <w:pPr>
        <w:pStyle w:val="Item"/>
      </w:pPr>
      <w:r w:rsidRPr="008B1975">
        <w:t>Repeal the table, substitute:</w:t>
      </w:r>
    </w:p>
    <w:p w14:paraId="4DF76365" w14:textId="77777777" w:rsidR="0025461F" w:rsidRPr="008B1975" w:rsidRDefault="0025461F" w:rsidP="0025461F">
      <w:pPr>
        <w:pStyle w:val="subsection"/>
      </w:pPr>
      <w:r w:rsidRPr="008B1975">
        <w:tab/>
        <w:t>(2)</w:t>
      </w:r>
      <w:r w:rsidRPr="008B1975">
        <w:tab/>
        <w:t>The following table specifies conveyances, premises and infrastructure this section applies to.</w:t>
      </w:r>
    </w:p>
    <w:p w14:paraId="26ACF6D4" w14:textId="77777777" w:rsidR="0025461F" w:rsidRPr="008B1975" w:rsidRDefault="0025461F" w:rsidP="0025461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5461F" w:rsidRPr="008B1975" w14:paraId="31FD5DD8" w14:textId="77777777" w:rsidTr="002531AC">
        <w:trPr>
          <w:trHeight w:val="300"/>
          <w:tblHeader/>
        </w:trPr>
        <w:tc>
          <w:tcPr>
            <w:tcW w:w="5000" w:type="pct"/>
            <w:gridSpan w:val="3"/>
            <w:tcBorders>
              <w:top w:val="single" w:sz="12" w:space="0" w:color="auto"/>
              <w:left w:val="nil"/>
              <w:bottom w:val="single" w:sz="6" w:space="0" w:color="auto"/>
              <w:right w:val="nil"/>
            </w:tcBorders>
            <w:hideMark/>
          </w:tcPr>
          <w:p w14:paraId="5485F463" w14:textId="77777777" w:rsidR="0025461F" w:rsidRPr="008B1975" w:rsidRDefault="0025461F" w:rsidP="002531AC">
            <w:pPr>
              <w:pStyle w:val="TableHeading"/>
            </w:pPr>
            <w:r w:rsidRPr="008B1975">
              <w:t>Application of this section</w:t>
            </w:r>
          </w:p>
        </w:tc>
      </w:tr>
      <w:tr w:rsidR="0025461F" w:rsidRPr="008B1975" w14:paraId="05CE5754" w14:textId="77777777" w:rsidTr="00B9444D">
        <w:trPr>
          <w:trHeight w:val="300"/>
          <w:tblHeader/>
        </w:trPr>
        <w:tc>
          <w:tcPr>
            <w:tcW w:w="1667" w:type="pct"/>
            <w:tcBorders>
              <w:top w:val="single" w:sz="6" w:space="0" w:color="auto"/>
              <w:left w:val="nil"/>
              <w:bottom w:val="single" w:sz="12" w:space="0" w:color="auto"/>
              <w:right w:val="nil"/>
            </w:tcBorders>
            <w:hideMark/>
          </w:tcPr>
          <w:p w14:paraId="6006062D" w14:textId="77777777" w:rsidR="0025461F" w:rsidRPr="008B1975" w:rsidRDefault="0025461F" w:rsidP="002531AC">
            <w:pPr>
              <w:pStyle w:val="TableHeading"/>
            </w:pPr>
            <w:r w:rsidRPr="008B1975">
              <w:t>Conveyances</w:t>
            </w:r>
          </w:p>
        </w:tc>
        <w:tc>
          <w:tcPr>
            <w:tcW w:w="1667" w:type="pct"/>
            <w:tcBorders>
              <w:top w:val="single" w:sz="6" w:space="0" w:color="auto"/>
              <w:left w:val="nil"/>
              <w:bottom w:val="single" w:sz="12" w:space="0" w:color="auto"/>
              <w:right w:val="nil"/>
            </w:tcBorders>
            <w:hideMark/>
          </w:tcPr>
          <w:p w14:paraId="6227DCF7" w14:textId="77777777" w:rsidR="0025461F" w:rsidRPr="008B1975" w:rsidRDefault="0025461F" w:rsidP="002531AC">
            <w:pPr>
              <w:pStyle w:val="TableHeading"/>
            </w:pPr>
            <w:r w:rsidRPr="008B1975">
              <w:t>Premises</w:t>
            </w:r>
          </w:p>
        </w:tc>
        <w:tc>
          <w:tcPr>
            <w:tcW w:w="1667" w:type="pct"/>
            <w:tcBorders>
              <w:top w:val="single" w:sz="6" w:space="0" w:color="auto"/>
              <w:left w:val="nil"/>
              <w:bottom w:val="single" w:sz="12" w:space="0" w:color="auto"/>
              <w:right w:val="nil"/>
            </w:tcBorders>
            <w:hideMark/>
          </w:tcPr>
          <w:p w14:paraId="2E54C9CC" w14:textId="77777777" w:rsidR="0025461F" w:rsidRPr="008B1975" w:rsidRDefault="0025461F" w:rsidP="002531AC">
            <w:pPr>
              <w:pStyle w:val="TableHeading"/>
            </w:pPr>
            <w:r w:rsidRPr="008B1975">
              <w:t>Infrastructure</w:t>
            </w:r>
          </w:p>
        </w:tc>
      </w:tr>
      <w:tr w:rsidR="0025461F" w:rsidRPr="008B1975" w14:paraId="725091E3" w14:textId="77777777" w:rsidTr="00B9444D">
        <w:trPr>
          <w:trHeight w:val="300"/>
        </w:trPr>
        <w:tc>
          <w:tcPr>
            <w:tcW w:w="1667" w:type="pct"/>
            <w:tcBorders>
              <w:top w:val="single" w:sz="12" w:space="0" w:color="auto"/>
              <w:left w:val="nil"/>
              <w:bottom w:val="single" w:sz="12" w:space="0" w:color="auto"/>
              <w:right w:val="nil"/>
            </w:tcBorders>
            <w:hideMark/>
          </w:tcPr>
          <w:p w14:paraId="57F8D82D" w14:textId="77777777" w:rsidR="0025461F" w:rsidRPr="008B1975" w:rsidRDefault="0025461F" w:rsidP="002531AC">
            <w:pPr>
              <w:pStyle w:val="Tablea"/>
            </w:pPr>
            <w:r w:rsidRPr="008B1975">
              <w:t>None</w:t>
            </w:r>
          </w:p>
        </w:tc>
        <w:tc>
          <w:tcPr>
            <w:tcW w:w="1667" w:type="pct"/>
            <w:tcBorders>
              <w:top w:val="single" w:sz="12" w:space="0" w:color="auto"/>
              <w:left w:val="nil"/>
              <w:bottom w:val="single" w:sz="12" w:space="0" w:color="auto"/>
              <w:right w:val="nil"/>
            </w:tcBorders>
            <w:hideMark/>
          </w:tcPr>
          <w:p w14:paraId="008A2C10" w14:textId="77777777" w:rsidR="0025461F" w:rsidRPr="008B1975" w:rsidRDefault="0025461F" w:rsidP="002531A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4FC92300" w14:textId="77777777" w:rsidR="0025461F" w:rsidRPr="008B1975" w:rsidRDefault="0025461F" w:rsidP="002531AC">
            <w:pPr>
              <w:pStyle w:val="Tabletext"/>
            </w:pPr>
            <w:r w:rsidRPr="008B1975">
              <w:t>All</w:t>
            </w:r>
          </w:p>
        </w:tc>
      </w:tr>
    </w:tbl>
    <w:p w14:paraId="17F9A36F" w14:textId="77777777" w:rsidR="008C1121" w:rsidRPr="008B1975" w:rsidRDefault="005373AF" w:rsidP="005373AF">
      <w:pPr>
        <w:pStyle w:val="ItemHead"/>
      </w:pPr>
      <w:bookmarkStart w:id="51" w:name="_Ref185259775"/>
      <w:bookmarkStart w:id="52" w:name="_Ref185326751"/>
      <w:r w:rsidRPr="008B1975">
        <w:t xml:space="preserve">4  </w:t>
      </w:r>
      <w:r w:rsidR="008C1121" w:rsidRPr="008B1975">
        <w:t>Section 3.2</w:t>
      </w:r>
      <w:bookmarkEnd w:id="51"/>
      <w:bookmarkEnd w:id="52"/>
    </w:p>
    <w:p w14:paraId="5EFF9770" w14:textId="77777777" w:rsidR="008C1121" w:rsidRPr="008B1975" w:rsidRDefault="008C1121" w:rsidP="008C1121">
      <w:pPr>
        <w:pStyle w:val="Item"/>
      </w:pPr>
      <w:r w:rsidRPr="008B1975">
        <w:t>Repeal the section, substitute</w:t>
      </w:r>
    </w:p>
    <w:p w14:paraId="0E6193C9" w14:textId="77777777" w:rsidR="008C1121" w:rsidRPr="008B1975" w:rsidRDefault="008C1121" w:rsidP="001715D4">
      <w:pPr>
        <w:pStyle w:val="ActHead5"/>
        <w:outlineLvl w:val="9"/>
      </w:pPr>
      <w:r w:rsidRPr="008B1975">
        <w:t>3.2  Obstructions in manoeuvring area—conveyances</w:t>
      </w:r>
    </w:p>
    <w:p w14:paraId="506F2F4E" w14:textId="77777777" w:rsidR="008C1121" w:rsidRPr="008B1975" w:rsidRDefault="008C1121" w:rsidP="008C1121">
      <w:pPr>
        <w:pStyle w:val="subsection"/>
      </w:pPr>
      <w:r w:rsidRPr="008B1975">
        <w:tab/>
        <w:t>(1)</w:t>
      </w:r>
      <w:r w:rsidRPr="008B1975">
        <w:tab/>
        <w:t>A manoeuvring area must have a vertical dimension that extends unobstructed for at least 1,500 mm starting from the area’s floor.</w:t>
      </w:r>
    </w:p>
    <w:p w14:paraId="5476A065" w14:textId="77777777" w:rsidR="008C1121" w:rsidRPr="008B1975" w:rsidRDefault="008C1121" w:rsidP="008C1121">
      <w:pPr>
        <w:pStyle w:val="subsection"/>
      </w:pPr>
      <w:r w:rsidRPr="008B1975">
        <w:tab/>
        <w:t>(2)</w:t>
      </w:r>
      <w:r w:rsidRPr="008B1975">
        <w:tab/>
        <w:t>No objects or fixtures are to</w:t>
      </w:r>
      <w:r w:rsidR="00C5067F" w:rsidRPr="008B1975">
        <w:t xml:space="preserve"> project</w:t>
      </w:r>
      <w:r w:rsidRPr="008B1975">
        <w:t xml:space="preserve"> into a manoeuvring area unless the object or fixture is:</w:t>
      </w:r>
    </w:p>
    <w:p w14:paraId="65F43375" w14:textId="77777777" w:rsidR="008C1121" w:rsidRPr="008B1975" w:rsidRDefault="008C1121" w:rsidP="008C1121">
      <w:pPr>
        <w:pStyle w:val="paragraph"/>
      </w:pPr>
      <w:r w:rsidRPr="008B1975">
        <w:tab/>
        <w:t>(a)</w:t>
      </w:r>
      <w:r w:rsidRPr="008B1975">
        <w:tab/>
        <w:t>a grabrail; or</w:t>
      </w:r>
    </w:p>
    <w:p w14:paraId="6466F781" w14:textId="77777777" w:rsidR="008C1121" w:rsidRPr="008B1975" w:rsidRDefault="008C1121" w:rsidP="008C1121">
      <w:pPr>
        <w:pStyle w:val="paragraph"/>
      </w:pPr>
      <w:r w:rsidRPr="008B1975">
        <w:tab/>
        <w:t>(b)</w:t>
      </w:r>
      <w:r w:rsidRPr="008B1975">
        <w:tab/>
        <w:t>a device to signal to request the use of a boarding device; or</w:t>
      </w:r>
    </w:p>
    <w:p w14:paraId="5D31EE32" w14:textId="77777777" w:rsidR="008C1121" w:rsidRPr="008B1975" w:rsidRDefault="008C1121" w:rsidP="008C1121">
      <w:pPr>
        <w:pStyle w:val="paragraph"/>
      </w:pPr>
      <w:r w:rsidRPr="008B1975">
        <w:tab/>
        <w:t>(c)</w:t>
      </w:r>
      <w:r w:rsidRPr="008B1975">
        <w:tab/>
        <w:t>overhead handrails or handgrips; or</w:t>
      </w:r>
    </w:p>
    <w:p w14:paraId="5F8BE84D" w14:textId="77777777" w:rsidR="008C1121" w:rsidRPr="008B1975" w:rsidRDefault="008C1121" w:rsidP="008C1121">
      <w:pPr>
        <w:pStyle w:val="paragraph"/>
        <w:rPr>
          <w:i/>
        </w:rPr>
      </w:pPr>
      <w:r w:rsidRPr="008B1975">
        <w:tab/>
        <w:t>(d)</w:t>
      </w:r>
      <w:r w:rsidRPr="008B1975">
        <w:tab/>
        <w:t>a forward excursion barrier, or a lateral excursion barrier, that complies</w:t>
      </w:r>
      <w:r w:rsidR="006B2094" w:rsidRPr="008B1975">
        <w:t xml:space="preserve"> </w:t>
      </w:r>
      <w:r w:rsidR="001B7EF3" w:rsidRPr="008B1975">
        <w:t>with AS/NZS ISO 10865.1-2015</w:t>
      </w:r>
      <w:r w:rsidRPr="008B1975">
        <w:t>.</w:t>
      </w:r>
    </w:p>
    <w:p w14:paraId="155BC0A5" w14:textId="77777777" w:rsidR="008C1121" w:rsidRPr="008B1975" w:rsidRDefault="008C1121" w:rsidP="008C1121">
      <w:pPr>
        <w:pStyle w:val="subsection"/>
      </w:pPr>
      <w:r w:rsidRPr="008B1975">
        <w:tab/>
        <w:t>(3)</w:t>
      </w:r>
      <w:r w:rsidRPr="008B1975">
        <w:tab/>
        <w:t>The following table specifies conveyances, premises and infrastructure this section applies to.</w:t>
      </w:r>
    </w:p>
    <w:p w14:paraId="7BFA3847" w14:textId="77777777" w:rsidR="008C1121" w:rsidRPr="008B1975" w:rsidRDefault="008C1121" w:rsidP="008C112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C1121" w:rsidRPr="008B1975" w14:paraId="50812F1B"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494E00CA" w14:textId="77777777" w:rsidR="008C1121" w:rsidRPr="008B1975" w:rsidRDefault="008C1121" w:rsidP="007951F9">
            <w:pPr>
              <w:pStyle w:val="TableHeading"/>
            </w:pPr>
            <w:r w:rsidRPr="008B1975">
              <w:t>Application of this section</w:t>
            </w:r>
          </w:p>
        </w:tc>
      </w:tr>
      <w:tr w:rsidR="008C1121" w:rsidRPr="008B1975" w14:paraId="26211576" w14:textId="77777777" w:rsidTr="00A77A4A">
        <w:trPr>
          <w:trHeight w:val="300"/>
          <w:tblHeader/>
        </w:trPr>
        <w:tc>
          <w:tcPr>
            <w:tcW w:w="1667" w:type="pct"/>
            <w:tcBorders>
              <w:top w:val="single" w:sz="6" w:space="0" w:color="auto"/>
              <w:left w:val="nil"/>
              <w:bottom w:val="single" w:sz="12" w:space="0" w:color="auto"/>
              <w:right w:val="nil"/>
            </w:tcBorders>
            <w:hideMark/>
          </w:tcPr>
          <w:p w14:paraId="06F903F7" w14:textId="77777777" w:rsidR="008C1121" w:rsidRPr="008B1975" w:rsidRDefault="008C1121"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1A19D673" w14:textId="77777777" w:rsidR="008C1121" w:rsidRPr="008B1975" w:rsidRDefault="008C1121"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6C44CAB3" w14:textId="77777777" w:rsidR="008C1121" w:rsidRPr="008B1975" w:rsidRDefault="008C1121" w:rsidP="007951F9">
            <w:pPr>
              <w:pStyle w:val="TableHeading"/>
            </w:pPr>
            <w:r w:rsidRPr="008B1975">
              <w:t>Infrastructure</w:t>
            </w:r>
          </w:p>
        </w:tc>
      </w:tr>
      <w:tr w:rsidR="008C1121" w:rsidRPr="008B1975" w14:paraId="145DA6BB" w14:textId="77777777" w:rsidTr="00A77A4A">
        <w:trPr>
          <w:trHeight w:val="300"/>
        </w:trPr>
        <w:tc>
          <w:tcPr>
            <w:tcW w:w="1667" w:type="pct"/>
            <w:tcBorders>
              <w:top w:val="single" w:sz="12" w:space="0" w:color="auto"/>
              <w:left w:val="nil"/>
              <w:bottom w:val="single" w:sz="12" w:space="0" w:color="auto"/>
              <w:right w:val="nil"/>
            </w:tcBorders>
            <w:hideMark/>
          </w:tcPr>
          <w:p w14:paraId="5E412103" w14:textId="77777777" w:rsidR="008C1121" w:rsidRPr="008B1975" w:rsidRDefault="008C1121" w:rsidP="007951F9">
            <w:pPr>
              <w:pStyle w:val="Tabletext"/>
            </w:pPr>
            <w:r w:rsidRPr="008B1975">
              <w:t>The following:</w:t>
            </w:r>
          </w:p>
          <w:p w14:paraId="039C656E" w14:textId="77777777" w:rsidR="008C1121" w:rsidRPr="008B1975" w:rsidRDefault="008C1121" w:rsidP="007951F9">
            <w:pPr>
              <w:pStyle w:val="Tablea"/>
            </w:pPr>
            <w:r w:rsidRPr="008B1975">
              <w:t>(a) buses, except dedicated school buses;</w:t>
            </w:r>
          </w:p>
          <w:p w14:paraId="21EBF1AC" w14:textId="77777777" w:rsidR="008C1121" w:rsidRPr="008B1975" w:rsidRDefault="008C1121" w:rsidP="007951F9">
            <w:pPr>
              <w:pStyle w:val="Tablea"/>
            </w:pPr>
            <w:r w:rsidRPr="008B1975">
              <w:t>(b) ferries;</w:t>
            </w:r>
          </w:p>
          <w:p w14:paraId="73A31C9D" w14:textId="77777777" w:rsidR="008C1121" w:rsidRPr="008B1975" w:rsidRDefault="008C1121" w:rsidP="007951F9">
            <w:pPr>
              <w:pStyle w:val="Tablea"/>
            </w:pPr>
            <w:r w:rsidRPr="008B1975">
              <w:lastRenderedPageBreak/>
              <w:t>(c) accessible rail cars;</w:t>
            </w:r>
          </w:p>
          <w:p w14:paraId="538D97AA" w14:textId="77777777" w:rsidR="008C1121" w:rsidRPr="008B1975" w:rsidRDefault="008C1121" w:rsidP="007951F9">
            <w:pPr>
              <w:pStyle w:val="Tablea"/>
            </w:pPr>
            <w:r w:rsidRPr="008B1975">
              <w:t>(d) accessible tram cars;</w:t>
            </w:r>
          </w:p>
          <w:p w14:paraId="7A002C7F" w14:textId="77777777" w:rsidR="008C1121" w:rsidRPr="008B1975" w:rsidRDefault="008C1121" w:rsidP="007951F9">
            <w:pPr>
              <w:pStyle w:val="Tablea"/>
            </w:pPr>
            <w:r w:rsidRPr="008B1975">
              <w:t>(e) accessible light rail cars</w:t>
            </w:r>
          </w:p>
        </w:tc>
        <w:tc>
          <w:tcPr>
            <w:tcW w:w="1667" w:type="pct"/>
            <w:tcBorders>
              <w:top w:val="single" w:sz="12" w:space="0" w:color="auto"/>
              <w:left w:val="nil"/>
              <w:bottom w:val="single" w:sz="12" w:space="0" w:color="auto"/>
              <w:right w:val="nil"/>
            </w:tcBorders>
            <w:hideMark/>
          </w:tcPr>
          <w:p w14:paraId="73B7F8DF" w14:textId="77777777" w:rsidR="008C1121" w:rsidRPr="008B1975" w:rsidRDefault="008C1121" w:rsidP="007951F9">
            <w:pPr>
              <w:pStyle w:val="Tabletext"/>
            </w:pPr>
            <w:r w:rsidRPr="008B1975">
              <w:lastRenderedPageBreak/>
              <w:t>None</w:t>
            </w:r>
          </w:p>
        </w:tc>
        <w:tc>
          <w:tcPr>
            <w:tcW w:w="1667" w:type="pct"/>
            <w:tcBorders>
              <w:top w:val="single" w:sz="12" w:space="0" w:color="auto"/>
              <w:left w:val="nil"/>
              <w:bottom w:val="single" w:sz="12" w:space="0" w:color="auto"/>
              <w:right w:val="nil"/>
            </w:tcBorders>
            <w:hideMark/>
          </w:tcPr>
          <w:p w14:paraId="73D38336" w14:textId="77777777" w:rsidR="008C1121" w:rsidRPr="008B1975" w:rsidRDefault="008C1121" w:rsidP="007951F9">
            <w:pPr>
              <w:pStyle w:val="Tabletext"/>
            </w:pPr>
            <w:r w:rsidRPr="008B1975">
              <w:t>None</w:t>
            </w:r>
          </w:p>
        </w:tc>
      </w:tr>
    </w:tbl>
    <w:p w14:paraId="67D20E00" w14:textId="77777777" w:rsidR="00734B02" w:rsidRPr="008B1975" w:rsidRDefault="005373AF" w:rsidP="005373AF">
      <w:pPr>
        <w:pStyle w:val="ItemHead"/>
      </w:pPr>
      <w:bookmarkStart w:id="53" w:name="_Ref185326833"/>
      <w:r w:rsidRPr="008B1975">
        <w:t xml:space="preserve">5  </w:t>
      </w:r>
      <w:r w:rsidR="00734B02" w:rsidRPr="008B1975">
        <w:t>Section 3.3</w:t>
      </w:r>
      <w:bookmarkEnd w:id="53"/>
    </w:p>
    <w:p w14:paraId="00700D71" w14:textId="77777777" w:rsidR="00734B02" w:rsidRPr="008B1975" w:rsidRDefault="00734B02" w:rsidP="00734B02">
      <w:pPr>
        <w:pStyle w:val="Item"/>
      </w:pPr>
      <w:r w:rsidRPr="008B1975">
        <w:t>Before “If”, insert “(1)”.</w:t>
      </w:r>
    </w:p>
    <w:p w14:paraId="65C049B1" w14:textId="77777777" w:rsidR="00734B02" w:rsidRPr="008B1975" w:rsidRDefault="005373AF" w:rsidP="005373AF">
      <w:pPr>
        <w:pStyle w:val="ItemHead"/>
      </w:pPr>
      <w:bookmarkStart w:id="54" w:name="_Ref185257405"/>
      <w:r w:rsidRPr="008B1975">
        <w:t xml:space="preserve">6  </w:t>
      </w:r>
      <w:r w:rsidR="00734B02" w:rsidRPr="008B1975">
        <w:t>Section 3.3 (table)</w:t>
      </w:r>
      <w:bookmarkEnd w:id="54"/>
    </w:p>
    <w:p w14:paraId="1CD7FA7F" w14:textId="77777777" w:rsidR="00734B02" w:rsidRPr="008B1975" w:rsidRDefault="00734B02" w:rsidP="00734B02">
      <w:pPr>
        <w:pStyle w:val="Item"/>
      </w:pPr>
      <w:r w:rsidRPr="008B1975">
        <w:t>Repeal the table, substitute:</w:t>
      </w:r>
    </w:p>
    <w:p w14:paraId="24B1AE5C" w14:textId="77777777" w:rsidR="00734B02" w:rsidRPr="008B1975" w:rsidRDefault="00734B02" w:rsidP="00734B02">
      <w:pPr>
        <w:pStyle w:val="subsection"/>
      </w:pPr>
      <w:r w:rsidRPr="008B1975">
        <w:tab/>
        <w:t>(2)</w:t>
      </w:r>
      <w:r w:rsidRPr="008B1975">
        <w:tab/>
        <w:t>The following table specifies conveyances, premises and infrastructure this section applies to.</w:t>
      </w:r>
    </w:p>
    <w:p w14:paraId="4F7AB931" w14:textId="77777777" w:rsidR="00734B02" w:rsidRPr="008B1975" w:rsidRDefault="00734B02" w:rsidP="00734B0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79F39046"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321F685D" w14:textId="77777777" w:rsidR="00734B02" w:rsidRPr="008B1975" w:rsidRDefault="00734B02" w:rsidP="005606F7">
            <w:pPr>
              <w:pStyle w:val="TableHeading"/>
            </w:pPr>
            <w:r w:rsidRPr="008B1975">
              <w:t>Application of this section</w:t>
            </w:r>
          </w:p>
        </w:tc>
      </w:tr>
      <w:tr w:rsidR="00734B02" w:rsidRPr="008B1975" w14:paraId="3C766DD5" w14:textId="77777777" w:rsidTr="00A77A4A">
        <w:trPr>
          <w:trHeight w:val="300"/>
          <w:tblHeader/>
        </w:trPr>
        <w:tc>
          <w:tcPr>
            <w:tcW w:w="1667" w:type="pct"/>
            <w:tcBorders>
              <w:top w:val="single" w:sz="6" w:space="0" w:color="auto"/>
              <w:left w:val="nil"/>
              <w:bottom w:val="single" w:sz="12" w:space="0" w:color="auto"/>
              <w:right w:val="nil"/>
            </w:tcBorders>
            <w:hideMark/>
          </w:tcPr>
          <w:p w14:paraId="0FF2BB21" w14:textId="77777777" w:rsidR="00734B02" w:rsidRPr="008B1975" w:rsidRDefault="00734B0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6E019177" w14:textId="77777777" w:rsidR="00734B02" w:rsidRPr="008B1975" w:rsidRDefault="00734B0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4D367013" w14:textId="77777777" w:rsidR="00734B02" w:rsidRPr="008B1975" w:rsidRDefault="00734B02" w:rsidP="005606F7">
            <w:pPr>
              <w:pStyle w:val="TableHeading"/>
            </w:pPr>
            <w:r w:rsidRPr="008B1975">
              <w:t>Infrastructure</w:t>
            </w:r>
          </w:p>
        </w:tc>
      </w:tr>
      <w:tr w:rsidR="00734B02" w:rsidRPr="008B1975" w14:paraId="0A34A16E" w14:textId="77777777" w:rsidTr="00A77A4A">
        <w:trPr>
          <w:trHeight w:val="300"/>
        </w:trPr>
        <w:tc>
          <w:tcPr>
            <w:tcW w:w="1667" w:type="pct"/>
            <w:tcBorders>
              <w:top w:val="single" w:sz="12" w:space="0" w:color="auto"/>
              <w:left w:val="nil"/>
              <w:bottom w:val="single" w:sz="12" w:space="0" w:color="auto"/>
              <w:right w:val="nil"/>
            </w:tcBorders>
            <w:hideMark/>
          </w:tcPr>
          <w:p w14:paraId="2660518F" w14:textId="77777777" w:rsidR="00A700BB" w:rsidRPr="008B1975" w:rsidRDefault="00A700BB" w:rsidP="00A92EBD">
            <w:pPr>
              <w:pStyle w:val="Tabletext"/>
            </w:pPr>
            <w:r w:rsidRPr="008B1975">
              <w:t>The following:</w:t>
            </w:r>
          </w:p>
          <w:p w14:paraId="582591DF" w14:textId="77777777" w:rsidR="00374BB5" w:rsidRPr="008B1975" w:rsidRDefault="00A700BB" w:rsidP="00374BB5">
            <w:pPr>
              <w:pStyle w:val="Tablea"/>
            </w:pPr>
            <w:r w:rsidRPr="008B1975">
              <w:t>(a)</w:t>
            </w:r>
            <w:r w:rsidR="00374BB5" w:rsidRPr="008B1975">
              <w:t xml:space="preserve"> accessible taxis;</w:t>
            </w:r>
          </w:p>
          <w:p w14:paraId="3459F752" w14:textId="77777777" w:rsidR="00A700BB" w:rsidRPr="008B1975" w:rsidRDefault="00374BB5" w:rsidP="00A700BB">
            <w:pPr>
              <w:pStyle w:val="Tablea"/>
            </w:pPr>
            <w:r w:rsidRPr="008B1975">
              <w:t>(b)</w:t>
            </w:r>
            <w:r w:rsidR="00A700BB" w:rsidRPr="008B1975">
              <w:t xml:space="preserve"> </w:t>
            </w:r>
            <w:r w:rsidR="00240824" w:rsidRPr="008B1975">
              <w:t>c</w:t>
            </w:r>
            <w:r w:rsidR="00A700BB" w:rsidRPr="008B1975">
              <w:t>oaches</w:t>
            </w:r>
            <w:r w:rsidR="00A92EBD" w:rsidRPr="008B1975">
              <w:t>;</w:t>
            </w:r>
          </w:p>
          <w:p w14:paraId="7A71E06C" w14:textId="77777777" w:rsidR="00734B02" w:rsidRPr="008B1975" w:rsidRDefault="00A700BB" w:rsidP="00A700BB">
            <w:pPr>
              <w:pStyle w:val="Tablea"/>
            </w:pPr>
            <w:r w:rsidRPr="008B1975">
              <w:t>(</w:t>
            </w:r>
            <w:r w:rsidR="00374BB5" w:rsidRPr="008B1975">
              <w:t>c</w:t>
            </w:r>
            <w:r w:rsidRPr="008B1975">
              <w:t xml:space="preserve">) </w:t>
            </w:r>
            <w:r w:rsidR="00240824" w:rsidRPr="008B1975">
              <w:t>a</w:t>
            </w:r>
            <w:r w:rsidRPr="008B1975">
              <w:t>ircraft except small aircraft</w:t>
            </w:r>
          </w:p>
        </w:tc>
        <w:tc>
          <w:tcPr>
            <w:tcW w:w="1667" w:type="pct"/>
            <w:tcBorders>
              <w:top w:val="single" w:sz="12" w:space="0" w:color="auto"/>
              <w:left w:val="nil"/>
              <w:bottom w:val="single" w:sz="12" w:space="0" w:color="auto"/>
              <w:right w:val="nil"/>
            </w:tcBorders>
          </w:tcPr>
          <w:p w14:paraId="7DBB950E" w14:textId="77777777" w:rsidR="00734B02" w:rsidRPr="008B1975" w:rsidRDefault="00734B02" w:rsidP="005606F7">
            <w:pPr>
              <w:pStyle w:val="Tabletext"/>
            </w:pPr>
            <w:r w:rsidRPr="008B1975">
              <w:t>None</w:t>
            </w:r>
          </w:p>
        </w:tc>
        <w:tc>
          <w:tcPr>
            <w:tcW w:w="1667" w:type="pct"/>
            <w:tcBorders>
              <w:top w:val="single" w:sz="12" w:space="0" w:color="auto"/>
              <w:left w:val="nil"/>
              <w:bottom w:val="single" w:sz="12" w:space="0" w:color="auto"/>
              <w:right w:val="nil"/>
            </w:tcBorders>
          </w:tcPr>
          <w:p w14:paraId="205223D0" w14:textId="77777777" w:rsidR="00734B02" w:rsidRPr="008B1975" w:rsidRDefault="00734B02" w:rsidP="005606F7">
            <w:pPr>
              <w:pStyle w:val="Tabletext"/>
            </w:pPr>
            <w:r w:rsidRPr="008B1975">
              <w:t>None</w:t>
            </w:r>
          </w:p>
        </w:tc>
      </w:tr>
    </w:tbl>
    <w:p w14:paraId="2021BBA6" w14:textId="77777777" w:rsidR="008C1121" w:rsidRPr="008B1975" w:rsidRDefault="005373AF" w:rsidP="005373AF">
      <w:pPr>
        <w:pStyle w:val="ItemHead"/>
      </w:pPr>
      <w:bookmarkStart w:id="55" w:name="_Ref185257412"/>
      <w:bookmarkStart w:id="56" w:name="_Hlk184134958"/>
      <w:bookmarkEnd w:id="9"/>
      <w:bookmarkEnd w:id="46"/>
      <w:r w:rsidRPr="008B1975">
        <w:t xml:space="preserve">7  </w:t>
      </w:r>
      <w:r w:rsidR="008C1121" w:rsidRPr="008B1975">
        <w:t>At the end of Part 3</w:t>
      </w:r>
      <w:bookmarkEnd w:id="55"/>
    </w:p>
    <w:p w14:paraId="49289C1B" w14:textId="77777777" w:rsidR="008C1121" w:rsidRPr="008B1975" w:rsidRDefault="008C1121" w:rsidP="008C1121">
      <w:pPr>
        <w:pStyle w:val="Item"/>
      </w:pPr>
      <w:r w:rsidRPr="008B1975">
        <w:t>Add:</w:t>
      </w:r>
    </w:p>
    <w:p w14:paraId="35F9989E" w14:textId="77777777" w:rsidR="008C1121" w:rsidRPr="008B1975" w:rsidRDefault="008C1121" w:rsidP="001715D4">
      <w:pPr>
        <w:pStyle w:val="ActHead5"/>
        <w:outlineLvl w:val="9"/>
      </w:pPr>
      <w:r w:rsidRPr="008B1975">
        <w:t>3.4  Co-location of manoeuvring areas with access paths and allocated spaces—conveyances</w:t>
      </w:r>
    </w:p>
    <w:p w14:paraId="4360B2F3" w14:textId="77777777" w:rsidR="008C1121" w:rsidRPr="008B1975" w:rsidRDefault="008C1121" w:rsidP="008C1121">
      <w:pPr>
        <w:pStyle w:val="subsection"/>
      </w:pPr>
      <w:r w:rsidRPr="008B1975">
        <w:tab/>
        <w:t>(1)</w:t>
      </w:r>
      <w:r w:rsidRPr="008B1975">
        <w:tab/>
        <w:t>Manoeuvring areas must be located as close as possible to access paths and allocated spaces.</w:t>
      </w:r>
    </w:p>
    <w:p w14:paraId="6FBDEE0A" w14:textId="77777777" w:rsidR="008C1121" w:rsidRPr="008B1975" w:rsidRDefault="008C1121" w:rsidP="008C1121">
      <w:pPr>
        <w:pStyle w:val="subsection"/>
      </w:pPr>
      <w:r w:rsidRPr="008B1975">
        <w:tab/>
        <w:t>(2)</w:t>
      </w:r>
      <w:r w:rsidRPr="008B1975">
        <w:tab/>
        <w:t>The following table specifies conveyances, premises and infrastructure this section applies to.</w:t>
      </w:r>
    </w:p>
    <w:p w14:paraId="6461E6B3" w14:textId="77777777" w:rsidR="008C1121" w:rsidRPr="008B1975" w:rsidRDefault="008C1121" w:rsidP="008C112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C1121" w:rsidRPr="008B1975" w14:paraId="0E5AE1DB"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1ADC3E9E" w14:textId="77777777" w:rsidR="008C1121" w:rsidRPr="008B1975" w:rsidRDefault="008C1121" w:rsidP="007951F9">
            <w:pPr>
              <w:pStyle w:val="TableHeading"/>
            </w:pPr>
            <w:r w:rsidRPr="008B1975">
              <w:t>Application of this section</w:t>
            </w:r>
          </w:p>
        </w:tc>
      </w:tr>
      <w:tr w:rsidR="008C1121" w:rsidRPr="008B1975" w14:paraId="7B568DEC" w14:textId="77777777" w:rsidTr="00B9444D">
        <w:trPr>
          <w:trHeight w:val="300"/>
          <w:tblHeader/>
        </w:trPr>
        <w:tc>
          <w:tcPr>
            <w:tcW w:w="1667" w:type="pct"/>
            <w:tcBorders>
              <w:top w:val="single" w:sz="6" w:space="0" w:color="auto"/>
              <w:left w:val="nil"/>
              <w:bottom w:val="single" w:sz="12" w:space="0" w:color="auto"/>
              <w:right w:val="nil"/>
            </w:tcBorders>
            <w:hideMark/>
          </w:tcPr>
          <w:p w14:paraId="4F9759B6" w14:textId="77777777" w:rsidR="008C1121" w:rsidRPr="008B1975" w:rsidRDefault="008C1121"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7C597C12" w14:textId="77777777" w:rsidR="008C1121" w:rsidRPr="008B1975" w:rsidRDefault="008C1121"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0FF9C065" w14:textId="77777777" w:rsidR="008C1121" w:rsidRPr="008B1975" w:rsidRDefault="008C1121" w:rsidP="007951F9">
            <w:pPr>
              <w:pStyle w:val="TableHeading"/>
            </w:pPr>
            <w:r w:rsidRPr="008B1975">
              <w:t>Infrastructure</w:t>
            </w:r>
          </w:p>
        </w:tc>
      </w:tr>
      <w:tr w:rsidR="008C1121" w:rsidRPr="008B1975" w14:paraId="12ABAB8C" w14:textId="77777777" w:rsidTr="00B9444D">
        <w:trPr>
          <w:trHeight w:val="300"/>
        </w:trPr>
        <w:tc>
          <w:tcPr>
            <w:tcW w:w="1667" w:type="pct"/>
            <w:tcBorders>
              <w:top w:val="single" w:sz="12" w:space="0" w:color="auto"/>
              <w:left w:val="nil"/>
              <w:bottom w:val="single" w:sz="12" w:space="0" w:color="auto"/>
              <w:right w:val="nil"/>
            </w:tcBorders>
            <w:hideMark/>
          </w:tcPr>
          <w:p w14:paraId="428F8F85" w14:textId="77777777" w:rsidR="008C1121" w:rsidRPr="008B1975" w:rsidRDefault="008C1121" w:rsidP="007951F9">
            <w:pPr>
              <w:pStyle w:val="Tabletext"/>
            </w:pPr>
            <w:r w:rsidRPr="008B1975">
              <w:t>The following:</w:t>
            </w:r>
          </w:p>
          <w:p w14:paraId="1881B3AA" w14:textId="77777777" w:rsidR="008C1121" w:rsidRPr="008B1975" w:rsidRDefault="008C1121" w:rsidP="007951F9">
            <w:pPr>
              <w:pStyle w:val="Tablea"/>
            </w:pPr>
            <w:r w:rsidRPr="008B1975">
              <w:t>(a) buses, except dedicated school buses;</w:t>
            </w:r>
          </w:p>
          <w:p w14:paraId="42D64C23" w14:textId="77777777" w:rsidR="008C1121" w:rsidRPr="008B1975" w:rsidRDefault="008C1121" w:rsidP="007951F9">
            <w:pPr>
              <w:pStyle w:val="Tablea"/>
            </w:pPr>
            <w:r w:rsidRPr="008B1975">
              <w:t>(b) ferries;</w:t>
            </w:r>
          </w:p>
          <w:p w14:paraId="3233AA37" w14:textId="77777777" w:rsidR="008C1121" w:rsidRPr="008B1975" w:rsidRDefault="008C1121" w:rsidP="007951F9">
            <w:pPr>
              <w:pStyle w:val="Tablea"/>
            </w:pPr>
            <w:r w:rsidRPr="008B1975">
              <w:t>(c) accessible rail cars;</w:t>
            </w:r>
          </w:p>
          <w:p w14:paraId="0315CF1C" w14:textId="77777777" w:rsidR="008C1121" w:rsidRPr="008B1975" w:rsidRDefault="008C1121" w:rsidP="007951F9">
            <w:pPr>
              <w:pStyle w:val="Tablea"/>
            </w:pPr>
            <w:r w:rsidRPr="008B1975">
              <w:t>(d) accessible tram cars;</w:t>
            </w:r>
          </w:p>
          <w:p w14:paraId="76B71174" w14:textId="77777777" w:rsidR="008C1121" w:rsidRPr="008B1975" w:rsidRDefault="008C1121" w:rsidP="007951F9">
            <w:pPr>
              <w:pStyle w:val="Tablea"/>
            </w:pPr>
            <w:r w:rsidRPr="008B1975">
              <w:t>(e) accessible light rail cars</w:t>
            </w:r>
          </w:p>
        </w:tc>
        <w:tc>
          <w:tcPr>
            <w:tcW w:w="1667" w:type="pct"/>
            <w:tcBorders>
              <w:top w:val="single" w:sz="12" w:space="0" w:color="auto"/>
              <w:left w:val="nil"/>
              <w:bottom w:val="single" w:sz="12" w:space="0" w:color="auto"/>
              <w:right w:val="nil"/>
            </w:tcBorders>
            <w:hideMark/>
          </w:tcPr>
          <w:p w14:paraId="68257664" w14:textId="77777777" w:rsidR="008C1121" w:rsidRPr="008B1975" w:rsidRDefault="008C1121" w:rsidP="007951F9">
            <w:pPr>
              <w:pStyle w:val="Tabletext"/>
            </w:pPr>
            <w:r w:rsidRPr="008B1975">
              <w:t>None</w:t>
            </w:r>
          </w:p>
        </w:tc>
        <w:tc>
          <w:tcPr>
            <w:tcW w:w="1667" w:type="pct"/>
            <w:tcBorders>
              <w:top w:val="single" w:sz="12" w:space="0" w:color="auto"/>
              <w:left w:val="nil"/>
              <w:bottom w:val="single" w:sz="12" w:space="0" w:color="auto"/>
              <w:right w:val="nil"/>
            </w:tcBorders>
            <w:hideMark/>
          </w:tcPr>
          <w:p w14:paraId="003BD6CA" w14:textId="77777777" w:rsidR="008C1121" w:rsidRPr="008B1975" w:rsidRDefault="008C1121" w:rsidP="007951F9">
            <w:pPr>
              <w:pStyle w:val="Tabletext"/>
            </w:pPr>
            <w:r w:rsidRPr="008B1975">
              <w:t>None</w:t>
            </w:r>
          </w:p>
        </w:tc>
      </w:tr>
    </w:tbl>
    <w:p w14:paraId="5EE0DB1F" w14:textId="77777777" w:rsidR="00084B22" w:rsidRPr="008B1975" w:rsidRDefault="00084B22" w:rsidP="00A35350">
      <w:pPr>
        <w:pStyle w:val="ActHead6"/>
        <w:rPr>
          <w:rStyle w:val="CharAmSchText"/>
        </w:rPr>
      </w:pPr>
      <w:bookmarkStart w:id="57" w:name="_Toc197178936"/>
      <w:r w:rsidRPr="008B1975">
        <w:lastRenderedPageBreak/>
        <w:t>Schedule </w:t>
      </w:r>
      <w:r w:rsidR="00182C6D" w:rsidRPr="008B1975">
        <w:t>4</w:t>
      </w:r>
      <w:r w:rsidRPr="008B1975">
        <w:t xml:space="preserve">—Part </w:t>
      </w:r>
      <w:r w:rsidR="00182C6D" w:rsidRPr="008B1975">
        <w:t>4</w:t>
      </w:r>
      <w:r w:rsidRPr="008B1975">
        <w:t xml:space="preserve"> (</w:t>
      </w:r>
      <w:r w:rsidR="00182C6D" w:rsidRPr="008B1975">
        <w:t>Passing areas</w:t>
      </w:r>
      <w:r w:rsidRPr="008B1975">
        <w:t>) Amendments</w:t>
      </w:r>
      <w:bookmarkEnd w:id="57"/>
    </w:p>
    <w:p w14:paraId="7343247C" w14:textId="77777777" w:rsidR="00084B22" w:rsidRPr="008B1975" w:rsidRDefault="00084B22" w:rsidP="00084B22">
      <w:pPr>
        <w:pStyle w:val="ActHead9"/>
      </w:pPr>
      <w:bookmarkStart w:id="58" w:name="_Toc197178937"/>
      <w:r w:rsidRPr="008B1975">
        <w:t>Disability Standards for Accessible Public Transport 2002</w:t>
      </w:r>
      <w:bookmarkEnd w:id="56"/>
      <w:bookmarkEnd w:id="58"/>
    </w:p>
    <w:p w14:paraId="71DB8E7F" w14:textId="77777777" w:rsidR="005F2171" w:rsidRPr="008B1975" w:rsidRDefault="005373AF" w:rsidP="005373AF">
      <w:pPr>
        <w:pStyle w:val="ItemHead"/>
      </w:pPr>
      <w:bookmarkStart w:id="59" w:name="_Ref180417898"/>
      <w:r w:rsidRPr="008B1975">
        <w:t xml:space="preserve">1  </w:t>
      </w:r>
      <w:r w:rsidR="005F2171" w:rsidRPr="008B1975">
        <w:t>Section 4.1</w:t>
      </w:r>
    </w:p>
    <w:p w14:paraId="0EF69C3F" w14:textId="77777777" w:rsidR="00182C6D" w:rsidRPr="008B1975" w:rsidRDefault="00182C6D" w:rsidP="00182C6D">
      <w:pPr>
        <w:pStyle w:val="Item"/>
      </w:pPr>
      <w:r w:rsidRPr="008B1975">
        <w:t>Before “A”, insert “(1)”.</w:t>
      </w:r>
    </w:p>
    <w:p w14:paraId="25D4C4FA" w14:textId="77777777" w:rsidR="00182C6D" w:rsidRPr="008B1975" w:rsidRDefault="005373AF" w:rsidP="005373AF">
      <w:pPr>
        <w:pStyle w:val="ItemHead"/>
      </w:pPr>
      <w:bookmarkStart w:id="60" w:name="_Ref185342091"/>
      <w:bookmarkEnd w:id="59"/>
      <w:r w:rsidRPr="008B1975">
        <w:t xml:space="preserve">2  </w:t>
      </w:r>
      <w:r w:rsidR="005F2171" w:rsidRPr="008B1975">
        <w:t>Section 4.1</w:t>
      </w:r>
      <w:bookmarkEnd w:id="60"/>
    </w:p>
    <w:p w14:paraId="6E95651D" w14:textId="77777777" w:rsidR="00182C6D" w:rsidRPr="008B1975" w:rsidRDefault="00182C6D" w:rsidP="00182C6D">
      <w:pPr>
        <w:pStyle w:val="Item"/>
      </w:pPr>
      <w:r w:rsidRPr="008B1975">
        <w:t>Omit “(</w:t>
      </w:r>
      <w:r w:rsidRPr="008B1975">
        <w:rPr>
          <w:b/>
        </w:rPr>
        <w:t>AS1428.2 (1992) Clause 6.5 (a),</w:t>
      </w:r>
      <w:r w:rsidRPr="008B1975">
        <w:t xml:space="preserve"> </w:t>
      </w:r>
      <w:r w:rsidRPr="008B1975">
        <w:rPr>
          <w:i/>
        </w:rPr>
        <w:t>Passing space for wheelchairs</w:t>
      </w:r>
      <w:r w:rsidRPr="008B1975">
        <w:t>)”, substitute “clause 3.4 of AS 1428.1 (2021) (passing space for wheelchairs)</w:t>
      </w:r>
      <w:r w:rsidR="005F2171" w:rsidRPr="008B1975">
        <w:t>”</w:t>
      </w:r>
      <w:r w:rsidRPr="008B1975">
        <w:t>.</w:t>
      </w:r>
    </w:p>
    <w:p w14:paraId="7454EF82" w14:textId="77777777" w:rsidR="00182C6D" w:rsidRPr="008B1975" w:rsidRDefault="005373AF" w:rsidP="005373AF">
      <w:pPr>
        <w:pStyle w:val="ItemHead"/>
      </w:pPr>
      <w:bookmarkStart w:id="61" w:name="_Ref180417909"/>
      <w:r w:rsidRPr="008B1975">
        <w:t xml:space="preserve">3  </w:t>
      </w:r>
      <w:r w:rsidR="005F2171" w:rsidRPr="008B1975">
        <w:t xml:space="preserve">Section 4.1 </w:t>
      </w:r>
      <w:r w:rsidR="00182C6D" w:rsidRPr="008B1975">
        <w:t>(table)</w:t>
      </w:r>
      <w:bookmarkEnd w:id="61"/>
    </w:p>
    <w:p w14:paraId="797556AB" w14:textId="77777777" w:rsidR="00182C6D" w:rsidRPr="008B1975" w:rsidRDefault="00182C6D" w:rsidP="00182C6D">
      <w:pPr>
        <w:pStyle w:val="Item"/>
      </w:pPr>
      <w:r w:rsidRPr="008B1975">
        <w:t>Repeal the table, substitute:</w:t>
      </w:r>
    </w:p>
    <w:p w14:paraId="258AD57C" w14:textId="77777777" w:rsidR="00182C6D" w:rsidRPr="008B1975" w:rsidRDefault="00182C6D" w:rsidP="00182C6D">
      <w:pPr>
        <w:pStyle w:val="subsection"/>
      </w:pPr>
      <w:r w:rsidRPr="008B1975">
        <w:tab/>
        <w:t>(2)</w:t>
      </w:r>
      <w:r w:rsidRPr="008B1975">
        <w:tab/>
        <w:t>The following table specifies conveyances, premises and infrastructure this section applies to.</w:t>
      </w:r>
    </w:p>
    <w:p w14:paraId="5A2CB729" w14:textId="77777777" w:rsidR="00182C6D" w:rsidRPr="008B1975" w:rsidRDefault="00182C6D" w:rsidP="00182C6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2C6D" w:rsidRPr="008B1975" w14:paraId="1B16DD30" w14:textId="77777777" w:rsidTr="002531AC">
        <w:trPr>
          <w:trHeight w:val="300"/>
          <w:tblHeader/>
        </w:trPr>
        <w:tc>
          <w:tcPr>
            <w:tcW w:w="5000" w:type="pct"/>
            <w:gridSpan w:val="3"/>
            <w:tcBorders>
              <w:top w:val="single" w:sz="12" w:space="0" w:color="auto"/>
              <w:left w:val="nil"/>
              <w:bottom w:val="single" w:sz="6" w:space="0" w:color="auto"/>
              <w:right w:val="nil"/>
            </w:tcBorders>
            <w:hideMark/>
          </w:tcPr>
          <w:p w14:paraId="007B73D2" w14:textId="77777777" w:rsidR="00182C6D" w:rsidRPr="008B1975" w:rsidRDefault="00182C6D" w:rsidP="002531AC">
            <w:pPr>
              <w:pStyle w:val="TableHeading"/>
            </w:pPr>
            <w:r w:rsidRPr="008B1975">
              <w:t>Application of this section</w:t>
            </w:r>
          </w:p>
        </w:tc>
      </w:tr>
      <w:tr w:rsidR="00182C6D" w:rsidRPr="008B1975" w14:paraId="3E850098" w14:textId="77777777" w:rsidTr="00A77A4A">
        <w:trPr>
          <w:trHeight w:val="300"/>
          <w:tblHeader/>
        </w:trPr>
        <w:tc>
          <w:tcPr>
            <w:tcW w:w="1667" w:type="pct"/>
            <w:tcBorders>
              <w:top w:val="single" w:sz="6" w:space="0" w:color="auto"/>
              <w:left w:val="nil"/>
              <w:bottom w:val="single" w:sz="12" w:space="0" w:color="auto"/>
              <w:right w:val="nil"/>
            </w:tcBorders>
            <w:hideMark/>
          </w:tcPr>
          <w:p w14:paraId="5730401F" w14:textId="77777777" w:rsidR="00182C6D" w:rsidRPr="008B1975" w:rsidRDefault="00182C6D" w:rsidP="002531AC">
            <w:pPr>
              <w:pStyle w:val="TableHeading"/>
            </w:pPr>
            <w:r w:rsidRPr="008B1975">
              <w:t>Conveyances</w:t>
            </w:r>
          </w:p>
        </w:tc>
        <w:tc>
          <w:tcPr>
            <w:tcW w:w="1667" w:type="pct"/>
            <w:tcBorders>
              <w:top w:val="single" w:sz="6" w:space="0" w:color="auto"/>
              <w:left w:val="nil"/>
              <w:bottom w:val="single" w:sz="12" w:space="0" w:color="auto"/>
              <w:right w:val="nil"/>
            </w:tcBorders>
            <w:hideMark/>
          </w:tcPr>
          <w:p w14:paraId="7118C7C1" w14:textId="77777777" w:rsidR="00182C6D" w:rsidRPr="008B1975" w:rsidRDefault="00182C6D" w:rsidP="002531AC">
            <w:pPr>
              <w:pStyle w:val="TableHeading"/>
            </w:pPr>
            <w:r w:rsidRPr="008B1975">
              <w:t>Premises</w:t>
            </w:r>
          </w:p>
        </w:tc>
        <w:tc>
          <w:tcPr>
            <w:tcW w:w="1667" w:type="pct"/>
            <w:tcBorders>
              <w:top w:val="single" w:sz="6" w:space="0" w:color="auto"/>
              <w:left w:val="nil"/>
              <w:bottom w:val="single" w:sz="12" w:space="0" w:color="auto"/>
              <w:right w:val="nil"/>
            </w:tcBorders>
            <w:hideMark/>
          </w:tcPr>
          <w:p w14:paraId="5EB41B37" w14:textId="77777777" w:rsidR="00182C6D" w:rsidRPr="008B1975" w:rsidRDefault="00182C6D" w:rsidP="002531AC">
            <w:pPr>
              <w:pStyle w:val="TableHeading"/>
            </w:pPr>
            <w:r w:rsidRPr="008B1975">
              <w:t>Infrastructure</w:t>
            </w:r>
          </w:p>
        </w:tc>
      </w:tr>
      <w:tr w:rsidR="00182C6D" w:rsidRPr="008B1975" w14:paraId="7F14A513" w14:textId="77777777" w:rsidTr="00A77A4A">
        <w:trPr>
          <w:trHeight w:val="300"/>
        </w:trPr>
        <w:tc>
          <w:tcPr>
            <w:tcW w:w="1667" w:type="pct"/>
            <w:tcBorders>
              <w:top w:val="single" w:sz="12" w:space="0" w:color="auto"/>
              <w:left w:val="nil"/>
              <w:bottom w:val="single" w:sz="12" w:space="0" w:color="auto"/>
              <w:right w:val="nil"/>
            </w:tcBorders>
            <w:hideMark/>
          </w:tcPr>
          <w:p w14:paraId="0F74AB7A" w14:textId="77777777" w:rsidR="00182C6D" w:rsidRPr="008B1975" w:rsidRDefault="00182C6D" w:rsidP="00A92EBD">
            <w:pPr>
              <w:pStyle w:val="Tabletext"/>
            </w:pPr>
            <w:r w:rsidRPr="008B1975">
              <w:t>None</w:t>
            </w:r>
          </w:p>
        </w:tc>
        <w:tc>
          <w:tcPr>
            <w:tcW w:w="1667" w:type="pct"/>
            <w:tcBorders>
              <w:top w:val="single" w:sz="12" w:space="0" w:color="auto"/>
              <w:left w:val="nil"/>
              <w:bottom w:val="single" w:sz="12" w:space="0" w:color="auto"/>
              <w:right w:val="nil"/>
            </w:tcBorders>
            <w:hideMark/>
          </w:tcPr>
          <w:p w14:paraId="09E31C26" w14:textId="77777777" w:rsidR="00182C6D" w:rsidRPr="008B1975" w:rsidRDefault="00182C6D" w:rsidP="00A92EBD">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8BB9374" w14:textId="77777777" w:rsidR="00182C6D" w:rsidRPr="008B1975" w:rsidRDefault="00182C6D" w:rsidP="00A92EBD">
            <w:pPr>
              <w:pStyle w:val="Tabletext"/>
            </w:pPr>
            <w:r w:rsidRPr="008B1975">
              <w:t>All</w:t>
            </w:r>
          </w:p>
        </w:tc>
      </w:tr>
    </w:tbl>
    <w:p w14:paraId="560DC53C" w14:textId="77777777" w:rsidR="00734B02" w:rsidRPr="008B1975" w:rsidRDefault="005373AF" w:rsidP="005373AF">
      <w:pPr>
        <w:pStyle w:val="ItemHead"/>
      </w:pPr>
      <w:bookmarkStart w:id="62" w:name="_Ref185327375"/>
      <w:r w:rsidRPr="008B1975">
        <w:t xml:space="preserve">4  </w:t>
      </w:r>
      <w:r w:rsidR="00734B02" w:rsidRPr="008B1975">
        <w:t>Section 4.2 (table)</w:t>
      </w:r>
      <w:bookmarkEnd w:id="62"/>
    </w:p>
    <w:p w14:paraId="69546809" w14:textId="77777777" w:rsidR="00734B02" w:rsidRPr="008B1975" w:rsidRDefault="00734B02" w:rsidP="00734B02">
      <w:pPr>
        <w:pStyle w:val="Item"/>
      </w:pPr>
      <w:r w:rsidRPr="008B1975">
        <w:t>Repeal the table, substitute:</w:t>
      </w:r>
    </w:p>
    <w:p w14:paraId="662807EB" w14:textId="77777777" w:rsidR="00734B02" w:rsidRPr="008B1975" w:rsidRDefault="00734B02" w:rsidP="00734B02">
      <w:pPr>
        <w:pStyle w:val="subsection"/>
      </w:pPr>
      <w:r w:rsidRPr="008B1975">
        <w:tab/>
        <w:t>(3)</w:t>
      </w:r>
      <w:r w:rsidRPr="008B1975">
        <w:tab/>
        <w:t>The following table specifies conveyances, premises and infrastructure this section applies to.</w:t>
      </w:r>
    </w:p>
    <w:p w14:paraId="28C4BCBB" w14:textId="77777777" w:rsidR="00734B02" w:rsidRPr="008B1975" w:rsidRDefault="00734B02" w:rsidP="00734B0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0D3095D3"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1E891D2A" w14:textId="77777777" w:rsidR="00734B02" w:rsidRPr="008B1975" w:rsidRDefault="00734B02" w:rsidP="005606F7">
            <w:pPr>
              <w:pStyle w:val="TableHeading"/>
            </w:pPr>
            <w:r w:rsidRPr="008B1975">
              <w:t>Application of this section</w:t>
            </w:r>
          </w:p>
        </w:tc>
      </w:tr>
      <w:tr w:rsidR="00734B02" w:rsidRPr="008B1975" w14:paraId="3F2DEC8E" w14:textId="77777777" w:rsidTr="00A77A4A">
        <w:trPr>
          <w:trHeight w:val="300"/>
          <w:tblHeader/>
        </w:trPr>
        <w:tc>
          <w:tcPr>
            <w:tcW w:w="1667" w:type="pct"/>
            <w:tcBorders>
              <w:top w:val="single" w:sz="6" w:space="0" w:color="auto"/>
              <w:left w:val="nil"/>
              <w:bottom w:val="single" w:sz="12" w:space="0" w:color="auto"/>
              <w:right w:val="nil"/>
            </w:tcBorders>
            <w:hideMark/>
          </w:tcPr>
          <w:p w14:paraId="1BF070A8" w14:textId="77777777" w:rsidR="00734B02" w:rsidRPr="008B1975" w:rsidRDefault="00734B0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721EAEED" w14:textId="77777777" w:rsidR="00734B02" w:rsidRPr="008B1975" w:rsidRDefault="00734B0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1E29A865" w14:textId="77777777" w:rsidR="00734B02" w:rsidRPr="008B1975" w:rsidRDefault="00734B02" w:rsidP="005606F7">
            <w:pPr>
              <w:pStyle w:val="TableHeading"/>
            </w:pPr>
            <w:r w:rsidRPr="008B1975">
              <w:t>Infrastructure</w:t>
            </w:r>
          </w:p>
        </w:tc>
      </w:tr>
      <w:tr w:rsidR="00734B02" w:rsidRPr="008B1975" w14:paraId="04AB83A8" w14:textId="77777777" w:rsidTr="00A77A4A">
        <w:trPr>
          <w:trHeight w:val="300"/>
        </w:trPr>
        <w:tc>
          <w:tcPr>
            <w:tcW w:w="1667" w:type="pct"/>
            <w:tcBorders>
              <w:top w:val="single" w:sz="12" w:space="0" w:color="auto"/>
              <w:left w:val="nil"/>
              <w:bottom w:val="single" w:sz="12" w:space="0" w:color="auto"/>
              <w:right w:val="nil"/>
            </w:tcBorders>
            <w:hideMark/>
          </w:tcPr>
          <w:p w14:paraId="5FD8D076" w14:textId="77777777" w:rsidR="00734B02" w:rsidRPr="008B1975" w:rsidRDefault="00734B02"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1BC226A5" w14:textId="77777777" w:rsidR="00734B02" w:rsidRPr="008B1975" w:rsidRDefault="00734B02" w:rsidP="005606F7">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02515160" w14:textId="77777777" w:rsidR="00734B02" w:rsidRPr="008B1975" w:rsidRDefault="00734B02" w:rsidP="005606F7">
            <w:pPr>
              <w:pStyle w:val="Tabletext"/>
            </w:pPr>
            <w:r w:rsidRPr="008B1975">
              <w:t>All</w:t>
            </w:r>
          </w:p>
        </w:tc>
      </w:tr>
    </w:tbl>
    <w:p w14:paraId="42E664DA" w14:textId="77777777" w:rsidR="00182C6D" w:rsidRPr="008B1975" w:rsidRDefault="005373AF" w:rsidP="005373AF">
      <w:pPr>
        <w:pStyle w:val="ItemHead"/>
      </w:pPr>
      <w:bookmarkStart w:id="63" w:name="_Ref185327478"/>
      <w:r w:rsidRPr="008B1975">
        <w:t xml:space="preserve">5  </w:t>
      </w:r>
      <w:r w:rsidR="00182C6D" w:rsidRPr="008B1975">
        <w:t>Section 4.3(3)</w:t>
      </w:r>
      <w:bookmarkEnd w:id="63"/>
    </w:p>
    <w:p w14:paraId="1BB7DF19" w14:textId="77777777" w:rsidR="00182C6D" w:rsidRPr="008B1975" w:rsidRDefault="00182C6D" w:rsidP="00182C6D">
      <w:pPr>
        <w:pStyle w:val="Item"/>
      </w:pPr>
      <w:r w:rsidRPr="008B1975">
        <w:t>Omit “(conforming with the assumptions indicated in Part 40.1 of the Guidelines)”.</w:t>
      </w:r>
    </w:p>
    <w:p w14:paraId="77F67973" w14:textId="77777777" w:rsidR="00734B02" w:rsidRPr="008B1975" w:rsidRDefault="005373AF" w:rsidP="005373AF">
      <w:pPr>
        <w:pStyle w:val="ItemHead"/>
      </w:pPr>
      <w:bookmarkStart w:id="64" w:name="_Ref185327521"/>
      <w:r w:rsidRPr="008B1975">
        <w:t xml:space="preserve">6  </w:t>
      </w:r>
      <w:r w:rsidR="00734B02" w:rsidRPr="008B1975">
        <w:t>Section 4.3 (table)</w:t>
      </w:r>
      <w:bookmarkEnd w:id="64"/>
    </w:p>
    <w:p w14:paraId="459E39E5" w14:textId="77777777" w:rsidR="00734B02" w:rsidRPr="008B1975" w:rsidRDefault="00734B02" w:rsidP="00734B02">
      <w:pPr>
        <w:pStyle w:val="Item"/>
      </w:pPr>
      <w:r w:rsidRPr="008B1975">
        <w:t>Repeal the table, substitute:</w:t>
      </w:r>
    </w:p>
    <w:p w14:paraId="621FEF9D" w14:textId="77777777" w:rsidR="00734B02" w:rsidRPr="008B1975" w:rsidRDefault="00734B02" w:rsidP="00734B02">
      <w:pPr>
        <w:pStyle w:val="subsection"/>
      </w:pPr>
      <w:r w:rsidRPr="008B1975">
        <w:tab/>
        <w:t>(5)</w:t>
      </w:r>
      <w:r w:rsidRPr="008B1975">
        <w:tab/>
        <w:t>The following table specifies conveyances, premises and infrastructure this section applies to.</w:t>
      </w:r>
    </w:p>
    <w:p w14:paraId="7E3849AD" w14:textId="77777777" w:rsidR="00734B02" w:rsidRPr="008B1975" w:rsidRDefault="00734B02" w:rsidP="00734B0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5C6C0601"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506F646A" w14:textId="77777777" w:rsidR="00734B02" w:rsidRPr="008B1975" w:rsidRDefault="00734B02" w:rsidP="005606F7">
            <w:pPr>
              <w:pStyle w:val="TableHeading"/>
            </w:pPr>
            <w:r w:rsidRPr="008B1975">
              <w:t>Application of this section</w:t>
            </w:r>
          </w:p>
        </w:tc>
      </w:tr>
      <w:tr w:rsidR="00734B02" w:rsidRPr="008B1975" w14:paraId="0C0D5D71" w14:textId="77777777" w:rsidTr="00A77A4A">
        <w:trPr>
          <w:trHeight w:val="300"/>
          <w:tblHeader/>
        </w:trPr>
        <w:tc>
          <w:tcPr>
            <w:tcW w:w="1667" w:type="pct"/>
            <w:tcBorders>
              <w:top w:val="single" w:sz="6" w:space="0" w:color="auto"/>
              <w:left w:val="nil"/>
              <w:bottom w:val="single" w:sz="12" w:space="0" w:color="auto"/>
              <w:right w:val="nil"/>
            </w:tcBorders>
            <w:hideMark/>
          </w:tcPr>
          <w:p w14:paraId="372F49DA" w14:textId="77777777" w:rsidR="00734B02" w:rsidRPr="008B1975" w:rsidRDefault="00734B0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2C3102D8" w14:textId="77777777" w:rsidR="00734B02" w:rsidRPr="008B1975" w:rsidRDefault="00734B0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6F46D95B" w14:textId="77777777" w:rsidR="00734B02" w:rsidRPr="008B1975" w:rsidRDefault="00734B02" w:rsidP="005606F7">
            <w:pPr>
              <w:pStyle w:val="TableHeading"/>
            </w:pPr>
            <w:r w:rsidRPr="008B1975">
              <w:t>Infrastructure</w:t>
            </w:r>
          </w:p>
        </w:tc>
      </w:tr>
      <w:tr w:rsidR="00734B02" w:rsidRPr="008B1975" w14:paraId="530AC266" w14:textId="77777777" w:rsidTr="00A77A4A">
        <w:trPr>
          <w:trHeight w:val="300"/>
        </w:trPr>
        <w:tc>
          <w:tcPr>
            <w:tcW w:w="1667" w:type="pct"/>
            <w:tcBorders>
              <w:top w:val="single" w:sz="12" w:space="0" w:color="auto"/>
              <w:left w:val="nil"/>
              <w:bottom w:val="single" w:sz="12" w:space="0" w:color="auto"/>
              <w:right w:val="nil"/>
            </w:tcBorders>
            <w:hideMark/>
          </w:tcPr>
          <w:p w14:paraId="77C66262" w14:textId="77777777" w:rsidR="00A700BB" w:rsidRPr="008B1975" w:rsidRDefault="00A700BB" w:rsidP="00451CB1">
            <w:pPr>
              <w:pStyle w:val="Tabletext"/>
            </w:pPr>
            <w:r w:rsidRPr="008B1975">
              <w:t>The following:</w:t>
            </w:r>
          </w:p>
          <w:p w14:paraId="10B93B7F" w14:textId="77777777" w:rsidR="00A700BB" w:rsidRPr="008B1975" w:rsidRDefault="00A700BB" w:rsidP="00A700BB">
            <w:pPr>
              <w:pStyle w:val="Tablea"/>
            </w:pPr>
            <w:r w:rsidRPr="008B1975">
              <w:t xml:space="preserve">(a) </w:t>
            </w:r>
            <w:r w:rsidR="00240824" w:rsidRPr="008B1975">
              <w:t>f</w:t>
            </w:r>
            <w:r w:rsidRPr="008B1975">
              <w:t>erries</w:t>
            </w:r>
            <w:r w:rsidR="00451CB1" w:rsidRPr="008B1975">
              <w:t>;</w:t>
            </w:r>
          </w:p>
          <w:p w14:paraId="2D2C2E36" w14:textId="77777777" w:rsidR="00A700BB" w:rsidRPr="008B1975" w:rsidRDefault="00A700BB" w:rsidP="00A700BB">
            <w:pPr>
              <w:pStyle w:val="Tablea"/>
            </w:pPr>
            <w:r w:rsidRPr="008B1975">
              <w:lastRenderedPageBreak/>
              <w:t xml:space="preserve">(b) </w:t>
            </w:r>
            <w:r w:rsidR="00240824" w:rsidRPr="008B1975">
              <w:t>t</w:t>
            </w:r>
            <w:r w:rsidRPr="008B1975">
              <w:t>rains</w:t>
            </w:r>
          </w:p>
        </w:tc>
        <w:tc>
          <w:tcPr>
            <w:tcW w:w="1667" w:type="pct"/>
            <w:tcBorders>
              <w:top w:val="single" w:sz="12" w:space="0" w:color="auto"/>
              <w:left w:val="nil"/>
              <w:bottom w:val="single" w:sz="12" w:space="0" w:color="auto"/>
              <w:right w:val="nil"/>
            </w:tcBorders>
            <w:hideMark/>
          </w:tcPr>
          <w:p w14:paraId="12F59481" w14:textId="77777777" w:rsidR="00734B02" w:rsidRPr="008B1975" w:rsidRDefault="00734B02" w:rsidP="005606F7">
            <w:pPr>
              <w:pStyle w:val="Tabletext"/>
            </w:pPr>
            <w:r w:rsidRPr="008B1975">
              <w:lastRenderedPageBreak/>
              <w:t>None</w:t>
            </w:r>
          </w:p>
        </w:tc>
        <w:tc>
          <w:tcPr>
            <w:tcW w:w="1667" w:type="pct"/>
            <w:tcBorders>
              <w:top w:val="single" w:sz="12" w:space="0" w:color="auto"/>
              <w:left w:val="nil"/>
              <w:bottom w:val="single" w:sz="12" w:space="0" w:color="auto"/>
              <w:right w:val="nil"/>
            </w:tcBorders>
            <w:hideMark/>
          </w:tcPr>
          <w:p w14:paraId="724EC5E4" w14:textId="77777777" w:rsidR="00734B02" w:rsidRPr="008B1975" w:rsidRDefault="00734B02" w:rsidP="005606F7">
            <w:pPr>
              <w:pStyle w:val="Tabletext"/>
            </w:pPr>
            <w:r w:rsidRPr="008B1975">
              <w:t>None</w:t>
            </w:r>
          </w:p>
        </w:tc>
      </w:tr>
    </w:tbl>
    <w:p w14:paraId="5ED0A595" w14:textId="77777777" w:rsidR="00182C6D" w:rsidRPr="008B1975" w:rsidRDefault="00182C6D" w:rsidP="00A35350">
      <w:pPr>
        <w:pStyle w:val="ActHead6"/>
      </w:pPr>
      <w:bookmarkStart w:id="65" w:name="_Toc197178938"/>
      <w:r w:rsidRPr="008B1975">
        <w:t>Schedule 5—Part 5 (Resting points) Amendments</w:t>
      </w:r>
      <w:bookmarkEnd w:id="65"/>
    </w:p>
    <w:p w14:paraId="056D3FDE" w14:textId="77777777" w:rsidR="00182C6D" w:rsidRPr="008B1975" w:rsidRDefault="00182C6D" w:rsidP="00182C6D">
      <w:pPr>
        <w:pStyle w:val="ActHead9"/>
      </w:pPr>
      <w:bookmarkStart w:id="66" w:name="_Toc197178939"/>
      <w:r w:rsidRPr="008B1975">
        <w:t>Disability Standards for Accessible Public Transport 2002</w:t>
      </w:r>
      <w:bookmarkEnd w:id="66"/>
    </w:p>
    <w:p w14:paraId="4B37C8FE" w14:textId="77777777" w:rsidR="00182C6D" w:rsidRPr="008B1975" w:rsidRDefault="00B877DA" w:rsidP="00B877DA">
      <w:pPr>
        <w:pStyle w:val="ItemHead"/>
      </w:pPr>
      <w:bookmarkStart w:id="67" w:name="_Ref185327560"/>
      <w:r w:rsidRPr="008B1975">
        <w:t xml:space="preserve">1  </w:t>
      </w:r>
      <w:r w:rsidR="005F2171" w:rsidRPr="008B1975">
        <w:t>Section 5.1(2)</w:t>
      </w:r>
      <w:bookmarkEnd w:id="67"/>
    </w:p>
    <w:p w14:paraId="36268B98" w14:textId="77777777" w:rsidR="00182C6D" w:rsidRPr="008B1975" w:rsidRDefault="00182C6D" w:rsidP="00182C6D">
      <w:pPr>
        <w:pStyle w:val="Item"/>
      </w:pPr>
      <w:r w:rsidRPr="008B1975">
        <w:t>Repeal the subsection, substitute:</w:t>
      </w:r>
    </w:p>
    <w:p w14:paraId="7FC61F74" w14:textId="77777777" w:rsidR="00D15D3A" w:rsidRPr="008B1975" w:rsidRDefault="00AC41B5" w:rsidP="00AC41B5">
      <w:pPr>
        <w:pStyle w:val="subsection"/>
      </w:pPr>
      <w:r w:rsidRPr="008B1975">
        <w:tab/>
        <w:t>(2)</w:t>
      </w:r>
      <w:r w:rsidRPr="008B1975">
        <w:tab/>
        <w:t>A resting point must provide</w:t>
      </w:r>
      <w:r w:rsidR="00D15D3A" w:rsidRPr="008B1975">
        <w:t>:</w:t>
      </w:r>
    </w:p>
    <w:p w14:paraId="6EB1B227" w14:textId="77777777" w:rsidR="00D15D3A" w:rsidRPr="008B1975" w:rsidRDefault="00D15D3A" w:rsidP="00D15D3A">
      <w:pPr>
        <w:pStyle w:val="paragraph"/>
      </w:pPr>
      <w:r w:rsidRPr="008B1975">
        <w:tab/>
        <w:t>(a)</w:t>
      </w:r>
      <w:r w:rsidRPr="008B1975">
        <w:tab/>
      </w:r>
      <w:r w:rsidR="00AC41B5" w:rsidRPr="008B1975">
        <w:t>seating that complies with the requirements of clause 27.1(a) of AS 1428.2 (1992)</w:t>
      </w:r>
      <w:r w:rsidRPr="008B1975">
        <w:t>; and</w:t>
      </w:r>
    </w:p>
    <w:p w14:paraId="320C7CAD" w14:textId="77777777" w:rsidR="00AC41B5" w:rsidRPr="008B1975" w:rsidRDefault="00D15D3A" w:rsidP="00D15D3A">
      <w:pPr>
        <w:pStyle w:val="paragraph"/>
      </w:pPr>
      <w:r w:rsidRPr="008B1975">
        <w:tab/>
        <w:t>(b)</w:t>
      </w:r>
      <w:r w:rsidRPr="008B1975">
        <w:tab/>
      </w:r>
      <w:r w:rsidR="00AC41B5" w:rsidRPr="008B1975">
        <w:t>a 1300 by 800 mm area adjacent to the seating that:</w:t>
      </w:r>
    </w:p>
    <w:p w14:paraId="2417D217" w14:textId="77777777" w:rsidR="00AC41B5" w:rsidRPr="008B1975" w:rsidRDefault="00AC41B5" w:rsidP="00D15D3A">
      <w:pPr>
        <w:pStyle w:val="paragraphsub"/>
      </w:pPr>
      <w:r w:rsidRPr="008B1975">
        <w:tab/>
        <w:t>(</w:t>
      </w:r>
      <w:r w:rsidR="00D15D3A" w:rsidRPr="008B1975">
        <w:t>i</w:t>
      </w:r>
      <w:r w:rsidRPr="008B1975">
        <w:t>)</w:t>
      </w:r>
      <w:r w:rsidRPr="008B1975">
        <w:tab/>
        <w:t>is flat and stable; and</w:t>
      </w:r>
    </w:p>
    <w:p w14:paraId="40E37CA5" w14:textId="77777777" w:rsidR="00AC41B5" w:rsidRPr="008B1975" w:rsidRDefault="00AC41B5" w:rsidP="00D15D3A">
      <w:pPr>
        <w:pStyle w:val="paragraphsub"/>
      </w:pPr>
      <w:r w:rsidRPr="008B1975">
        <w:tab/>
        <w:t>(</w:t>
      </w:r>
      <w:r w:rsidR="00D15D3A" w:rsidRPr="008B1975">
        <w:t>ii</w:t>
      </w:r>
      <w:r w:rsidRPr="008B1975">
        <w:t>)</w:t>
      </w:r>
      <w:r w:rsidRPr="008B1975">
        <w:tab/>
        <w:t>is suitable for a wheelchair or mobility aid; and</w:t>
      </w:r>
    </w:p>
    <w:p w14:paraId="723199EF" w14:textId="77777777" w:rsidR="00AC41B5" w:rsidRPr="008B1975" w:rsidRDefault="00AC41B5" w:rsidP="00D15D3A">
      <w:pPr>
        <w:pStyle w:val="paragraphsub"/>
      </w:pPr>
      <w:r w:rsidRPr="008B1975">
        <w:tab/>
        <w:t>(</w:t>
      </w:r>
      <w:r w:rsidR="00D15D3A" w:rsidRPr="008B1975">
        <w:t>iii</w:t>
      </w:r>
      <w:r w:rsidRPr="008B1975">
        <w:t>)</w:t>
      </w:r>
      <w:r w:rsidRPr="008B1975">
        <w:tab/>
        <w:t>does not overlap with an access path</w:t>
      </w:r>
      <w:r w:rsidR="00D15D3A" w:rsidRPr="008B1975">
        <w:t>.</w:t>
      </w:r>
    </w:p>
    <w:p w14:paraId="73EB576A" w14:textId="7067F8C9" w:rsidR="00764253" w:rsidRPr="008B1975" w:rsidRDefault="00764253" w:rsidP="00764253">
      <w:pPr>
        <w:pStyle w:val="notetext"/>
      </w:pPr>
      <w:r w:rsidRPr="008B1975">
        <w:t>Note:</w:t>
      </w:r>
      <w:r w:rsidRPr="008B1975">
        <w:tab/>
        <w:t>This subsection applies after the end of the 5-year transitional period to existing resting points: see section 35.7.</w:t>
      </w:r>
    </w:p>
    <w:p w14:paraId="2685656F" w14:textId="77777777" w:rsidR="00734B02" w:rsidRPr="008B1975" w:rsidRDefault="00B877DA" w:rsidP="00B877DA">
      <w:pPr>
        <w:pStyle w:val="ItemHead"/>
      </w:pPr>
      <w:bookmarkStart w:id="68" w:name="_Ref185327596"/>
      <w:r w:rsidRPr="008B1975">
        <w:t xml:space="preserve">2  </w:t>
      </w:r>
      <w:r w:rsidR="00734B02" w:rsidRPr="008B1975">
        <w:t>Section 5.1 (table)</w:t>
      </w:r>
      <w:bookmarkEnd w:id="68"/>
    </w:p>
    <w:p w14:paraId="66912AC3" w14:textId="77777777" w:rsidR="00734B02" w:rsidRPr="008B1975" w:rsidRDefault="00734B02" w:rsidP="00734B02">
      <w:pPr>
        <w:pStyle w:val="Item"/>
      </w:pPr>
      <w:r w:rsidRPr="008B1975">
        <w:t>Repeal the table, substitute:</w:t>
      </w:r>
    </w:p>
    <w:p w14:paraId="6A227A11" w14:textId="77777777" w:rsidR="00734B02" w:rsidRPr="008B1975" w:rsidRDefault="00734B02" w:rsidP="00734B02">
      <w:pPr>
        <w:pStyle w:val="subsection"/>
      </w:pPr>
      <w:r w:rsidRPr="008B1975">
        <w:tab/>
        <w:t>(3)</w:t>
      </w:r>
      <w:r w:rsidRPr="008B1975">
        <w:tab/>
        <w:t>The following table specifies conveyances, premises and infrastructure this section applies to.</w:t>
      </w:r>
    </w:p>
    <w:p w14:paraId="47B1C859" w14:textId="77777777" w:rsidR="00734B02" w:rsidRPr="008B1975" w:rsidRDefault="00734B02" w:rsidP="00734B0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1C2B282E"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0A5FE6EF" w14:textId="77777777" w:rsidR="00734B02" w:rsidRPr="008B1975" w:rsidRDefault="00734B02" w:rsidP="005606F7">
            <w:pPr>
              <w:pStyle w:val="TableHeading"/>
            </w:pPr>
            <w:r w:rsidRPr="008B1975">
              <w:t>Application of this section</w:t>
            </w:r>
          </w:p>
        </w:tc>
      </w:tr>
      <w:tr w:rsidR="00734B02" w:rsidRPr="008B1975" w14:paraId="2B70E24F" w14:textId="77777777" w:rsidTr="00B9444D">
        <w:trPr>
          <w:trHeight w:val="300"/>
          <w:tblHeader/>
        </w:trPr>
        <w:tc>
          <w:tcPr>
            <w:tcW w:w="1667" w:type="pct"/>
            <w:tcBorders>
              <w:top w:val="single" w:sz="6" w:space="0" w:color="auto"/>
              <w:left w:val="nil"/>
              <w:bottom w:val="single" w:sz="12" w:space="0" w:color="auto"/>
              <w:right w:val="nil"/>
            </w:tcBorders>
            <w:hideMark/>
          </w:tcPr>
          <w:p w14:paraId="3EB13FE2" w14:textId="77777777" w:rsidR="00734B02" w:rsidRPr="008B1975" w:rsidRDefault="00734B0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30EC8C68" w14:textId="77777777" w:rsidR="00734B02" w:rsidRPr="008B1975" w:rsidRDefault="00734B0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7DD33A4F" w14:textId="77777777" w:rsidR="00734B02" w:rsidRPr="008B1975" w:rsidRDefault="00734B02" w:rsidP="005606F7">
            <w:pPr>
              <w:pStyle w:val="TableHeading"/>
            </w:pPr>
            <w:r w:rsidRPr="008B1975">
              <w:t>Infrastructure</w:t>
            </w:r>
          </w:p>
        </w:tc>
      </w:tr>
      <w:tr w:rsidR="00734B02" w:rsidRPr="008B1975" w14:paraId="7999AC04" w14:textId="77777777" w:rsidTr="00B9444D">
        <w:trPr>
          <w:trHeight w:val="300"/>
        </w:trPr>
        <w:tc>
          <w:tcPr>
            <w:tcW w:w="1667" w:type="pct"/>
            <w:tcBorders>
              <w:top w:val="single" w:sz="12" w:space="0" w:color="auto"/>
              <w:left w:val="nil"/>
              <w:bottom w:val="single" w:sz="12" w:space="0" w:color="auto"/>
              <w:right w:val="nil"/>
            </w:tcBorders>
            <w:hideMark/>
          </w:tcPr>
          <w:p w14:paraId="24A6C30C" w14:textId="77777777" w:rsidR="00734B02" w:rsidRPr="008B1975" w:rsidRDefault="00734B02" w:rsidP="005606F7">
            <w:pPr>
              <w:pStyle w:val="Tablea"/>
            </w:pPr>
            <w:r w:rsidRPr="008B1975">
              <w:t>None</w:t>
            </w:r>
          </w:p>
        </w:tc>
        <w:tc>
          <w:tcPr>
            <w:tcW w:w="1667" w:type="pct"/>
            <w:tcBorders>
              <w:top w:val="single" w:sz="12" w:space="0" w:color="auto"/>
              <w:left w:val="nil"/>
              <w:bottom w:val="single" w:sz="12" w:space="0" w:color="auto"/>
              <w:right w:val="nil"/>
            </w:tcBorders>
            <w:hideMark/>
          </w:tcPr>
          <w:p w14:paraId="2C956EBD" w14:textId="77777777" w:rsidR="00734B02" w:rsidRPr="008B1975" w:rsidRDefault="00FF0A44" w:rsidP="005606F7">
            <w:pPr>
              <w:pStyle w:val="Tabletext"/>
            </w:pPr>
            <w:r w:rsidRPr="008B1975">
              <w:t>All</w:t>
            </w:r>
          </w:p>
        </w:tc>
        <w:tc>
          <w:tcPr>
            <w:tcW w:w="1667" w:type="pct"/>
            <w:tcBorders>
              <w:top w:val="single" w:sz="12" w:space="0" w:color="auto"/>
              <w:left w:val="nil"/>
              <w:bottom w:val="single" w:sz="12" w:space="0" w:color="auto"/>
              <w:right w:val="nil"/>
            </w:tcBorders>
            <w:hideMark/>
          </w:tcPr>
          <w:p w14:paraId="7BC61828" w14:textId="77777777" w:rsidR="00734B02" w:rsidRPr="008B1975" w:rsidRDefault="00734B02" w:rsidP="005606F7">
            <w:pPr>
              <w:pStyle w:val="Tabletext"/>
            </w:pPr>
            <w:r w:rsidRPr="008B1975">
              <w:t>All</w:t>
            </w:r>
          </w:p>
        </w:tc>
      </w:tr>
    </w:tbl>
    <w:p w14:paraId="17690E77" w14:textId="77777777" w:rsidR="00A35350" w:rsidRPr="008B1975" w:rsidRDefault="00A35350">
      <w:pPr>
        <w:spacing w:line="240" w:lineRule="auto"/>
        <w:rPr>
          <w:rFonts w:ascii="Arial" w:eastAsia="Times New Roman" w:hAnsi="Arial" w:cs="Times New Roman"/>
          <w:b/>
          <w:kern w:val="28"/>
          <w:sz w:val="32"/>
          <w:lang w:eastAsia="en-AU"/>
        </w:rPr>
      </w:pPr>
      <w:r w:rsidRPr="008B1975">
        <w:br w:type="page"/>
      </w:r>
    </w:p>
    <w:p w14:paraId="345CAC32" w14:textId="77777777" w:rsidR="00182C6D" w:rsidRPr="008B1975" w:rsidRDefault="00182C6D" w:rsidP="00A35350">
      <w:pPr>
        <w:pStyle w:val="ActHead6"/>
        <w:rPr>
          <w:rStyle w:val="CharAmSchText"/>
        </w:rPr>
      </w:pPr>
      <w:bookmarkStart w:id="69" w:name="_Toc197178940"/>
      <w:r w:rsidRPr="008B1975">
        <w:lastRenderedPageBreak/>
        <w:t>S</w:t>
      </w:r>
      <w:r w:rsidRPr="008B1975">
        <w:rPr>
          <w:rStyle w:val="CharAmSchText"/>
        </w:rPr>
        <w:t>chedule 6—Part 6 (R</w:t>
      </w:r>
      <w:r w:rsidR="00824838" w:rsidRPr="008B1975">
        <w:rPr>
          <w:rStyle w:val="CharAmSchText"/>
        </w:rPr>
        <w:t>amp</w:t>
      </w:r>
      <w:r w:rsidRPr="008B1975">
        <w:rPr>
          <w:rStyle w:val="CharAmSchText"/>
        </w:rPr>
        <w:t>s) Amendments</w:t>
      </w:r>
      <w:bookmarkEnd w:id="69"/>
    </w:p>
    <w:p w14:paraId="6246C025" w14:textId="77777777" w:rsidR="00182C6D" w:rsidRPr="008B1975" w:rsidRDefault="00182C6D" w:rsidP="00182C6D">
      <w:pPr>
        <w:pStyle w:val="ActHead9"/>
      </w:pPr>
      <w:bookmarkStart w:id="70" w:name="_Toc197178941"/>
      <w:r w:rsidRPr="008B1975">
        <w:t>Disability Standards for Accessible Public Transport 2002</w:t>
      </w:r>
      <w:bookmarkEnd w:id="70"/>
    </w:p>
    <w:p w14:paraId="4F463E4E" w14:textId="77777777" w:rsidR="00734B02" w:rsidRPr="008B1975" w:rsidRDefault="00B877DA" w:rsidP="000A511B">
      <w:pPr>
        <w:pStyle w:val="ItemHead"/>
      </w:pPr>
      <w:bookmarkStart w:id="71" w:name="_Ref185327642"/>
      <w:r w:rsidRPr="008B1975">
        <w:t>1</w:t>
      </w:r>
      <w:r w:rsidR="000A511B" w:rsidRPr="008B1975">
        <w:t xml:space="preserve">  </w:t>
      </w:r>
      <w:r w:rsidR="00734B02" w:rsidRPr="008B1975">
        <w:t>Section 6.1</w:t>
      </w:r>
      <w:bookmarkEnd w:id="71"/>
    </w:p>
    <w:p w14:paraId="54D121A2" w14:textId="77777777" w:rsidR="00734B02" w:rsidRPr="008B1975" w:rsidRDefault="00734B02" w:rsidP="00734B02">
      <w:pPr>
        <w:pStyle w:val="Item"/>
      </w:pPr>
      <w:r w:rsidRPr="008B1975">
        <w:t>Before “A”, insert “(1).</w:t>
      </w:r>
    </w:p>
    <w:p w14:paraId="760421E2" w14:textId="77777777" w:rsidR="00734B02" w:rsidRPr="008B1975" w:rsidRDefault="00B877DA" w:rsidP="000A511B">
      <w:pPr>
        <w:pStyle w:val="ItemHead"/>
      </w:pPr>
      <w:bookmarkStart w:id="72" w:name="_Ref185327644"/>
      <w:r w:rsidRPr="008B1975">
        <w:t>2</w:t>
      </w:r>
      <w:r w:rsidR="000A511B" w:rsidRPr="008B1975">
        <w:t xml:space="preserve">  </w:t>
      </w:r>
      <w:r w:rsidR="00734B02" w:rsidRPr="008B1975">
        <w:t>Section 6.1 (table)</w:t>
      </w:r>
      <w:bookmarkEnd w:id="72"/>
    </w:p>
    <w:p w14:paraId="1794D9BC" w14:textId="77777777" w:rsidR="00734B02" w:rsidRPr="008B1975" w:rsidRDefault="00734B02" w:rsidP="00734B02">
      <w:pPr>
        <w:pStyle w:val="Item"/>
      </w:pPr>
      <w:r w:rsidRPr="008B1975">
        <w:t>Repeal the table, substitute:</w:t>
      </w:r>
    </w:p>
    <w:p w14:paraId="4471B3E0" w14:textId="77777777" w:rsidR="00734B02" w:rsidRPr="008B1975" w:rsidRDefault="00734B02" w:rsidP="00734B02">
      <w:pPr>
        <w:pStyle w:val="subsection"/>
      </w:pPr>
      <w:r w:rsidRPr="008B1975">
        <w:tab/>
        <w:t>(2)</w:t>
      </w:r>
      <w:r w:rsidRPr="008B1975">
        <w:tab/>
        <w:t>The following table specifies conveyances, premises and infrastructure this section applies to.</w:t>
      </w:r>
    </w:p>
    <w:p w14:paraId="590E6327" w14:textId="77777777" w:rsidR="00734B02" w:rsidRPr="008B1975" w:rsidRDefault="00734B02" w:rsidP="00734B0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34B02" w:rsidRPr="008B1975" w14:paraId="213EB109"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17FEB3A6" w14:textId="77777777" w:rsidR="00734B02" w:rsidRPr="008B1975" w:rsidRDefault="00734B02" w:rsidP="005606F7">
            <w:pPr>
              <w:pStyle w:val="TableHeading"/>
            </w:pPr>
            <w:r w:rsidRPr="008B1975">
              <w:t>Application of this section</w:t>
            </w:r>
          </w:p>
        </w:tc>
      </w:tr>
      <w:tr w:rsidR="00734B02" w:rsidRPr="008B1975" w14:paraId="2256C064" w14:textId="77777777" w:rsidTr="00B9444D">
        <w:trPr>
          <w:trHeight w:val="300"/>
          <w:tblHeader/>
        </w:trPr>
        <w:tc>
          <w:tcPr>
            <w:tcW w:w="1667" w:type="pct"/>
            <w:tcBorders>
              <w:top w:val="single" w:sz="6" w:space="0" w:color="auto"/>
              <w:left w:val="nil"/>
              <w:bottom w:val="single" w:sz="12" w:space="0" w:color="auto"/>
              <w:right w:val="nil"/>
            </w:tcBorders>
            <w:hideMark/>
          </w:tcPr>
          <w:p w14:paraId="7D1A75EA" w14:textId="77777777" w:rsidR="00734B02" w:rsidRPr="008B1975" w:rsidRDefault="00734B0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7B2A956E" w14:textId="77777777" w:rsidR="00734B02" w:rsidRPr="008B1975" w:rsidRDefault="00734B0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2BB38DE1" w14:textId="77777777" w:rsidR="00734B02" w:rsidRPr="008B1975" w:rsidRDefault="00734B02" w:rsidP="005606F7">
            <w:pPr>
              <w:pStyle w:val="TableHeading"/>
            </w:pPr>
            <w:r w:rsidRPr="008B1975">
              <w:t>Infrastructure</w:t>
            </w:r>
          </w:p>
        </w:tc>
      </w:tr>
      <w:tr w:rsidR="00734B02" w:rsidRPr="008B1975" w14:paraId="0BC1B337" w14:textId="77777777" w:rsidTr="00B9444D">
        <w:trPr>
          <w:trHeight w:val="300"/>
        </w:trPr>
        <w:tc>
          <w:tcPr>
            <w:tcW w:w="1667" w:type="pct"/>
            <w:tcBorders>
              <w:top w:val="single" w:sz="12" w:space="0" w:color="auto"/>
              <w:left w:val="nil"/>
              <w:bottom w:val="single" w:sz="12" w:space="0" w:color="auto"/>
              <w:right w:val="nil"/>
            </w:tcBorders>
            <w:hideMark/>
          </w:tcPr>
          <w:p w14:paraId="751F7306" w14:textId="77777777" w:rsidR="00734B02" w:rsidRPr="008B1975" w:rsidRDefault="00734B02" w:rsidP="00A77A4A">
            <w:pPr>
              <w:pStyle w:val="Tabletext"/>
            </w:pPr>
            <w:r w:rsidRPr="008B1975">
              <w:t>None</w:t>
            </w:r>
          </w:p>
        </w:tc>
        <w:tc>
          <w:tcPr>
            <w:tcW w:w="1667" w:type="pct"/>
            <w:tcBorders>
              <w:top w:val="single" w:sz="12" w:space="0" w:color="auto"/>
              <w:left w:val="nil"/>
              <w:bottom w:val="single" w:sz="12" w:space="0" w:color="auto"/>
              <w:right w:val="nil"/>
            </w:tcBorders>
            <w:hideMark/>
          </w:tcPr>
          <w:p w14:paraId="528C9DF2" w14:textId="77777777" w:rsidR="00734B02" w:rsidRPr="008B1975" w:rsidRDefault="00734B02" w:rsidP="005606F7">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779434FD" w14:textId="77777777" w:rsidR="00734B02" w:rsidRPr="008B1975" w:rsidRDefault="00734B02" w:rsidP="005606F7">
            <w:pPr>
              <w:pStyle w:val="Tabletext"/>
            </w:pPr>
            <w:r w:rsidRPr="008B1975">
              <w:t>All</w:t>
            </w:r>
          </w:p>
        </w:tc>
      </w:tr>
    </w:tbl>
    <w:p w14:paraId="21050EA3" w14:textId="77777777" w:rsidR="00182C6D" w:rsidRPr="008B1975" w:rsidRDefault="000A511B" w:rsidP="000A511B">
      <w:pPr>
        <w:pStyle w:val="ItemHead"/>
      </w:pPr>
      <w:bookmarkStart w:id="73" w:name="_Ref185327757"/>
      <w:r w:rsidRPr="008B1975">
        <w:t xml:space="preserve">3  </w:t>
      </w:r>
      <w:r w:rsidR="00182C6D" w:rsidRPr="008B1975">
        <w:t>Sections 6.2 to 6.4</w:t>
      </w:r>
      <w:bookmarkEnd w:id="73"/>
      <w:r w:rsidR="00182C6D" w:rsidRPr="008B1975">
        <w:t xml:space="preserve"> </w:t>
      </w:r>
    </w:p>
    <w:p w14:paraId="5A0F4BE5" w14:textId="77777777" w:rsidR="00182C6D" w:rsidRPr="008B1975" w:rsidRDefault="00182C6D" w:rsidP="00182C6D">
      <w:pPr>
        <w:pStyle w:val="Item"/>
      </w:pPr>
      <w:r w:rsidRPr="008B1975">
        <w:t>Repeal the sections.</w:t>
      </w:r>
    </w:p>
    <w:p w14:paraId="17DF7160" w14:textId="77777777" w:rsidR="00FB42CC" w:rsidRPr="008B1975" w:rsidRDefault="000A511B" w:rsidP="000A511B">
      <w:pPr>
        <w:pStyle w:val="ItemHead"/>
      </w:pPr>
      <w:bookmarkStart w:id="74" w:name="_Ref180428271"/>
      <w:r w:rsidRPr="008B1975">
        <w:t xml:space="preserve">4  </w:t>
      </w:r>
      <w:r w:rsidR="00FB42CC" w:rsidRPr="008B1975">
        <w:t>Section 6.5</w:t>
      </w:r>
      <w:bookmarkEnd w:id="74"/>
    </w:p>
    <w:p w14:paraId="720D39E7" w14:textId="77777777" w:rsidR="00FB42CC" w:rsidRPr="008B1975" w:rsidRDefault="00A92EBD" w:rsidP="00FB42CC">
      <w:pPr>
        <w:pStyle w:val="Item"/>
        <w:rPr>
          <w:color w:val="000000" w:themeColor="text1"/>
        </w:rPr>
      </w:pPr>
      <w:r w:rsidRPr="008B1975">
        <w:rPr>
          <w:color w:val="000000" w:themeColor="text1"/>
        </w:rPr>
        <w:t>Repeal the</w:t>
      </w:r>
      <w:r w:rsidR="00325ABB" w:rsidRPr="008B1975">
        <w:rPr>
          <w:color w:val="000000" w:themeColor="text1"/>
        </w:rPr>
        <w:t xml:space="preserve"> </w:t>
      </w:r>
      <w:r w:rsidR="00D15D3A" w:rsidRPr="008B1975">
        <w:t>section</w:t>
      </w:r>
      <w:r w:rsidRPr="008B1975">
        <w:rPr>
          <w:color w:val="000000" w:themeColor="text1"/>
        </w:rPr>
        <w:t>, substitute:</w:t>
      </w:r>
    </w:p>
    <w:p w14:paraId="00733E72" w14:textId="77777777" w:rsidR="00325ABB" w:rsidRPr="008B1975" w:rsidRDefault="00325ABB" w:rsidP="00267956">
      <w:pPr>
        <w:pStyle w:val="ActHead5"/>
        <w:outlineLvl w:val="9"/>
      </w:pPr>
      <w:bookmarkStart w:id="75" w:name="_Toc190851419"/>
      <w:r w:rsidRPr="008B1975">
        <w:t>6.5  Slope of fixed gangways connected to pontoon wharves</w:t>
      </w:r>
      <w:bookmarkEnd w:id="75"/>
    </w:p>
    <w:p w14:paraId="602F41B3" w14:textId="77777777" w:rsidR="00FB42CC" w:rsidRPr="008B1975" w:rsidRDefault="00D70B62" w:rsidP="00FB42CC">
      <w:pPr>
        <w:pStyle w:val="subsection"/>
      </w:pPr>
      <w:r w:rsidRPr="008B1975">
        <w:tab/>
        <w:t>(</w:t>
      </w:r>
      <w:r w:rsidR="00D15D3A" w:rsidRPr="008B1975">
        <w:t>1</w:t>
      </w:r>
      <w:r w:rsidRPr="008B1975">
        <w:t>)</w:t>
      </w:r>
      <w:r w:rsidRPr="008B1975">
        <w:tab/>
        <w:t>O</w:t>
      </w:r>
      <w:r w:rsidR="00FB42CC" w:rsidRPr="008B1975">
        <w:t>perators and providers must ensure that fixed gangways connected to pontoon wharves maintain a 1:14 gradient for at least 80% of the high and low tide levels.</w:t>
      </w:r>
    </w:p>
    <w:p w14:paraId="0FF86944" w14:textId="77777777" w:rsidR="00FB42CC" w:rsidRPr="008B1975" w:rsidRDefault="00FB42CC" w:rsidP="00FB42CC">
      <w:pPr>
        <w:pStyle w:val="subsection"/>
      </w:pPr>
      <w:r w:rsidRPr="008B1975">
        <w:tab/>
      </w:r>
      <w:r w:rsidR="00D70B62" w:rsidRPr="008B1975">
        <w:t>(</w:t>
      </w:r>
      <w:r w:rsidR="00D15D3A" w:rsidRPr="008B1975">
        <w:t>2</w:t>
      </w:r>
      <w:r w:rsidR="00D70B62" w:rsidRPr="008B1975">
        <w:t>)</w:t>
      </w:r>
      <w:r w:rsidRPr="008B1975">
        <w:tab/>
        <w:t>For the purposes of subsection</w:t>
      </w:r>
      <w:r w:rsidR="00D70B62" w:rsidRPr="008B1975">
        <w:t xml:space="preserve"> (</w:t>
      </w:r>
      <w:r w:rsidR="006E684F" w:rsidRPr="008B1975">
        <w:rPr>
          <w:color w:val="000000" w:themeColor="text1"/>
        </w:rPr>
        <w:t>1</w:t>
      </w:r>
      <w:r w:rsidR="00D70B62" w:rsidRPr="008B1975">
        <w:t>)</w:t>
      </w:r>
      <w:r w:rsidRPr="008B1975">
        <w:t>, the chart datum point from which the gradient of the fixed gangway is to be measured must be calculated in accordance with clause 1.3.15 of AS 3962 (2001).</w:t>
      </w:r>
    </w:p>
    <w:p w14:paraId="47EB1099" w14:textId="77777777" w:rsidR="00D70B62" w:rsidRPr="008B1975" w:rsidRDefault="00D70B62" w:rsidP="00D70B62">
      <w:pPr>
        <w:pStyle w:val="subsection"/>
      </w:pPr>
      <w:r w:rsidRPr="008B1975">
        <w:tab/>
        <w:t>(</w:t>
      </w:r>
      <w:r w:rsidR="00D15D3A" w:rsidRPr="008B1975">
        <w:t>3</w:t>
      </w:r>
      <w:r w:rsidRPr="008B1975">
        <w:t>)</w:t>
      </w:r>
      <w:r w:rsidRPr="008B1975">
        <w:tab/>
        <w:t>The following table specifies conveyances, premises and infrastructure this section applies to.</w:t>
      </w:r>
    </w:p>
    <w:p w14:paraId="1FE88E95" w14:textId="77777777" w:rsidR="00D70B62" w:rsidRPr="008B1975" w:rsidRDefault="00D70B62" w:rsidP="00D70B6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70B62" w:rsidRPr="008B1975" w14:paraId="5C5D5D92" w14:textId="77777777" w:rsidTr="00796FA5">
        <w:trPr>
          <w:trHeight w:val="300"/>
          <w:tblHeader/>
        </w:trPr>
        <w:tc>
          <w:tcPr>
            <w:tcW w:w="5000" w:type="pct"/>
            <w:gridSpan w:val="3"/>
            <w:tcBorders>
              <w:top w:val="single" w:sz="12" w:space="0" w:color="auto"/>
              <w:left w:val="nil"/>
              <w:bottom w:val="single" w:sz="6" w:space="0" w:color="auto"/>
              <w:right w:val="nil"/>
            </w:tcBorders>
            <w:hideMark/>
          </w:tcPr>
          <w:p w14:paraId="37B2AB2B" w14:textId="77777777" w:rsidR="00D70B62" w:rsidRPr="008B1975" w:rsidRDefault="00D70B62" w:rsidP="00796FA5">
            <w:pPr>
              <w:pStyle w:val="TableHeading"/>
            </w:pPr>
            <w:r w:rsidRPr="008B1975">
              <w:t>Application of this section</w:t>
            </w:r>
          </w:p>
        </w:tc>
      </w:tr>
      <w:tr w:rsidR="00D70B62" w:rsidRPr="008B1975" w14:paraId="441CFF91" w14:textId="77777777" w:rsidTr="00B9444D">
        <w:trPr>
          <w:trHeight w:val="300"/>
          <w:tblHeader/>
        </w:trPr>
        <w:tc>
          <w:tcPr>
            <w:tcW w:w="1667" w:type="pct"/>
            <w:tcBorders>
              <w:top w:val="single" w:sz="6" w:space="0" w:color="auto"/>
              <w:left w:val="nil"/>
              <w:bottom w:val="single" w:sz="12" w:space="0" w:color="auto"/>
              <w:right w:val="nil"/>
            </w:tcBorders>
            <w:hideMark/>
          </w:tcPr>
          <w:p w14:paraId="04DB98C9" w14:textId="77777777" w:rsidR="00D70B62" w:rsidRPr="008B1975" w:rsidRDefault="00D70B62" w:rsidP="00796FA5">
            <w:pPr>
              <w:pStyle w:val="TableHeading"/>
            </w:pPr>
            <w:r w:rsidRPr="008B1975">
              <w:t>Conveyances</w:t>
            </w:r>
          </w:p>
        </w:tc>
        <w:tc>
          <w:tcPr>
            <w:tcW w:w="1667" w:type="pct"/>
            <w:tcBorders>
              <w:top w:val="single" w:sz="6" w:space="0" w:color="auto"/>
              <w:left w:val="nil"/>
              <w:bottom w:val="single" w:sz="12" w:space="0" w:color="auto"/>
              <w:right w:val="nil"/>
            </w:tcBorders>
            <w:hideMark/>
          </w:tcPr>
          <w:p w14:paraId="77811C53" w14:textId="77777777" w:rsidR="00D70B62" w:rsidRPr="008B1975" w:rsidRDefault="00D70B62" w:rsidP="00796FA5">
            <w:pPr>
              <w:pStyle w:val="TableHeading"/>
            </w:pPr>
            <w:r w:rsidRPr="008B1975">
              <w:t>Premises</w:t>
            </w:r>
          </w:p>
        </w:tc>
        <w:tc>
          <w:tcPr>
            <w:tcW w:w="1667" w:type="pct"/>
            <w:tcBorders>
              <w:top w:val="single" w:sz="6" w:space="0" w:color="auto"/>
              <w:left w:val="nil"/>
              <w:bottom w:val="single" w:sz="12" w:space="0" w:color="auto"/>
              <w:right w:val="nil"/>
            </w:tcBorders>
            <w:hideMark/>
          </w:tcPr>
          <w:p w14:paraId="2F289D08" w14:textId="77777777" w:rsidR="00D70B62" w:rsidRPr="008B1975" w:rsidRDefault="00D70B62" w:rsidP="00796FA5">
            <w:pPr>
              <w:pStyle w:val="TableHeading"/>
            </w:pPr>
            <w:r w:rsidRPr="008B1975">
              <w:t>Infrastructure</w:t>
            </w:r>
          </w:p>
        </w:tc>
      </w:tr>
      <w:tr w:rsidR="00D70B62" w:rsidRPr="008B1975" w14:paraId="4539E369" w14:textId="77777777" w:rsidTr="00B9444D">
        <w:trPr>
          <w:trHeight w:val="300"/>
        </w:trPr>
        <w:tc>
          <w:tcPr>
            <w:tcW w:w="1667" w:type="pct"/>
            <w:tcBorders>
              <w:top w:val="single" w:sz="12" w:space="0" w:color="auto"/>
              <w:left w:val="nil"/>
              <w:bottom w:val="single" w:sz="12" w:space="0" w:color="auto"/>
              <w:right w:val="nil"/>
            </w:tcBorders>
            <w:hideMark/>
          </w:tcPr>
          <w:p w14:paraId="27853857" w14:textId="77777777" w:rsidR="00D70B62" w:rsidRPr="008B1975" w:rsidRDefault="00D70B62" w:rsidP="00796FA5">
            <w:pPr>
              <w:pStyle w:val="Tablea"/>
            </w:pPr>
            <w:r w:rsidRPr="008B1975">
              <w:t>None</w:t>
            </w:r>
          </w:p>
        </w:tc>
        <w:tc>
          <w:tcPr>
            <w:tcW w:w="1667" w:type="pct"/>
            <w:tcBorders>
              <w:top w:val="single" w:sz="12" w:space="0" w:color="auto"/>
              <w:left w:val="nil"/>
              <w:bottom w:val="single" w:sz="12" w:space="0" w:color="auto"/>
              <w:right w:val="nil"/>
            </w:tcBorders>
            <w:hideMark/>
          </w:tcPr>
          <w:p w14:paraId="3CCF3334" w14:textId="77777777" w:rsidR="00D70B62" w:rsidRPr="008B1975" w:rsidRDefault="00D70B62" w:rsidP="00796FA5">
            <w:pPr>
              <w:pStyle w:val="Tabletext"/>
            </w:pPr>
            <w:r w:rsidRPr="008B1975">
              <w:t>None</w:t>
            </w:r>
          </w:p>
        </w:tc>
        <w:tc>
          <w:tcPr>
            <w:tcW w:w="1667" w:type="pct"/>
            <w:tcBorders>
              <w:top w:val="single" w:sz="12" w:space="0" w:color="auto"/>
              <w:left w:val="nil"/>
              <w:bottom w:val="single" w:sz="12" w:space="0" w:color="auto"/>
              <w:right w:val="nil"/>
            </w:tcBorders>
            <w:hideMark/>
          </w:tcPr>
          <w:p w14:paraId="73EC244F" w14:textId="77777777" w:rsidR="00D70B62" w:rsidRPr="008B1975" w:rsidRDefault="00D70B62" w:rsidP="00796FA5">
            <w:pPr>
              <w:pStyle w:val="Tabletext"/>
            </w:pPr>
            <w:r w:rsidRPr="008B1975">
              <w:t>Pontoon wharves</w:t>
            </w:r>
          </w:p>
        </w:tc>
      </w:tr>
    </w:tbl>
    <w:p w14:paraId="58D5FE99" w14:textId="77777777" w:rsidR="00A35350" w:rsidRPr="008B1975" w:rsidRDefault="00A35350">
      <w:pPr>
        <w:spacing w:line="240" w:lineRule="auto"/>
        <w:rPr>
          <w:rFonts w:ascii="Arial" w:eastAsia="Times New Roman" w:hAnsi="Arial" w:cs="Times New Roman"/>
          <w:b/>
          <w:kern w:val="28"/>
          <w:sz w:val="32"/>
          <w:lang w:eastAsia="en-AU"/>
        </w:rPr>
      </w:pPr>
      <w:r w:rsidRPr="008B1975">
        <w:br w:type="page"/>
      </w:r>
    </w:p>
    <w:p w14:paraId="24950A0D" w14:textId="77777777" w:rsidR="001B1375" w:rsidRPr="008B1975" w:rsidRDefault="001B1375" w:rsidP="00A35350">
      <w:pPr>
        <w:pStyle w:val="ActHead6"/>
        <w:rPr>
          <w:rStyle w:val="CharAmSchText"/>
        </w:rPr>
      </w:pPr>
      <w:bookmarkStart w:id="76" w:name="_Toc197178942"/>
      <w:r w:rsidRPr="008B1975">
        <w:lastRenderedPageBreak/>
        <w:t>Schedule 7—Part 7 (</w:t>
      </w:r>
      <w:r w:rsidR="00824838" w:rsidRPr="008B1975">
        <w:t>Waiting areas</w:t>
      </w:r>
      <w:r w:rsidRPr="008B1975">
        <w:t>)</w:t>
      </w:r>
      <w:r w:rsidRPr="008B1975">
        <w:rPr>
          <w:rStyle w:val="CharAmSchText"/>
        </w:rPr>
        <w:t xml:space="preserve"> </w:t>
      </w:r>
      <w:r w:rsidRPr="008B1975">
        <w:t>Amendments</w:t>
      </w:r>
      <w:bookmarkEnd w:id="76"/>
    </w:p>
    <w:p w14:paraId="04AF5FBB" w14:textId="77777777" w:rsidR="001B1375" w:rsidRPr="008B1975" w:rsidRDefault="001B1375" w:rsidP="001B1375">
      <w:pPr>
        <w:pStyle w:val="ActHead9"/>
      </w:pPr>
      <w:bookmarkStart w:id="77" w:name="_Toc197178943"/>
      <w:r w:rsidRPr="008B1975">
        <w:t>Disability Standards for Accessible Public Transport 2002</w:t>
      </w:r>
      <w:bookmarkEnd w:id="77"/>
    </w:p>
    <w:p w14:paraId="56F83597" w14:textId="77777777" w:rsidR="006D6AB2" w:rsidRPr="008B1975" w:rsidRDefault="000A511B" w:rsidP="000A511B">
      <w:pPr>
        <w:pStyle w:val="ItemHead"/>
      </w:pPr>
      <w:bookmarkStart w:id="78" w:name="_Ref185328495"/>
      <w:r w:rsidRPr="008B1975">
        <w:t xml:space="preserve">1  </w:t>
      </w:r>
      <w:r w:rsidR="006D6AB2" w:rsidRPr="008B1975">
        <w:t>Section</w:t>
      </w:r>
      <w:r w:rsidR="00143CB0" w:rsidRPr="008B1975">
        <w:t>s</w:t>
      </w:r>
      <w:r w:rsidR="006D6AB2" w:rsidRPr="008B1975">
        <w:t xml:space="preserve"> 7.1</w:t>
      </w:r>
      <w:bookmarkEnd w:id="78"/>
      <w:r w:rsidR="00143CB0" w:rsidRPr="008B1975">
        <w:t xml:space="preserve"> and 7.2</w:t>
      </w:r>
    </w:p>
    <w:p w14:paraId="0B2CC597" w14:textId="77777777" w:rsidR="00143CB0" w:rsidRPr="008B1975" w:rsidRDefault="00143CB0" w:rsidP="00143CB0">
      <w:pPr>
        <w:pStyle w:val="Item"/>
      </w:pPr>
      <w:r w:rsidRPr="008B1975">
        <w:t>Repeal the sections, substitute:</w:t>
      </w:r>
    </w:p>
    <w:p w14:paraId="4FA4DC44" w14:textId="77777777" w:rsidR="00963644" w:rsidRPr="008B1975" w:rsidRDefault="00963644" w:rsidP="002C0244">
      <w:pPr>
        <w:pStyle w:val="ActHead5"/>
        <w:outlineLvl w:val="9"/>
      </w:pPr>
      <w:r w:rsidRPr="008B1975">
        <w:t>7.1</w:t>
      </w:r>
      <w:r w:rsidR="00143CB0" w:rsidRPr="008B1975">
        <w:t xml:space="preserve">  Minimum number of priority seats</w:t>
      </w:r>
      <w:r w:rsidR="00BF1C3D" w:rsidRPr="008B1975">
        <w:t xml:space="preserve"> and allocated spaces</w:t>
      </w:r>
    </w:p>
    <w:p w14:paraId="02A2EF34" w14:textId="77777777" w:rsidR="00143CB0" w:rsidRPr="008B1975" w:rsidRDefault="00143CB0" w:rsidP="00143CB0">
      <w:pPr>
        <w:pStyle w:val="subsection"/>
      </w:pPr>
      <w:r w:rsidRPr="008B1975">
        <w:tab/>
        <w:t>(1)</w:t>
      </w:r>
      <w:r w:rsidRPr="008B1975">
        <w:tab/>
        <w:t xml:space="preserve">If </w:t>
      </w:r>
      <w:r w:rsidR="00683CFF" w:rsidRPr="008B1975">
        <w:t xml:space="preserve">a </w:t>
      </w:r>
      <w:r w:rsidRPr="008B1975">
        <w:t xml:space="preserve">waiting area is provided with </w:t>
      </w:r>
      <w:r w:rsidR="005F5DB3" w:rsidRPr="008B1975">
        <w:t>non-</w:t>
      </w:r>
      <w:r w:rsidR="00AA6F9F" w:rsidRPr="008B1975">
        <w:t>priority</w:t>
      </w:r>
      <w:r w:rsidR="005F5DB3" w:rsidRPr="008B1975">
        <w:rPr>
          <w:i/>
        </w:rPr>
        <w:t xml:space="preserve"> </w:t>
      </w:r>
      <w:r w:rsidRPr="008B1975">
        <w:t xml:space="preserve">seats, there must </w:t>
      </w:r>
      <w:r w:rsidR="008574C3" w:rsidRPr="008B1975">
        <w:t xml:space="preserve">be </w:t>
      </w:r>
      <w:r w:rsidRPr="008B1975">
        <w:t>a minimum of 2 priority seats and 2 allocated spaces in the area.</w:t>
      </w:r>
    </w:p>
    <w:p w14:paraId="3FBF50D8" w14:textId="77777777" w:rsidR="00981729" w:rsidRPr="008B1975" w:rsidRDefault="00143CB0" w:rsidP="00981729">
      <w:pPr>
        <w:pStyle w:val="subsection"/>
      </w:pPr>
      <w:r w:rsidRPr="008B1975">
        <w:tab/>
        <w:t>(2)</w:t>
      </w:r>
      <w:r w:rsidRPr="008B1975">
        <w:tab/>
        <w:t xml:space="preserve">If </w:t>
      </w:r>
      <w:r w:rsidR="00683CFF" w:rsidRPr="008B1975">
        <w:t>a</w:t>
      </w:r>
      <w:r w:rsidRPr="008B1975">
        <w:t xml:space="preserve"> waiting area has</w:t>
      </w:r>
      <w:r w:rsidR="009B4CC8" w:rsidRPr="008B1975">
        <w:t xml:space="preserve"> </w:t>
      </w:r>
      <w:r w:rsidR="008574C3" w:rsidRPr="008B1975">
        <w:t>41</w:t>
      </w:r>
      <w:r w:rsidR="00981729" w:rsidRPr="008B1975">
        <w:t xml:space="preserve"> </w:t>
      </w:r>
      <w:r w:rsidR="005F5DB3" w:rsidRPr="008B1975">
        <w:t>non-</w:t>
      </w:r>
      <w:r w:rsidR="00AA6F9F" w:rsidRPr="008B1975">
        <w:t>priority</w:t>
      </w:r>
      <w:r w:rsidR="005F5DB3" w:rsidRPr="008B1975">
        <w:rPr>
          <w:i/>
        </w:rPr>
        <w:t xml:space="preserve"> </w:t>
      </w:r>
      <w:r w:rsidR="00981729" w:rsidRPr="008B1975">
        <w:t>seats</w:t>
      </w:r>
      <w:r w:rsidR="005F5DB3" w:rsidRPr="008B1975">
        <w:t xml:space="preserve"> or more</w:t>
      </w:r>
      <w:r w:rsidR="008574C3" w:rsidRPr="008B1975">
        <w:t>, the following must occur</w:t>
      </w:r>
      <w:r w:rsidR="005F5DB3" w:rsidRPr="008B1975">
        <w:t>:</w:t>
      </w:r>
    </w:p>
    <w:p w14:paraId="298D35BB" w14:textId="77777777" w:rsidR="00981729" w:rsidRPr="008B1975" w:rsidRDefault="00981729" w:rsidP="00981729">
      <w:pPr>
        <w:pStyle w:val="paragraph"/>
      </w:pPr>
      <w:r w:rsidRPr="008B1975">
        <w:tab/>
        <w:t>(a)</w:t>
      </w:r>
      <w:r w:rsidRPr="008B1975">
        <w:tab/>
        <w:t xml:space="preserve">an </w:t>
      </w:r>
      <w:r w:rsidR="00BF1C3D" w:rsidRPr="008B1975">
        <w:t xml:space="preserve">additional priority seat and allocated </w:t>
      </w:r>
      <w:r w:rsidR="00374BB5" w:rsidRPr="008B1975">
        <w:t>space beyond what is required by subsection (1)</w:t>
      </w:r>
      <w:r w:rsidR="00BF1C3D" w:rsidRPr="008B1975">
        <w:t xml:space="preserve"> must be provided</w:t>
      </w:r>
      <w:r w:rsidR="00003ABA" w:rsidRPr="008B1975">
        <w:t xml:space="preserve"> in the area;</w:t>
      </w:r>
    </w:p>
    <w:p w14:paraId="29530773" w14:textId="77777777" w:rsidR="009B4CC8" w:rsidRPr="008B1975" w:rsidRDefault="00981729" w:rsidP="00981729">
      <w:pPr>
        <w:pStyle w:val="paragraph"/>
      </w:pPr>
      <w:r w:rsidRPr="008B1975">
        <w:tab/>
        <w:t>(b)</w:t>
      </w:r>
      <w:r w:rsidRPr="008B1975">
        <w:tab/>
      </w:r>
      <w:r w:rsidR="005F5DB3" w:rsidRPr="008B1975">
        <w:t xml:space="preserve">for every </w:t>
      </w:r>
      <w:r w:rsidR="002D4888" w:rsidRPr="008B1975">
        <w:t>20</w:t>
      </w:r>
      <w:r w:rsidR="00C04A2A" w:rsidRPr="008B1975">
        <w:rPr>
          <w:vertAlign w:val="superscript"/>
        </w:rPr>
        <w:t xml:space="preserve"> </w:t>
      </w:r>
      <w:r w:rsidR="005F5DB3" w:rsidRPr="008B1975">
        <w:t>seat</w:t>
      </w:r>
      <w:r w:rsidR="00C04A2A" w:rsidRPr="008B1975">
        <w:t>s</w:t>
      </w:r>
      <w:r w:rsidR="005F5DB3" w:rsidRPr="008B1975">
        <w:t xml:space="preserve"> after the 4</w:t>
      </w:r>
      <w:r w:rsidR="002D4888" w:rsidRPr="008B1975">
        <w:t>1</w:t>
      </w:r>
      <w:r w:rsidR="002D4888" w:rsidRPr="008B1975">
        <w:rPr>
          <w:vertAlign w:val="superscript"/>
        </w:rPr>
        <w:t>st</w:t>
      </w:r>
      <w:r w:rsidR="005F5DB3" w:rsidRPr="008B1975">
        <w:t xml:space="preserve"> seat—</w:t>
      </w:r>
      <w:r w:rsidR="008574C3" w:rsidRPr="008B1975">
        <w:t xml:space="preserve">a </w:t>
      </w:r>
      <w:r w:rsidR="009E4BB1" w:rsidRPr="008B1975">
        <w:t>further priority seat and allocated space</w:t>
      </w:r>
      <w:r w:rsidR="008574C3" w:rsidRPr="008B1975">
        <w:t xml:space="preserve"> must be</w:t>
      </w:r>
      <w:r w:rsidR="009E4BB1" w:rsidRPr="008B1975">
        <w:t xml:space="preserve"> provided</w:t>
      </w:r>
      <w:r w:rsidR="005F5DB3" w:rsidRPr="008B1975">
        <w:t>.</w:t>
      </w:r>
    </w:p>
    <w:p w14:paraId="71518950" w14:textId="77777777" w:rsidR="00AE133E" w:rsidRPr="008B1975" w:rsidRDefault="009B3257" w:rsidP="00AE133E">
      <w:pPr>
        <w:pStyle w:val="notetext"/>
      </w:pPr>
      <w:r w:rsidRPr="008B1975">
        <w:t>Example</w:t>
      </w:r>
      <w:r w:rsidR="005F5DB3" w:rsidRPr="008B1975">
        <w:t>:</w:t>
      </w:r>
      <w:r w:rsidR="005F5DB3" w:rsidRPr="008B1975">
        <w:tab/>
        <w:t>If there are</w:t>
      </w:r>
      <w:r w:rsidR="00751A8A" w:rsidRPr="008B1975">
        <w:t xml:space="preserve"> between</w:t>
      </w:r>
      <w:r w:rsidR="005F5DB3" w:rsidRPr="008B1975">
        <w:t xml:space="preserve"> </w:t>
      </w:r>
      <w:r w:rsidR="00374BB5" w:rsidRPr="008B1975">
        <w:t>4</w:t>
      </w:r>
      <w:r w:rsidR="005F5DB3" w:rsidRPr="008B1975">
        <w:t xml:space="preserve">1 </w:t>
      </w:r>
      <w:r w:rsidR="00751A8A" w:rsidRPr="008B1975">
        <w:t xml:space="preserve">to 60 </w:t>
      </w:r>
      <w:r w:rsidR="002D4888" w:rsidRPr="008B1975">
        <w:t>non-</w:t>
      </w:r>
      <w:r w:rsidR="005450B6" w:rsidRPr="008B1975">
        <w:t>priority</w:t>
      </w:r>
      <w:r w:rsidR="002D4888" w:rsidRPr="008B1975">
        <w:rPr>
          <w:i/>
        </w:rPr>
        <w:t xml:space="preserve"> </w:t>
      </w:r>
      <w:r w:rsidR="005F5DB3" w:rsidRPr="008B1975">
        <w:t xml:space="preserve">seats, there </w:t>
      </w:r>
      <w:r w:rsidR="00374BB5" w:rsidRPr="008B1975">
        <w:t>must</w:t>
      </w:r>
      <w:r w:rsidR="005F5DB3" w:rsidRPr="008B1975">
        <w:t xml:space="preserve"> be </w:t>
      </w:r>
      <w:r w:rsidR="00374BB5" w:rsidRPr="008B1975">
        <w:t>3</w:t>
      </w:r>
      <w:r w:rsidR="005F5DB3" w:rsidRPr="008B1975">
        <w:t xml:space="preserve"> priority seats and </w:t>
      </w:r>
      <w:r w:rsidR="00374BB5" w:rsidRPr="008B1975">
        <w:t>3</w:t>
      </w:r>
      <w:r w:rsidR="005F5DB3" w:rsidRPr="008B1975">
        <w:t xml:space="preserve"> allocated spaces. If there are</w:t>
      </w:r>
      <w:r w:rsidR="00751A8A" w:rsidRPr="008B1975">
        <w:t xml:space="preserve"> between</w:t>
      </w:r>
      <w:r w:rsidR="00374BB5" w:rsidRPr="008B1975">
        <w:t xml:space="preserve"> 61 </w:t>
      </w:r>
      <w:r w:rsidR="00751A8A" w:rsidRPr="008B1975">
        <w:t>to 80</w:t>
      </w:r>
      <w:r w:rsidRPr="008B1975">
        <w:t xml:space="preserve"> </w:t>
      </w:r>
      <w:r w:rsidR="00374BB5" w:rsidRPr="008B1975">
        <w:t>non-priority</w:t>
      </w:r>
      <w:r w:rsidR="00374BB5" w:rsidRPr="008B1975">
        <w:rPr>
          <w:i/>
        </w:rPr>
        <w:t xml:space="preserve"> </w:t>
      </w:r>
      <w:r w:rsidR="00374BB5" w:rsidRPr="008B1975">
        <w:t>seats, there must be 4 priority seats and 4 allocated spaces. If there are</w:t>
      </w:r>
      <w:r w:rsidR="00751A8A" w:rsidRPr="008B1975">
        <w:t xml:space="preserve"> between</w:t>
      </w:r>
      <w:r w:rsidR="005F5DB3" w:rsidRPr="008B1975">
        <w:t xml:space="preserve"> 81</w:t>
      </w:r>
      <w:r w:rsidR="00751A8A" w:rsidRPr="008B1975">
        <w:t xml:space="preserve"> to 99</w:t>
      </w:r>
      <w:r w:rsidR="005F5DB3" w:rsidRPr="008B1975">
        <w:t xml:space="preserve"> </w:t>
      </w:r>
      <w:r w:rsidR="002D4888" w:rsidRPr="008B1975">
        <w:t>non-</w:t>
      </w:r>
      <w:r w:rsidR="005450B6" w:rsidRPr="008B1975">
        <w:t>priority</w:t>
      </w:r>
      <w:r w:rsidR="002D4888" w:rsidRPr="008B1975">
        <w:rPr>
          <w:i/>
        </w:rPr>
        <w:t xml:space="preserve"> </w:t>
      </w:r>
      <w:r w:rsidR="005F5DB3" w:rsidRPr="008B1975">
        <w:t xml:space="preserve">seats, there </w:t>
      </w:r>
      <w:r w:rsidR="00374BB5" w:rsidRPr="008B1975">
        <w:t>must</w:t>
      </w:r>
      <w:r w:rsidR="002D4888" w:rsidRPr="008B1975">
        <w:t xml:space="preserve"> be 5 priority seats and 5 allocated spaces.</w:t>
      </w:r>
    </w:p>
    <w:p w14:paraId="600DA74A" w14:textId="77777777" w:rsidR="009B4CC8" w:rsidRPr="008B1975" w:rsidRDefault="009B4CC8" w:rsidP="009B4CC8">
      <w:pPr>
        <w:pStyle w:val="subsection"/>
      </w:pPr>
      <w:r w:rsidRPr="008B1975">
        <w:tab/>
        <w:t>(3)</w:t>
      </w:r>
      <w:r w:rsidRPr="008B1975">
        <w:tab/>
      </w:r>
      <w:r w:rsidR="00003ABA" w:rsidRPr="008B1975">
        <w:t>However, a waiting area for a bus stop is only required to have one priority seat and one allocated space.</w:t>
      </w:r>
    </w:p>
    <w:p w14:paraId="06D7AB03" w14:textId="77777777" w:rsidR="006633FB" w:rsidRPr="008B1975" w:rsidRDefault="006633FB" w:rsidP="00374BB5">
      <w:pPr>
        <w:pStyle w:val="SubsectionHead"/>
      </w:pPr>
      <w:r w:rsidRPr="008B1975">
        <w:t>Priority seats for benches</w:t>
      </w:r>
    </w:p>
    <w:p w14:paraId="1AC83F80" w14:textId="77777777" w:rsidR="006633FB" w:rsidRPr="008B1975" w:rsidRDefault="006633FB" w:rsidP="009B4CC8">
      <w:pPr>
        <w:pStyle w:val="subsection"/>
      </w:pPr>
      <w:r w:rsidRPr="008B1975">
        <w:tab/>
        <w:t>(4)</w:t>
      </w:r>
      <w:r w:rsidRPr="008B1975">
        <w:tab/>
        <w:t xml:space="preserve">If the seating consists of only a single bench seat, the entire seat must be considered a priority seat. </w:t>
      </w:r>
    </w:p>
    <w:p w14:paraId="0F38C7D4" w14:textId="77777777" w:rsidR="006633FB" w:rsidRPr="008B1975" w:rsidRDefault="006633FB" w:rsidP="009B4CC8">
      <w:pPr>
        <w:pStyle w:val="subsection"/>
      </w:pPr>
      <w:r w:rsidRPr="008B1975">
        <w:tab/>
        <w:t>(</w:t>
      </w:r>
      <w:r w:rsidR="00AA6F9F" w:rsidRPr="008B1975">
        <w:t>5</w:t>
      </w:r>
      <w:r w:rsidRPr="008B1975">
        <w:t>)</w:t>
      </w:r>
      <w:r w:rsidRPr="008B1975">
        <w:tab/>
        <w:t xml:space="preserve">If a bench </w:t>
      </w:r>
      <w:r w:rsidR="00AA6F9F" w:rsidRPr="008B1975">
        <w:t xml:space="preserve">provides for multiple </w:t>
      </w:r>
      <w:r w:rsidRPr="008B1975">
        <w:t>priority seats, each priority seat must have a width of no less than 450 millimetres.</w:t>
      </w:r>
    </w:p>
    <w:p w14:paraId="1056B795" w14:textId="77777777" w:rsidR="001A56E6" w:rsidRPr="008B1975" w:rsidRDefault="001A56E6" w:rsidP="001A56E6">
      <w:pPr>
        <w:pStyle w:val="SubsectionHead"/>
      </w:pPr>
      <w:r w:rsidRPr="008B1975">
        <w:t>Allocated spaces must not compromise access paths</w:t>
      </w:r>
    </w:p>
    <w:p w14:paraId="69CD7F02" w14:textId="77777777" w:rsidR="001A56E6" w:rsidRPr="008B1975" w:rsidRDefault="001A56E6" w:rsidP="00374BB5">
      <w:pPr>
        <w:pStyle w:val="subsection"/>
      </w:pPr>
      <w:r w:rsidRPr="008B1975">
        <w:tab/>
        <w:t>(6)</w:t>
      </w:r>
      <w:r w:rsidRPr="008B1975">
        <w:tab/>
        <w:t>An allocated space required by this section must not compromise an access path.</w:t>
      </w:r>
    </w:p>
    <w:p w14:paraId="0B8E4C31" w14:textId="77777777" w:rsidR="00BF1C3D" w:rsidRPr="008B1975" w:rsidRDefault="00AA6F9F" w:rsidP="00374BB5">
      <w:pPr>
        <w:pStyle w:val="SubsectionHead"/>
      </w:pPr>
      <w:r w:rsidRPr="008B1975">
        <w:t>Application table</w:t>
      </w:r>
    </w:p>
    <w:p w14:paraId="6D0DACD2" w14:textId="77777777" w:rsidR="00AA6F9F" w:rsidRPr="008B1975" w:rsidRDefault="00AA6F9F" w:rsidP="00AA6F9F">
      <w:pPr>
        <w:pStyle w:val="subsection"/>
      </w:pPr>
      <w:r w:rsidRPr="008B1975">
        <w:tab/>
        <w:t>(</w:t>
      </w:r>
      <w:r w:rsidR="001A56E6" w:rsidRPr="008B1975">
        <w:t>7</w:t>
      </w:r>
      <w:r w:rsidRPr="008B1975">
        <w:t>)</w:t>
      </w:r>
      <w:r w:rsidRPr="008B1975">
        <w:tab/>
        <w:t>The following table specifies conveyances, premises and infrastructure this section applies to.</w:t>
      </w:r>
    </w:p>
    <w:p w14:paraId="40ABD6E5" w14:textId="77777777" w:rsidR="00AA6F9F" w:rsidRPr="008B1975" w:rsidRDefault="00AA6F9F" w:rsidP="00AA6F9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A6F9F" w:rsidRPr="008B1975" w14:paraId="49B526FE" w14:textId="77777777" w:rsidTr="005450B6">
        <w:trPr>
          <w:trHeight w:val="300"/>
          <w:tblHeader/>
        </w:trPr>
        <w:tc>
          <w:tcPr>
            <w:tcW w:w="5000" w:type="pct"/>
            <w:gridSpan w:val="3"/>
            <w:tcBorders>
              <w:top w:val="single" w:sz="12" w:space="0" w:color="auto"/>
              <w:left w:val="nil"/>
              <w:bottom w:val="single" w:sz="6" w:space="0" w:color="auto"/>
              <w:right w:val="nil"/>
            </w:tcBorders>
            <w:hideMark/>
          </w:tcPr>
          <w:p w14:paraId="1B5FEA88" w14:textId="77777777" w:rsidR="00AA6F9F" w:rsidRPr="008B1975" w:rsidRDefault="00AA6F9F" w:rsidP="005450B6">
            <w:pPr>
              <w:pStyle w:val="TableHeading"/>
            </w:pPr>
            <w:r w:rsidRPr="008B1975">
              <w:t>Application of this section</w:t>
            </w:r>
          </w:p>
        </w:tc>
      </w:tr>
      <w:tr w:rsidR="00AA6F9F" w:rsidRPr="008B1975" w14:paraId="37B5CB8B" w14:textId="77777777" w:rsidTr="00B9444D">
        <w:trPr>
          <w:trHeight w:val="300"/>
          <w:tblHeader/>
        </w:trPr>
        <w:tc>
          <w:tcPr>
            <w:tcW w:w="1667" w:type="pct"/>
            <w:tcBorders>
              <w:top w:val="single" w:sz="6" w:space="0" w:color="auto"/>
              <w:left w:val="nil"/>
              <w:bottom w:val="single" w:sz="12" w:space="0" w:color="auto"/>
              <w:right w:val="nil"/>
            </w:tcBorders>
            <w:hideMark/>
          </w:tcPr>
          <w:p w14:paraId="45A5B1F8" w14:textId="77777777" w:rsidR="00AA6F9F" w:rsidRPr="008B1975" w:rsidRDefault="00AA6F9F" w:rsidP="005450B6">
            <w:pPr>
              <w:pStyle w:val="TableHeading"/>
            </w:pPr>
            <w:r w:rsidRPr="008B1975">
              <w:t>Conveyances</w:t>
            </w:r>
          </w:p>
        </w:tc>
        <w:tc>
          <w:tcPr>
            <w:tcW w:w="1667" w:type="pct"/>
            <w:tcBorders>
              <w:top w:val="single" w:sz="6" w:space="0" w:color="auto"/>
              <w:left w:val="nil"/>
              <w:bottom w:val="single" w:sz="12" w:space="0" w:color="auto"/>
              <w:right w:val="nil"/>
            </w:tcBorders>
            <w:hideMark/>
          </w:tcPr>
          <w:p w14:paraId="00A94CD1" w14:textId="77777777" w:rsidR="00AA6F9F" w:rsidRPr="008B1975" w:rsidRDefault="00AA6F9F" w:rsidP="005450B6">
            <w:pPr>
              <w:pStyle w:val="TableHeading"/>
            </w:pPr>
            <w:r w:rsidRPr="008B1975">
              <w:t>Premises</w:t>
            </w:r>
          </w:p>
        </w:tc>
        <w:tc>
          <w:tcPr>
            <w:tcW w:w="1667" w:type="pct"/>
            <w:tcBorders>
              <w:top w:val="single" w:sz="6" w:space="0" w:color="auto"/>
              <w:left w:val="nil"/>
              <w:bottom w:val="single" w:sz="12" w:space="0" w:color="auto"/>
              <w:right w:val="nil"/>
            </w:tcBorders>
            <w:hideMark/>
          </w:tcPr>
          <w:p w14:paraId="79F4999B" w14:textId="77777777" w:rsidR="00AA6F9F" w:rsidRPr="008B1975" w:rsidRDefault="00AA6F9F" w:rsidP="005450B6">
            <w:pPr>
              <w:pStyle w:val="TableHeading"/>
            </w:pPr>
            <w:r w:rsidRPr="008B1975">
              <w:t>Infrastructure</w:t>
            </w:r>
          </w:p>
        </w:tc>
      </w:tr>
      <w:tr w:rsidR="00AA6F9F" w:rsidRPr="008B1975" w14:paraId="58BC1651" w14:textId="77777777" w:rsidTr="00B9444D">
        <w:trPr>
          <w:trHeight w:val="300"/>
        </w:trPr>
        <w:tc>
          <w:tcPr>
            <w:tcW w:w="1667" w:type="pct"/>
            <w:tcBorders>
              <w:top w:val="single" w:sz="12" w:space="0" w:color="auto"/>
              <w:left w:val="nil"/>
              <w:bottom w:val="single" w:sz="12" w:space="0" w:color="auto"/>
              <w:right w:val="nil"/>
            </w:tcBorders>
            <w:hideMark/>
          </w:tcPr>
          <w:p w14:paraId="544E58A7" w14:textId="77777777" w:rsidR="00AA6F9F" w:rsidRPr="008B1975" w:rsidRDefault="00AA6F9F" w:rsidP="00A77A4A">
            <w:pPr>
              <w:pStyle w:val="Tabletext"/>
            </w:pPr>
            <w:r w:rsidRPr="008B1975">
              <w:t>None</w:t>
            </w:r>
          </w:p>
        </w:tc>
        <w:tc>
          <w:tcPr>
            <w:tcW w:w="1667" w:type="pct"/>
            <w:tcBorders>
              <w:top w:val="single" w:sz="12" w:space="0" w:color="auto"/>
              <w:left w:val="nil"/>
              <w:bottom w:val="single" w:sz="12" w:space="0" w:color="auto"/>
              <w:right w:val="nil"/>
            </w:tcBorders>
            <w:hideMark/>
          </w:tcPr>
          <w:p w14:paraId="5CABF19B" w14:textId="77777777" w:rsidR="00AA6F9F" w:rsidRPr="008B1975" w:rsidRDefault="00AA6F9F" w:rsidP="005450B6">
            <w:pPr>
              <w:pStyle w:val="Tabletext"/>
            </w:pPr>
            <w:r w:rsidRPr="008B1975">
              <w:t>All</w:t>
            </w:r>
          </w:p>
        </w:tc>
        <w:tc>
          <w:tcPr>
            <w:tcW w:w="1667" w:type="pct"/>
            <w:tcBorders>
              <w:top w:val="single" w:sz="12" w:space="0" w:color="auto"/>
              <w:left w:val="nil"/>
              <w:bottom w:val="single" w:sz="12" w:space="0" w:color="auto"/>
              <w:right w:val="nil"/>
            </w:tcBorders>
            <w:hideMark/>
          </w:tcPr>
          <w:p w14:paraId="4B60B993" w14:textId="77777777" w:rsidR="00AA6F9F" w:rsidRPr="008B1975" w:rsidRDefault="00AA6F9F" w:rsidP="005450B6">
            <w:pPr>
              <w:pStyle w:val="Tabletext"/>
            </w:pPr>
            <w:r w:rsidRPr="008B1975">
              <w:t>All</w:t>
            </w:r>
          </w:p>
        </w:tc>
      </w:tr>
    </w:tbl>
    <w:p w14:paraId="42B0FA11" w14:textId="1A6BEB29" w:rsidR="00764253" w:rsidRPr="008B1975" w:rsidRDefault="00764253" w:rsidP="00764253">
      <w:pPr>
        <w:pStyle w:val="notetext"/>
      </w:pPr>
      <w:r w:rsidRPr="008B1975">
        <w:t>Note:</w:t>
      </w:r>
      <w:r w:rsidRPr="008B1975">
        <w:tab/>
        <w:t>This section applies after the end of the 5-year transitional period to existing seating and allocated spaces: see section 35.9</w:t>
      </w:r>
    </w:p>
    <w:p w14:paraId="1A763372" w14:textId="77777777" w:rsidR="00A35350" w:rsidRPr="008B1975" w:rsidRDefault="00A35350">
      <w:pPr>
        <w:spacing w:line="240" w:lineRule="auto"/>
        <w:rPr>
          <w:rStyle w:val="CharAmSchNo"/>
          <w:rFonts w:ascii="Arial" w:eastAsia="Times New Roman" w:hAnsi="Arial" w:cs="Times New Roman"/>
          <w:b/>
          <w:kern w:val="28"/>
          <w:sz w:val="32"/>
          <w:lang w:eastAsia="en-AU"/>
        </w:rPr>
      </w:pPr>
      <w:r w:rsidRPr="008B1975">
        <w:rPr>
          <w:rStyle w:val="CharAmSchNo"/>
        </w:rPr>
        <w:br w:type="page"/>
      </w:r>
    </w:p>
    <w:p w14:paraId="43A06B04" w14:textId="77777777" w:rsidR="00824838" w:rsidRPr="008B1975" w:rsidRDefault="00824838" w:rsidP="00A35350">
      <w:pPr>
        <w:pStyle w:val="ActHead6"/>
        <w:rPr>
          <w:rStyle w:val="CharAmSchText"/>
        </w:rPr>
      </w:pPr>
      <w:bookmarkStart w:id="79" w:name="_Toc197178944"/>
      <w:r w:rsidRPr="008B1975">
        <w:rPr>
          <w:rStyle w:val="CharAmSchNo"/>
        </w:rPr>
        <w:lastRenderedPageBreak/>
        <w:t>Schedule 8</w:t>
      </w:r>
      <w:r w:rsidRPr="008B1975">
        <w:t>—</w:t>
      </w:r>
      <w:r w:rsidRPr="008B1975">
        <w:rPr>
          <w:rStyle w:val="CharAmSchText"/>
        </w:rPr>
        <w:t>Part 8 (Boarding) Amendments</w:t>
      </w:r>
      <w:bookmarkEnd w:id="79"/>
    </w:p>
    <w:p w14:paraId="7C3640AE" w14:textId="77777777" w:rsidR="00824838" w:rsidRPr="008B1975" w:rsidRDefault="00824838" w:rsidP="00824838">
      <w:pPr>
        <w:pStyle w:val="ActHead9"/>
      </w:pPr>
      <w:bookmarkStart w:id="80" w:name="_Toc197178945"/>
      <w:r w:rsidRPr="008B1975">
        <w:t>Disability Standards for Accessible Public Transport 2002</w:t>
      </w:r>
      <w:bookmarkEnd w:id="80"/>
    </w:p>
    <w:p w14:paraId="485C574F" w14:textId="77777777" w:rsidR="00AB1BD2" w:rsidRPr="008B1975" w:rsidRDefault="000A511B" w:rsidP="000A511B">
      <w:pPr>
        <w:pStyle w:val="ItemHead"/>
      </w:pPr>
      <w:bookmarkStart w:id="81" w:name="_Ref185257993"/>
      <w:r w:rsidRPr="008B1975">
        <w:t xml:space="preserve">1  </w:t>
      </w:r>
      <w:r w:rsidR="00AB1BD2" w:rsidRPr="008B1975">
        <w:t>Subsection 8.1(1)</w:t>
      </w:r>
      <w:bookmarkEnd w:id="81"/>
    </w:p>
    <w:p w14:paraId="198E5488" w14:textId="77777777" w:rsidR="00AB1BD2" w:rsidRPr="008B1975" w:rsidRDefault="00AB1BD2" w:rsidP="00AB1BD2">
      <w:pPr>
        <w:pStyle w:val="Item"/>
      </w:pPr>
      <w:r w:rsidRPr="008B1975">
        <w:t>Repeal the subsection, substitute:</w:t>
      </w:r>
    </w:p>
    <w:p w14:paraId="044DAF4A" w14:textId="77777777" w:rsidR="00AB1BD2" w:rsidRPr="008B1975" w:rsidRDefault="00AB1BD2" w:rsidP="00AB1BD2">
      <w:pPr>
        <w:pStyle w:val="SubsectionHead"/>
      </w:pPr>
      <w:r w:rsidRPr="008B1975">
        <w:t>Boarding points</w:t>
      </w:r>
      <w:r w:rsidR="00E26DE0" w:rsidRPr="008B1975">
        <w:t>—generally</w:t>
      </w:r>
    </w:p>
    <w:p w14:paraId="334A611B" w14:textId="77777777" w:rsidR="00AB1BD2" w:rsidRPr="008B1975" w:rsidRDefault="00AB1BD2" w:rsidP="00AB1BD2">
      <w:pPr>
        <w:pStyle w:val="subsection"/>
      </w:pPr>
      <w:r w:rsidRPr="008B1975">
        <w:tab/>
        <w:t>(1)</w:t>
      </w:r>
      <w:r w:rsidRPr="008B1975">
        <w:tab/>
        <w:t>A boarding point must have a firm and stable surface on which a boarding device can be safely deployed.</w:t>
      </w:r>
    </w:p>
    <w:p w14:paraId="477C1DA1" w14:textId="77777777" w:rsidR="00920F6F" w:rsidRPr="008B1975" w:rsidRDefault="00920F6F" w:rsidP="00AB1BD2">
      <w:pPr>
        <w:pStyle w:val="subsection"/>
      </w:pPr>
      <w:r w:rsidRPr="008B1975">
        <w:tab/>
        <w:t>(1A)</w:t>
      </w:r>
      <w:r w:rsidRPr="008B1975">
        <w:tab/>
      </w:r>
      <w:r w:rsidR="00704104" w:rsidRPr="008B1975">
        <w:t xml:space="preserve">If </w:t>
      </w:r>
      <w:r w:rsidRPr="008B1975">
        <w:t>independent boarding is not provided:</w:t>
      </w:r>
    </w:p>
    <w:p w14:paraId="7F8974A3" w14:textId="5CF1B6DB" w:rsidR="00E26DE0" w:rsidRPr="008B1975" w:rsidRDefault="00920F6F" w:rsidP="00E26DE0">
      <w:pPr>
        <w:pStyle w:val="paragraph"/>
      </w:pPr>
      <w:r w:rsidRPr="008B1975">
        <w:tab/>
        <w:t>(a)</w:t>
      </w:r>
      <w:r w:rsidRPr="008B1975">
        <w:tab/>
        <w:t xml:space="preserve">operators and providers </w:t>
      </w:r>
      <w:r w:rsidR="00391C20" w:rsidRPr="008B1975">
        <w:t>must</w:t>
      </w:r>
      <w:r w:rsidR="0099092D" w:rsidRPr="008B1975">
        <w:t xml:space="preserve"> </w:t>
      </w:r>
      <w:r w:rsidRPr="008B1975">
        <w:t>provide a nominated assistance point on infrastructure and premises from which direct assistance can be provided to an accessible door on a conveyance</w:t>
      </w:r>
      <w:r w:rsidR="00E26DE0" w:rsidRPr="008B1975">
        <w:t>; and</w:t>
      </w:r>
    </w:p>
    <w:p w14:paraId="574C9889" w14:textId="77777777" w:rsidR="00920F6F" w:rsidRPr="008B1975" w:rsidRDefault="00E26DE0" w:rsidP="00E26DE0">
      <w:pPr>
        <w:pStyle w:val="paragraph"/>
      </w:pPr>
      <w:r w:rsidRPr="008B1975">
        <w:tab/>
        <w:t>(b)</w:t>
      </w:r>
      <w:r w:rsidR="00920F6F" w:rsidRPr="008B1975">
        <w:tab/>
      </w:r>
      <w:r w:rsidRPr="008B1975">
        <w:t>p</w:t>
      </w:r>
      <w:r w:rsidR="00920F6F" w:rsidRPr="008B1975">
        <w:t>assengers at the nominated assistance point must be able to communicate with public transport staff (whether face-to-face or by means of a communication device).</w:t>
      </w:r>
    </w:p>
    <w:p w14:paraId="30849B68" w14:textId="77777777" w:rsidR="00E26DE0" w:rsidRPr="008B1975" w:rsidRDefault="00E26DE0" w:rsidP="00E26DE0">
      <w:pPr>
        <w:pStyle w:val="SubsectionHead"/>
      </w:pPr>
      <w:r w:rsidRPr="008B1975">
        <w:t>Boarding points—buses, trams and light rail</w:t>
      </w:r>
    </w:p>
    <w:p w14:paraId="6A4AC43D" w14:textId="77777777" w:rsidR="00AB1BD2" w:rsidRPr="008B1975" w:rsidRDefault="00AB1BD2" w:rsidP="00AB1BD2">
      <w:pPr>
        <w:pStyle w:val="subsection"/>
      </w:pPr>
      <w:r w:rsidRPr="008B1975">
        <w:tab/>
        <w:t>(1</w:t>
      </w:r>
      <w:r w:rsidR="00E26DE0" w:rsidRPr="008B1975">
        <w:t>B</w:t>
      </w:r>
      <w:r w:rsidRPr="008B1975">
        <w:t>)</w:t>
      </w:r>
      <w:r w:rsidRPr="008B1975">
        <w:tab/>
        <w:t>A boarding point must have a gradient no steeper than 1:40.</w:t>
      </w:r>
    </w:p>
    <w:p w14:paraId="515741BC" w14:textId="77777777" w:rsidR="00AB1BD2" w:rsidRPr="008B1975" w:rsidRDefault="00AB1BD2" w:rsidP="00AB1BD2">
      <w:pPr>
        <w:pStyle w:val="subsection"/>
      </w:pPr>
      <w:r w:rsidRPr="008B1975">
        <w:tab/>
        <w:t>(1</w:t>
      </w:r>
      <w:r w:rsidR="00E26DE0" w:rsidRPr="008B1975">
        <w:t>C</w:t>
      </w:r>
      <w:r w:rsidRPr="008B1975">
        <w:t>)</w:t>
      </w:r>
      <w:r w:rsidRPr="008B1975">
        <w:tab/>
        <w:t>However, if:</w:t>
      </w:r>
    </w:p>
    <w:p w14:paraId="1B81A084" w14:textId="77777777" w:rsidR="00AB1BD2" w:rsidRPr="008B1975" w:rsidRDefault="00AB1BD2" w:rsidP="00AB1BD2">
      <w:pPr>
        <w:pStyle w:val="paragraph"/>
      </w:pPr>
      <w:r w:rsidRPr="008B1975">
        <w:tab/>
        <w:t>(a)</w:t>
      </w:r>
      <w:r w:rsidRPr="008B1975">
        <w:tab/>
        <w:t>the boarding point is on a road that has gradient steeper than 1:40; and</w:t>
      </w:r>
    </w:p>
    <w:p w14:paraId="56F7ABE9" w14:textId="77777777" w:rsidR="00AB1BD2" w:rsidRPr="008B1975" w:rsidRDefault="00AB1BD2" w:rsidP="00AB1BD2">
      <w:pPr>
        <w:pStyle w:val="paragraph"/>
      </w:pPr>
      <w:r w:rsidRPr="008B1975">
        <w:tab/>
        <w:t>(b)</w:t>
      </w:r>
      <w:r w:rsidRPr="008B1975">
        <w:tab/>
        <w:t>the boarding point having a gradient no steeper than 1:40 would prevent a boarding device being safely deployed;</w:t>
      </w:r>
    </w:p>
    <w:p w14:paraId="768B002E" w14:textId="77777777" w:rsidR="003D1CE1" w:rsidRPr="008B1975" w:rsidRDefault="00AB1BD2" w:rsidP="001247E4">
      <w:pPr>
        <w:pStyle w:val="subsection2"/>
      </w:pPr>
      <w:r w:rsidRPr="008B1975">
        <w:t>the boarding point’s gradient may match the road’s gradient.</w:t>
      </w:r>
    </w:p>
    <w:p w14:paraId="4D92CC30" w14:textId="77777777" w:rsidR="00E35ECB" w:rsidRPr="008B1975" w:rsidRDefault="003D1CE1" w:rsidP="00275037">
      <w:pPr>
        <w:pStyle w:val="subsection"/>
        <w:rPr>
          <w:color w:val="000000" w:themeColor="text1"/>
        </w:rPr>
      </w:pPr>
      <w:r w:rsidRPr="008B1975">
        <w:rPr>
          <w:color w:val="000000" w:themeColor="text1"/>
        </w:rPr>
        <w:tab/>
      </w:r>
      <w:r w:rsidR="00E35ECB" w:rsidRPr="008B1975">
        <w:rPr>
          <w:color w:val="000000" w:themeColor="text1"/>
        </w:rPr>
        <w:t>(1D)</w:t>
      </w:r>
      <w:r w:rsidR="00E35ECB" w:rsidRPr="008B1975">
        <w:rPr>
          <w:color w:val="000000" w:themeColor="text1"/>
        </w:rPr>
        <w:tab/>
        <w:t xml:space="preserve">The camber or </w:t>
      </w:r>
      <w:proofErr w:type="spellStart"/>
      <w:r w:rsidR="00E35ECB" w:rsidRPr="008B1975">
        <w:rPr>
          <w:color w:val="000000" w:themeColor="text1"/>
        </w:rPr>
        <w:t>crossfall</w:t>
      </w:r>
      <w:proofErr w:type="spellEnd"/>
      <w:r w:rsidR="00E35ECB" w:rsidRPr="008B1975">
        <w:rPr>
          <w:color w:val="000000" w:themeColor="text1"/>
        </w:rPr>
        <w:t xml:space="preserve"> of a boarding point must comply with clause 7.1(d) of AS1428.1 (2021).</w:t>
      </w:r>
    </w:p>
    <w:p w14:paraId="13B0216F" w14:textId="77777777" w:rsidR="003D1CE1" w:rsidRPr="008B1975" w:rsidRDefault="00E35ECB" w:rsidP="00275037">
      <w:pPr>
        <w:pStyle w:val="subsection"/>
      </w:pPr>
      <w:r w:rsidRPr="008B1975">
        <w:tab/>
      </w:r>
      <w:r w:rsidR="003D1CE1" w:rsidRPr="008B1975">
        <w:t>(1E)</w:t>
      </w:r>
      <w:r w:rsidR="003D1CE1" w:rsidRPr="008B1975">
        <w:tab/>
        <w:t>Subsections (1B) to (1D) apply only to boarding points for buses, trams and light rail.</w:t>
      </w:r>
    </w:p>
    <w:p w14:paraId="66FF6A8D" w14:textId="77777777" w:rsidR="00AB1BD2" w:rsidRPr="008B1975" w:rsidRDefault="00AB1BD2" w:rsidP="00AB1BD2">
      <w:pPr>
        <w:pStyle w:val="SubsectionHead"/>
      </w:pPr>
      <w:r w:rsidRPr="008B1975">
        <w:t>Kerbs</w:t>
      </w:r>
    </w:p>
    <w:p w14:paraId="6FA78B25" w14:textId="77777777" w:rsidR="006D6AB2" w:rsidRPr="008B1975" w:rsidRDefault="000A511B" w:rsidP="000A511B">
      <w:pPr>
        <w:pStyle w:val="ItemHead"/>
      </w:pPr>
      <w:bookmarkStart w:id="82" w:name="_Ref185328633"/>
      <w:r w:rsidRPr="008B1975">
        <w:t xml:space="preserve">2  </w:t>
      </w:r>
      <w:r w:rsidR="006D6AB2" w:rsidRPr="008B1975">
        <w:t xml:space="preserve">Section </w:t>
      </w:r>
      <w:r w:rsidR="005606F7" w:rsidRPr="008B1975">
        <w:t>8</w:t>
      </w:r>
      <w:r w:rsidR="006D6AB2" w:rsidRPr="008B1975">
        <w:t>.1 (table)</w:t>
      </w:r>
      <w:bookmarkEnd w:id="82"/>
    </w:p>
    <w:p w14:paraId="0992082D" w14:textId="77777777" w:rsidR="006D6AB2" w:rsidRPr="008B1975" w:rsidRDefault="006D6AB2" w:rsidP="006D6AB2">
      <w:pPr>
        <w:pStyle w:val="Item"/>
      </w:pPr>
      <w:r w:rsidRPr="008B1975">
        <w:t>Repeal the table, substitute:</w:t>
      </w:r>
    </w:p>
    <w:p w14:paraId="42505208" w14:textId="77777777" w:rsidR="006D6AB2" w:rsidRPr="008B1975" w:rsidRDefault="006D6AB2" w:rsidP="006D6AB2">
      <w:pPr>
        <w:pStyle w:val="subsection"/>
      </w:pPr>
      <w:r w:rsidRPr="008B1975">
        <w:tab/>
        <w:t>(</w:t>
      </w:r>
      <w:r w:rsidR="005606F7" w:rsidRPr="008B1975">
        <w:t>3</w:t>
      </w:r>
      <w:r w:rsidRPr="008B1975">
        <w:t>)</w:t>
      </w:r>
      <w:r w:rsidRPr="008B1975">
        <w:tab/>
        <w:t>The following table specifies conveyances, premises and infrastructure this section applies to.</w:t>
      </w:r>
    </w:p>
    <w:p w14:paraId="1E67D2C7" w14:textId="77777777" w:rsidR="006D6AB2" w:rsidRPr="008B1975" w:rsidRDefault="006D6AB2" w:rsidP="006D6AB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D6AB2" w:rsidRPr="008B1975" w14:paraId="7DD43FA1"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100DD5EB" w14:textId="77777777" w:rsidR="006D6AB2" w:rsidRPr="008B1975" w:rsidRDefault="006D6AB2" w:rsidP="005606F7">
            <w:pPr>
              <w:pStyle w:val="TableHeading"/>
            </w:pPr>
            <w:r w:rsidRPr="008B1975">
              <w:t>Application of this section</w:t>
            </w:r>
          </w:p>
        </w:tc>
      </w:tr>
      <w:tr w:rsidR="006D6AB2" w:rsidRPr="008B1975" w14:paraId="3AA7D2C1" w14:textId="77777777" w:rsidTr="00B9444D">
        <w:trPr>
          <w:trHeight w:val="300"/>
          <w:tblHeader/>
        </w:trPr>
        <w:tc>
          <w:tcPr>
            <w:tcW w:w="1667" w:type="pct"/>
            <w:tcBorders>
              <w:top w:val="single" w:sz="6" w:space="0" w:color="auto"/>
              <w:left w:val="nil"/>
              <w:bottom w:val="single" w:sz="12" w:space="0" w:color="auto"/>
              <w:right w:val="nil"/>
            </w:tcBorders>
            <w:hideMark/>
          </w:tcPr>
          <w:p w14:paraId="529A0A95" w14:textId="77777777" w:rsidR="006D6AB2" w:rsidRPr="008B1975" w:rsidRDefault="006D6AB2"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7A94E325" w14:textId="77777777" w:rsidR="006D6AB2" w:rsidRPr="008B1975" w:rsidRDefault="006D6AB2"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3CDB0DA9" w14:textId="77777777" w:rsidR="006D6AB2" w:rsidRPr="008B1975" w:rsidRDefault="006D6AB2" w:rsidP="005606F7">
            <w:pPr>
              <w:pStyle w:val="TableHeading"/>
            </w:pPr>
            <w:r w:rsidRPr="008B1975">
              <w:t>Infrastructure</w:t>
            </w:r>
          </w:p>
        </w:tc>
      </w:tr>
      <w:tr w:rsidR="006D6AB2" w:rsidRPr="008B1975" w14:paraId="5B2EADBE" w14:textId="77777777" w:rsidTr="00B9444D">
        <w:trPr>
          <w:trHeight w:val="300"/>
        </w:trPr>
        <w:tc>
          <w:tcPr>
            <w:tcW w:w="1667" w:type="pct"/>
            <w:tcBorders>
              <w:top w:val="single" w:sz="12" w:space="0" w:color="auto"/>
              <w:left w:val="nil"/>
              <w:bottom w:val="single" w:sz="12" w:space="0" w:color="auto"/>
              <w:right w:val="nil"/>
            </w:tcBorders>
            <w:hideMark/>
          </w:tcPr>
          <w:p w14:paraId="534CFF18" w14:textId="77777777" w:rsidR="006D6AB2" w:rsidRPr="008B1975" w:rsidRDefault="006D6AB2" w:rsidP="00FD3DC9">
            <w:pPr>
              <w:pStyle w:val="Tabletext"/>
            </w:pPr>
            <w:r w:rsidRPr="008B1975">
              <w:t>None</w:t>
            </w:r>
          </w:p>
        </w:tc>
        <w:tc>
          <w:tcPr>
            <w:tcW w:w="1667" w:type="pct"/>
            <w:tcBorders>
              <w:top w:val="single" w:sz="12" w:space="0" w:color="auto"/>
              <w:left w:val="nil"/>
              <w:bottom w:val="single" w:sz="12" w:space="0" w:color="auto"/>
              <w:right w:val="nil"/>
            </w:tcBorders>
            <w:hideMark/>
          </w:tcPr>
          <w:p w14:paraId="4BE31269" w14:textId="77777777" w:rsidR="006D6AB2" w:rsidRPr="008B1975" w:rsidRDefault="00FF0A44" w:rsidP="005606F7">
            <w:pPr>
              <w:pStyle w:val="Tabletext"/>
            </w:pPr>
            <w:r w:rsidRPr="008B1975">
              <w:t>All</w:t>
            </w:r>
          </w:p>
        </w:tc>
        <w:tc>
          <w:tcPr>
            <w:tcW w:w="1667" w:type="pct"/>
            <w:tcBorders>
              <w:top w:val="single" w:sz="12" w:space="0" w:color="auto"/>
              <w:left w:val="nil"/>
              <w:bottom w:val="single" w:sz="12" w:space="0" w:color="auto"/>
              <w:right w:val="nil"/>
            </w:tcBorders>
            <w:hideMark/>
          </w:tcPr>
          <w:p w14:paraId="6146260D" w14:textId="77777777" w:rsidR="006D6AB2" w:rsidRPr="008B1975" w:rsidRDefault="006D6AB2" w:rsidP="005606F7">
            <w:pPr>
              <w:pStyle w:val="Tabletext"/>
            </w:pPr>
            <w:r w:rsidRPr="008B1975">
              <w:t>All</w:t>
            </w:r>
          </w:p>
        </w:tc>
      </w:tr>
    </w:tbl>
    <w:p w14:paraId="28CC36E1" w14:textId="77777777" w:rsidR="00391C20" w:rsidRPr="008B1975" w:rsidRDefault="000A511B" w:rsidP="000A511B">
      <w:pPr>
        <w:pStyle w:val="ItemHead"/>
      </w:pPr>
      <w:bookmarkStart w:id="83" w:name="_Ref190355653"/>
      <w:bookmarkStart w:id="84" w:name="_Ref185342317"/>
      <w:r w:rsidRPr="008B1975">
        <w:t xml:space="preserve">3  </w:t>
      </w:r>
      <w:r w:rsidR="00391C20" w:rsidRPr="008B1975">
        <w:t>After section 8.1</w:t>
      </w:r>
      <w:bookmarkEnd w:id="83"/>
    </w:p>
    <w:p w14:paraId="3D621BF2" w14:textId="77777777" w:rsidR="00391C20" w:rsidRPr="008B1975" w:rsidRDefault="00391C20" w:rsidP="00391C20">
      <w:pPr>
        <w:pStyle w:val="Item"/>
      </w:pPr>
      <w:r w:rsidRPr="008B1975">
        <w:t>Insert:</w:t>
      </w:r>
    </w:p>
    <w:p w14:paraId="77D6F451" w14:textId="77777777" w:rsidR="00391C20" w:rsidRPr="008B1975" w:rsidRDefault="00391C20" w:rsidP="00984414">
      <w:pPr>
        <w:pStyle w:val="ActHead5"/>
        <w:outlineLvl w:val="9"/>
      </w:pPr>
      <w:r w:rsidRPr="008B1975">
        <w:lastRenderedPageBreak/>
        <w:t xml:space="preserve">8.1A  </w:t>
      </w:r>
      <w:r w:rsidR="003D1CE1" w:rsidRPr="008B1975">
        <w:t>Identification of accessible conveyances</w:t>
      </w:r>
    </w:p>
    <w:p w14:paraId="0C67CCBA" w14:textId="77777777" w:rsidR="003D1CE1" w:rsidRPr="008B1975" w:rsidRDefault="00391C20" w:rsidP="003D1CE1">
      <w:pPr>
        <w:pStyle w:val="subsection"/>
      </w:pPr>
      <w:r w:rsidRPr="008B1975">
        <w:tab/>
        <w:t>(1)</w:t>
      </w:r>
      <w:r w:rsidRPr="008B1975">
        <w:tab/>
        <w:t xml:space="preserve">A </w:t>
      </w:r>
      <w:r w:rsidR="009E24E2" w:rsidRPr="008B1975">
        <w:t xml:space="preserve">car on a </w:t>
      </w:r>
      <w:r w:rsidR="00141A32" w:rsidRPr="008B1975">
        <w:t>conveyance must only be marked as being accessible if it provides access to all of the following</w:t>
      </w:r>
      <w:r w:rsidR="0007425A" w:rsidRPr="008B1975">
        <w:t xml:space="preserve"> facilities</w:t>
      </w:r>
      <w:r w:rsidR="00141A32" w:rsidRPr="008B1975">
        <w:t>:</w:t>
      </w:r>
    </w:p>
    <w:p w14:paraId="0525B472" w14:textId="77777777" w:rsidR="00141A32" w:rsidRPr="008B1975" w:rsidRDefault="00141A32" w:rsidP="00141A32">
      <w:pPr>
        <w:pStyle w:val="paragraph"/>
      </w:pPr>
      <w:r w:rsidRPr="008B1975">
        <w:tab/>
        <w:t>(a)</w:t>
      </w:r>
      <w:r w:rsidRPr="008B1975">
        <w:tab/>
        <w:t>a seat;</w:t>
      </w:r>
    </w:p>
    <w:p w14:paraId="128827B9" w14:textId="77777777" w:rsidR="00141A32" w:rsidRPr="008B1975" w:rsidRDefault="00141A32" w:rsidP="00141A32">
      <w:pPr>
        <w:pStyle w:val="paragraph"/>
      </w:pPr>
      <w:r w:rsidRPr="008B1975">
        <w:tab/>
        <w:t>(b)</w:t>
      </w:r>
      <w:r w:rsidRPr="008B1975">
        <w:tab/>
        <w:t>a priority seat;</w:t>
      </w:r>
    </w:p>
    <w:p w14:paraId="0C68A16D" w14:textId="77777777" w:rsidR="00141A32" w:rsidRPr="008B1975" w:rsidRDefault="00141A32" w:rsidP="00141A32">
      <w:pPr>
        <w:pStyle w:val="paragraph"/>
      </w:pPr>
      <w:r w:rsidRPr="008B1975">
        <w:tab/>
        <w:t>(c)</w:t>
      </w:r>
      <w:r w:rsidRPr="008B1975">
        <w:tab/>
        <w:t>an allocated space;</w:t>
      </w:r>
    </w:p>
    <w:p w14:paraId="25059570" w14:textId="77777777" w:rsidR="00141A32" w:rsidRPr="008B1975" w:rsidRDefault="00141A32" w:rsidP="00141A32">
      <w:pPr>
        <w:pStyle w:val="paragraph"/>
      </w:pPr>
      <w:r w:rsidRPr="008B1975">
        <w:tab/>
        <w:t>(d)</w:t>
      </w:r>
      <w:r w:rsidRPr="008B1975">
        <w:tab/>
        <w:t>an accessible version of any other such facility that is provided on the conveyance.</w:t>
      </w:r>
    </w:p>
    <w:p w14:paraId="62429E10" w14:textId="77777777" w:rsidR="00141A32" w:rsidRPr="008B1975" w:rsidRDefault="00141A32" w:rsidP="00704104">
      <w:pPr>
        <w:pStyle w:val="notetext"/>
      </w:pPr>
      <w:r w:rsidRPr="008B1975">
        <w:t>Example:</w:t>
      </w:r>
      <w:r w:rsidRPr="008B1975">
        <w:tab/>
        <w:t>If a toilet is provided on a conveyance, the conveyance must provide access to an accessible toilet.</w:t>
      </w:r>
    </w:p>
    <w:p w14:paraId="30B6A461" w14:textId="77777777" w:rsidR="00391C20" w:rsidRPr="008B1975" w:rsidRDefault="00141A32" w:rsidP="00391C20">
      <w:pPr>
        <w:pStyle w:val="subsection"/>
      </w:pPr>
      <w:r w:rsidRPr="008B1975">
        <w:tab/>
      </w:r>
      <w:bookmarkStart w:id="85" w:name="_Hlk197252232"/>
      <w:r w:rsidRPr="008B1975">
        <w:t>(2)</w:t>
      </w:r>
      <w:r w:rsidRPr="008B1975">
        <w:tab/>
        <w:t>The following table specifies conveyances, premises and infrastructure this section applies to.</w:t>
      </w:r>
    </w:p>
    <w:p w14:paraId="69CCEB89" w14:textId="77777777" w:rsidR="00391C20" w:rsidRPr="008B1975" w:rsidRDefault="00391C20" w:rsidP="00391C2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91C20" w:rsidRPr="008B1975" w14:paraId="1FBC9C6B" w14:textId="77777777" w:rsidTr="00391C20">
        <w:trPr>
          <w:trHeight w:val="300"/>
          <w:tblHeader/>
        </w:trPr>
        <w:tc>
          <w:tcPr>
            <w:tcW w:w="5000" w:type="pct"/>
            <w:gridSpan w:val="3"/>
            <w:tcBorders>
              <w:top w:val="single" w:sz="12" w:space="0" w:color="auto"/>
              <w:left w:val="nil"/>
              <w:bottom w:val="single" w:sz="6" w:space="0" w:color="auto"/>
              <w:right w:val="nil"/>
            </w:tcBorders>
            <w:hideMark/>
          </w:tcPr>
          <w:p w14:paraId="7574DFDA" w14:textId="77777777" w:rsidR="00391C20" w:rsidRPr="008B1975" w:rsidRDefault="00391C20" w:rsidP="00391C20">
            <w:pPr>
              <w:pStyle w:val="TableHeading"/>
            </w:pPr>
            <w:r w:rsidRPr="008B1975">
              <w:t>Application of this section</w:t>
            </w:r>
          </w:p>
        </w:tc>
      </w:tr>
      <w:tr w:rsidR="00391C20" w:rsidRPr="008B1975" w14:paraId="4FCC219D" w14:textId="77777777" w:rsidTr="00B9444D">
        <w:trPr>
          <w:trHeight w:val="300"/>
          <w:tblHeader/>
        </w:trPr>
        <w:tc>
          <w:tcPr>
            <w:tcW w:w="1667" w:type="pct"/>
            <w:tcBorders>
              <w:top w:val="single" w:sz="6" w:space="0" w:color="auto"/>
              <w:left w:val="nil"/>
              <w:bottom w:val="single" w:sz="12" w:space="0" w:color="auto"/>
              <w:right w:val="nil"/>
            </w:tcBorders>
            <w:hideMark/>
          </w:tcPr>
          <w:p w14:paraId="21C96FD8" w14:textId="77777777" w:rsidR="00391C20" w:rsidRPr="008B1975" w:rsidRDefault="00391C20" w:rsidP="00391C20">
            <w:pPr>
              <w:pStyle w:val="TableHeading"/>
            </w:pPr>
            <w:r w:rsidRPr="008B1975">
              <w:t>Conveyances</w:t>
            </w:r>
          </w:p>
        </w:tc>
        <w:tc>
          <w:tcPr>
            <w:tcW w:w="1667" w:type="pct"/>
            <w:tcBorders>
              <w:top w:val="single" w:sz="6" w:space="0" w:color="auto"/>
              <w:left w:val="nil"/>
              <w:bottom w:val="single" w:sz="12" w:space="0" w:color="auto"/>
              <w:right w:val="nil"/>
            </w:tcBorders>
            <w:hideMark/>
          </w:tcPr>
          <w:p w14:paraId="47D46312" w14:textId="77777777" w:rsidR="00391C20" w:rsidRPr="008B1975" w:rsidRDefault="00391C20" w:rsidP="00391C20">
            <w:pPr>
              <w:pStyle w:val="TableHeading"/>
            </w:pPr>
            <w:r w:rsidRPr="008B1975">
              <w:t>Premises</w:t>
            </w:r>
          </w:p>
        </w:tc>
        <w:tc>
          <w:tcPr>
            <w:tcW w:w="1667" w:type="pct"/>
            <w:tcBorders>
              <w:top w:val="single" w:sz="6" w:space="0" w:color="auto"/>
              <w:left w:val="nil"/>
              <w:bottom w:val="single" w:sz="12" w:space="0" w:color="auto"/>
              <w:right w:val="nil"/>
            </w:tcBorders>
            <w:hideMark/>
          </w:tcPr>
          <w:p w14:paraId="39E98CD2" w14:textId="77777777" w:rsidR="00391C20" w:rsidRPr="008B1975" w:rsidRDefault="00391C20" w:rsidP="00391C20">
            <w:pPr>
              <w:pStyle w:val="TableHeading"/>
            </w:pPr>
            <w:r w:rsidRPr="008B1975">
              <w:t>Infrastructure</w:t>
            </w:r>
          </w:p>
        </w:tc>
      </w:tr>
      <w:tr w:rsidR="00391C20" w:rsidRPr="008B1975" w14:paraId="4A3256F4" w14:textId="77777777" w:rsidTr="00B9444D">
        <w:trPr>
          <w:trHeight w:val="300"/>
        </w:trPr>
        <w:tc>
          <w:tcPr>
            <w:tcW w:w="1667" w:type="pct"/>
            <w:tcBorders>
              <w:top w:val="single" w:sz="12" w:space="0" w:color="auto"/>
              <w:left w:val="nil"/>
              <w:bottom w:val="single" w:sz="12" w:space="0" w:color="auto"/>
              <w:right w:val="nil"/>
            </w:tcBorders>
            <w:hideMark/>
          </w:tcPr>
          <w:p w14:paraId="65326F41" w14:textId="77777777" w:rsidR="00391C20" w:rsidRPr="008B1975" w:rsidRDefault="00391C20" w:rsidP="00FD3DC9">
            <w:pPr>
              <w:pStyle w:val="Tabletext"/>
            </w:pPr>
            <w:r w:rsidRPr="008B1975">
              <w:t>The following:</w:t>
            </w:r>
          </w:p>
          <w:p w14:paraId="5AE30E0B" w14:textId="77777777" w:rsidR="00391C20" w:rsidRPr="008B1975" w:rsidRDefault="00391C20" w:rsidP="00141A32">
            <w:pPr>
              <w:pStyle w:val="Tablea"/>
            </w:pPr>
            <w:r w:rsidRPr="008B1975">
              <w:t>(a) buses;</w:t>
            </w:r>
          </w:p>
          <w:p w14:paraId="539E9862" w14:textId="77777777" w:rsidR="00141A32" w:rsidRPr="008B1975" w:rsidRDefault="00141A32" w:rsidP="00141A32">
            <w:pPr>
              <w:pStyle w:val="Tablea"/>
            </w:pPr>
            <w:r w:rsidRPr="008B1975">
              <w:t>(b) light rail;</w:t>
            </w:r>
          </w:p>
          <w:p w14:paraId="0648C005" w14:textId="77777777" w:rsidR="00141A32" w:rsidRPr="008B1975" w:rsidRDefault="00141A32" w:rsidP="00141A32">
            <w:pPr>
              <w:pStyle w:val="Tablea"/>
            </w:pPr>
            <w:r w:rsidRPr="008B1975">
              <w:t>(c) trains</w:t>
            </w:r>
          </w:p>
        </w:tc>
        <w:tc>
          <w:tcPr>
            <w:tcW w:w="1667" w:type="pct"/>
            <w:tcBorders>
              <w:top w:val="single" w:sz="12" w:space="0" w:color="auto"/>
              <w:left w:val="nil"/>
              <w:bottom w:val="single" w:sz="12" w:space="0" w:color="auto"/>
              <w:right w:val="nil"/>
            </w:tcBorders>
            <w:hideMark/>
          </w:tcPr>
          <w:p w14:paraId="2FFB402E" w14:textId="77777777" w:rsidR="00391C20" w:rsidRPr="008B1975" w:rsidRDefault="00391C20" w:rsidP="00391C20">
            <w:pPr>
              <w:pStyle w:val="Tabletext"/>
            </w:pPr>
            <w:r w:rsidRPr="008B1975">
              <w:t>None</w:t>
            </w:r>
          </w:p>
        </w:tc>
        <w:tc>
          <w:tcPr>
            <w:tcW w:w="1667" w:type="pct"/>
            <w:tcBorders>
              <w:top w:val="single" w:sz="12" w:space="0" w:color="auto"/>
              <w:left w:val="nil"/>
              <w:bottom w:val="single" w:sz="12" w:space="0" w:color="auto"/>
              <w:right w:val="nil"/>
            </w:tcBorders>
            <w:hideMark/>
          </w:tcPr>
          <w:p w14:paraId="54D9FFAC" w14:textId="77777777" w:rsidR="00391C20" w:rsidRPr="008B1975" w:rsidRDefault="00391C20" w:rsidP="00391C20">
            <w:pPr>
              <w:pStyle w:val="Tabletext"/>
            </w:pPr>
            <w:r w:rsidRPr="008B1975">
              <w:t>None</w:t>
            </w:r>
          </w:p>
        </w:tc>
      </w:tr>
    </w:tbl>
    <w:p w14:paraId="083EB6F2" w14:textId="77777777" w:rsidR="005606F7" w:rsidRPr="008B1975" w:rsidRDefault="000A511B" w:rsidP="000A511B">
      <w:pPr>
        <w:pStyle w:val="ItemHead"/>
      </w:pPr>
      <w:bookmarkStart w:id="86" w:name="_Ref190355567"/>
      <w:bookmarkEnd w:id="85"/>
      <w:r w:rsidRPr="008B1975">
        <w:t xml:space="preserve">4  </w:t>
      </w:r>
      <w:r w:rsidR="005606F7" w:rsidRPr="008B1975">
        <w:t>Section 8.2 (table)</w:t>
      </w:r>
      <w:bookmarkEnd w:id="84"/>
      <w:bookmarkEnd w:id="86"/>
    </w:p>
    <w:p w14:paraId="68FD0F65" w14:textId="77777777" w:rsidR="005606F7" w:rsidRPr="008B1975" w:rsidRDefault="005606F7" w:rsidP="005606F7">
      <w:pPr>
        <w:pStyle w:val="Item"/>
      </w:pPr>
      <w:r w:rsidRPr="008B1975">
        <w:t>Repeal the table, substitute:</w:t>
      </w:r>
    </w:p>
    <w:p w14:paraId="4F447958" w14:textId="77777777" w:rsidR="005606F7" w:rsidRPr="008B1975" w:rsidRDefault="005606F7" w:rsidP="005606F7">
      <w:pPr>
        <w:pStyle w:val="subsection"/>
      </w:pPr>
      <w:r w:rsidRPr="008B1975">
        <w:tab/>
        <w:t>(2)</w:t>
      </w:r>
      <w:r w:rsidRPr="008B1975">
        <w:tab/>
        <w:t>The following table specifies conveyances, premises and infrastructure this section applies to.</w:t>
      </w:r>
    </w:p>
    <w:p w14:paraId="10F01524"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56CAB3D1"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6567B654" w14:textId="77777777" w:rsidR="005606F7" w:rsidRPr="008B1975" w:rsidRDefault="005606F7" w:rsidP="005606F7">
            <w:pPr>
              <w:pStyle w:val="TableHeading"/>
            </w:pPr>
            <w:r w:rsidRPr="008B1975">
              <w:t>Application of this section</w:t>
            </w:r>
          </w:p>
        </w:tc>
      </w:tr>
      <w:tr w:rsidR="005606F7" w:rsidRPr="008B1975" w14:paraId="6DFDC87C" w14:textId="77777777" w:rsidTr="00B9444D">
        <w:trPr>
          <w:trHeight w:val="300"/>
          <w:tblHeader/>
        </w:trPr>
        <w:tc>
          <w:tcPr>
            <w:tcW w:w="1667" w:type="pct"/>
            <w:tcBorders>
              <w:top w:val="single" w:sz="6" w:space="0" w:color="auto"/>
              <w:left w:val="nil"/>
              <w:bottom w:val="single" w:sz="12" w:space="0" w:color="auto"/>
              <w:right w:val="nil"/>
            </w:tcBorders>
            <w:hideMark/>
          </w:tcPr>
          <w:p w14:paraId="39614A11"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646352A7"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5166C0C3" w14:textId="77777777" w:rsidR="005606F7" w:rsidRPr="008B1975" w:rsidRDefault="005606F7" w:rsidP="005606F7">
            <w:pPr>
              <w:pStyle w:val="TableHeading"/>
            </w:pPr>
            <w:r w:rsidRPr="008B1975">
              <w:t>Infrastructure</w:t>
            </w:r>
          </w:p>
        </w:tc>
      </w:tr>
      <w:tr w:rsidR="005606F7" w:rsidRPr="008B1975" w14:paraId="602BBA59" w14:textId="77777777" w:rsidTr="00B9444D">
        <w:trPr>
          <w:trHeight w:val="300"/>
        </w:trPr>
        <w:tc>
          <w:tcPr>
            <w:tcW w:w="1667" w:type="pct"/>
            <w:tcBorders>
              <w:top w:val="single" w:sz="12" w:space="0" w:color="auto"/>
              <w:left w:val="nil"/>
              <w:bottom w:val="single" w:sz="12" w:space="0" w:color="auto"/>
              <w:right w:val="nil"/>
            </w:tcBorders>
            <w:hideMark/>
          </w:tcPr>
          <w:p w14:paraId="3C014079" w14:textId="77777777" w:rsidR="005606F7" w:rsidRPr="008B1975" w:rsidRDefault="005606F7" w:rsidP="0030023D">
            <w:pPr>
              <w:pStyle w:val="Tabletext"/>
            </w:pPr>
            <w:r w:rsidRPr="008B1975">
              <w:t>All</w:t>
            </w:r>
            <w:r w:rsidR="006E684F" w:rsidRPr="008B1975">
              <w:rPr>
                <w:color w:val="000000" w:themeColor="text1"/>
              </w:rPr>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17132C83" w14:textId="77777777" w:rsidR="005606F7" w:rsidRPr="008B1975" w:rsidRDefault="005606F7" w:rsidP="005606F7">
            <w:pPr>
              <w:pStyle w:val="Tabletext"/>
            </w:pPr>
            <w:r w:rsidRPr="008B1975">
              <w:t>None</w:t>
            </w:r>
          </w:p>
        </w:tc>
        <w:tc>
          <w:tcPr>
            <w:tcW w:w="1667" w:type="pct"/>
            <w:tcBorders>
              <w:top w:val="single" w:sz="12" w:space="0" w:color="auto"/>
              <w:left w:val="nil"/>
              <w:bottom w:val="single" w:sz="12" w:space="0" w:color="auto"/>
              <w:right w:val="nil"/>
            </w:tcBorders>
            <w:hideMark/>
          </w:tcPr>
          <w:p w14:paraId="559F6D2A" w14:textId="77777777" w:rsidR="005606F7" w:rsidRPr="008B1975" w:rsidRDefault="005606F7" w:rsidP="005606F7">
            <w:pPr>
              <w:pStyle w:val="Tabletext"/>
            </w:pPr>
            <w:r w:rsidRPr="008B1975">
              <w:t>None</w:t>
            </w:r>
          </w:p>
        </w:tc>
      </w:tr>
    </w:tbl>
    <w:p w14:paraId="0898DD39" w14:textId="77777777" w:rsidR="005606F7" w:rsidRPr="008B1975" w:rsidRDefault="000A511B" w:rsidP="000A511B">
      <w:pPr>
        <w:pStyle w:val="ItemHead"/>
      </w:pPr>
      <w:bookmarkStart w:id="87" w:name="_Ref185328635"/>
      <w:r w:rsidRPr="008B1975">
        <w:t xml:space="preserve">5  </w:t>
      </w:r>
      <w:r w:rsidR="005606F7" w:rsidRPr="008B1975">
        <w:t>Section 8.3 (table)</w:t>
      </w:r>
      <w:bookmarkEnd w:id="87"/>
    </w:p>
    <w:p w14:paraId="6B6B94F8" w14:textId="77777777" w:rsidR="005606F7" w:rsidRPr="008B1975" w:rsidRDefault="005606F7" w:rsidP="005606F7">
      <w:pPr>
        <w:pStyle w:val="Item"/>
      </w:pPr>
      <w:r w:rsidRPr="008B1975">
        <w:t>Repeal the table, substitute:</w:t>
      </w:r>
    </w:p>
    <w:p w14:paraId="193ECFF4" w14:textId="77777777" w:rsidR="005606F7" w:rsidRPr="008B1975" w:rsidRDefault="005606F7" w:rsidP="005606F7">
      <w:pPr>
        <w:pStyle w:val="subsection"/>
      </w:pPr>
      <w:r w:rsidRPr="008B1975">
        <w:tab/>
        <w:t>(3)</w:t>
      </w:r>
      <w:r w:rsidRPr="008B1975">
        <w:tab/>
        <w:t>The following table specifies conveyances, premises and infrastructure this section applies to.</w:t>
      </w:r>
    </w:p>
    <w:p w14:paraId="19BC7FD0"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1C0934BF"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6F7FFC91" w14:textId="77777777" w:rsidR="005606F7" w:rsidRPr="008B1975" w:rsidRDefault="005606F7" w:rsidP="005606F7">
            <w:pPr>
              <w:pStyle w:val="TableHeading"/>
            </w:pPr>
            <w:r w:rsidRPr="008B1975">
              <w:t>Application of this section</w:t>
            </w:r>
          </w:p>
        </w:tc>
      </w:tr>
      <w:tr w:rsidR="005606F7" w:rsidRPr="008B1975" w14:paraId="634C6C4B" w14:textId="77777777" w:rsidTr="00B9444D">
        <w:trPr>
          <w:trHeight w:val="300"/>
          <w:tblHeader/>
        </w:trPr>
        <w:tc>
          <w:tcPr>
            <w:tcW w:w="1667" w:type="pct"/>
            <w:tcBorders>
              <w:top w:val="single" w:sz="6" w:space="0" w:color="auto"/>
              <w:left w:val="nil"/>
              <w:bottom w:val="single" w:sz="12" w:space="0" w:color="auto"/>
              <w:right w:val="nil"/>
            </w:tcBorders>
            <w:hideMark/>
          </w:tcPr>
          <w:p w14:paraId="283956C9"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3AC316DD"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6950FED0" w14:textId="77777777" w:rsidR="005606F7" w:rsidRPr="008B1975" w:rsidRDefault="005606F7" w:rsidP="005606F7">
            <w:pPr>
              <w:pStyle w:val="TableHeading"/>
            </w:pPr>
            <w:r w:rsidRPr="008B1975">
              <w:t>Infrastructure</w:t>
            </w:r>
          </w:p>
        </w:tc>
      </w:tr>
      <w:tr w:rsidR="005606F7" w:rsidRPr="008B1975" w14:paraId="0A25A1DB" w14:textId="77777777" w:rsidTr="00B9444D">
        <w:trPr>
          <w:trHeight w:val="300"/>
        </w:trPr>
        <w:tc>
          <w:tcPr>
            <w:tcW w:w="1667" w:type="pct"/>
            <w:tcBorders>
              <w:top w:val="single" w:sz="12" w:space="0" w:color="auto"/>
              <w:left w:val="nil"/>
              <w:bottom w:val="single" w:sz="12" w:space="0" w:color="auto"/>
              <w:right w:val="nil"/>
            </w:tcBorders>
            <w:hideMark/>
          </w:tcPr>
          <w:p w14:paraId="05E36752" w14:textId="77777777" w:rsidR="005606F7" w:rsidRPr="008B1975" w:rsidRDefault="005606F7" w:rsidP="0030023D">
            <w:pPr>
              <w:pStyle w:val="Tabletext"/>
            </w:pPr>
            <w:r w:rsidRPr="008B1975">
              <w:t>All</w:t>
            </w:r>
            <w:r w:rsidR="006E684F" w:rsidRPr="008B1975">
              <w:rPr>
                <w:color w:val="000000" w:themeColor="text1"/>
              </w:rPr>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7FFF61BE" w14:textId="77777777" w:rsidR="005606F7" w:rsidRPr="008B1975" w:rsidRDefault="005606F7" w:rsidP="005606F7">
            <w:pPr>
              <w:pStyle w:val="Tabletext"/>
            </w:pPr>
            <w:r w:rsidRPr="008B1975">
              <w:t>None</w:t>
            </w:r>
          </w:p>
        </w:tc>
        <w:tc>
          <w:tcPr>
            <w:tcW w:w="1667" w:type="pct"/>
            <w:tcBorders>
              <w:top w:val="single" w:sz="12" w:space="0" w:color="auto"/>
              <w:left w:val="nil"/>
              <w:bottom w:val="single" w:sz="12" w:space="0" w:color="auto"/>
              <w:right w:val="nil"/>
            </w:tcBorders>
            <w:hideMark/>
          </w:tcPr>
          <w:p w14:paraId="0355B5A1" w14:textId="77777777" w:rsidR="005606F7" w:rsidRPr="008B1975" w:rsidRDefault="005606F7" w:rsidP="005606F7">
            <w:pPr>
              <w:pStyle w:val="Tabletext"/>
            </w:pPr>
            <w:r w:rsidRPr="008B1975">
              <w:t>None</w:t>
            </w:r>
          </w:p>
        </w:tc>
      </w:tr>
    </w:tbl>
    <w:p w14:paraId="60BF0328" w14:textId="77777777" w:rsidR="0084373F" w:rsidRPr="008B1975" w:rsidRDefault="000A511B" w:rsidP="000A511B">
      <w:pPr>
        <w:pStyle w:val="ItemHead"/>
      </w:pPr>
      <w:bookmarkStart w:id="88" w:name="_Ref185328571"/>
      <w:bookmarkStart w:id="89" w:name="_Ref185425572"/>
      <w:r w:rsidRPr="008B1975">
        <w:t xml:space="preserve">6  </w:t>
      </w:r>
      <w:r w:rsidR="0084373F" w:rsidRPr="008B1975">
        <w:t>Subsection 8.4(1)</w:t>
      </w:r>
      <w:bookmarkEnd w:id="88"/>
      <w:bookmarkEnd w:id="89"/>
    </w:p>
    <w:p w14:paraId="1AE90301" w14:textId="77777777" w:rsidR="0084373F" w:rsidRPr="008B1975" w:rsidRDefault="0084373F" w:rsidP="0084373F">
      <w:pPr>
        <w:pStyle w:val="Item"/>
      </w:pPr>
      <w:r w:rsidRPr="008B1975">
        <w:t>Omit “nominated”.</w:t>
      </w:r>
    </w:p>
    <w:p w14:paraId="7824FF4C" w14:textId="77777777" w:rsidR="0084373F" w:rsidRPr="008B1975" w:rsidRDefault="000A511B" w:rsidP="000A511B">
      <w:pPr>
        <w:pStyle w:val="ItemHead"/>
      </w:pPr>
      <w:bookmarkStart w:id="90" w:name="_Ref185328573"/>
      <w:r w:rsidRPr="008B1975">
        <w:lastRenderedPageBreak/>
        <w:t xml:space="preserve">7  </w:t>
      </w:r>
      <w:r w:rsidR="0084373F" w:rsidRPr="008B1975">
        <w:t>Subsection 8.4(2)</w:t>
      </w:r>
      <w:bookmarkEnd w:id="90"/>
    </w:p>
    <w:p w14:paraId="3E6300D1" w14:textId="77777777" w:rsidR="0084373F" w:rsidRPr="008B1975" w:rsidRDefault="0084373F" w:rsidP="0084373F">
      <w:pPr>
        <w:pStyle w:val="Item"/>
      </w:pPr>
      <w:r w:rsidRPr="008B1975">
        <w:t>After “The”, insert “accessible”.</w:t>
      </w:r>
    </w:p>
    <w:p w14:paraId="772335A7" w14:textId="77777777" w:rsidR="005606F7" w:rsidRPr="008B1975" w:rsidRDefault="000A511B" w:rsidP="000A511B">
      <w:pPr>
        <w:pStyle w:val="ItemHead"/>
      </w:pPr>
      <w:bookmarkStart w:id="91" w:name="_Ref185329102"/>
      <w:r w:rsidRPr="008B1975">
        <w:t xml:space="preserve">8  </w:t>
      </w:r>
      <w:r w:rsidR="005606F7" w:rsidRPr="008B1975">
        <w:t>Section 8.4 (table)</w:t>
      </w:r>
      <w:bookmarkEnd w:id="91"/>
    </w:p>
    <w:p w14:paraId="1CCE3ECE" w14:textId="77777777" w:rsidR="005606F7" w:rsidRPr="008B1975" w:rsidRDefault="005606F7" w:rsidP="005606F7">
      <w:pPr>
        <w:pStyle w:val="Item"/>
      </w:pPr>
      <w:r w:rsidRPr="008B1975">
        <w:t>Repeal the table, substitute:</w:t>
      </w:r>
    </w:p>
    <w:p w14:paraId="2F4C377C" w14:textId="77777777" w:rsidR="005606F7" w:rsidRPr="008B1975" w:rsidRDefault="005606F7" w:rsidP="005606F7">
      <w:pPr>
        <w:pStyle w:val="subsection"/>
      </w:pPr>
      <w:r w:rsidRPr="008B1975">
        <w:tab/>
        <w:t>(3)</w:t>
      </w:r>
      <w:r w:rsidRPr="008B1975">
        <w:tab/>
        <w:t>The following table specifies conveyances, premises and infrastructure this section applies to.</w:t>
      </w:r>
    </w:p>
    <w:p w14:paraId="19F950F0"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5B9A8983"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0CA2C635" w14:textId="77777777" w:rsidR="005606F7" w:rsidRPr="008B1975" w:rsidRDefault="005606F7" w:rsidP="005606F7">
            <w:pPr>
              <w:pStyle w:val="TableHeading"/>
            </w:pPr>
            <w:r w:rsidRPr="008B1975">
              <w:t>Application of this section</w:t>
            </w:r>
          </w:p>
        </w:tc>
      </w:tr>
      <w:tr w:rsidR="005606F7" w:rsidRPr="008B1975" w14:paraId="2827DBFB" w14:textId="77777777" w:rsidTr="004E6262">
        <w:trPr>
          <w:trHeight w:val="300"/>
          <w:tblHeader/>
        </w:trPr>
        <w:tc>
          <w:tcPr>
            <w:tcW w:w="1667" w:type="pct"/>
            <w:tcBorders>
              <w:top w:val="single" w:sz="6" w:space="0" w:color="auto"/>
              <w:left w:val="nil"/>
              <w:bottom w:val="single" w:sz="12" w:space="0" w:color="auto"/>
              <w:right w:val="nil"/>
            </w:tcBorders>
            <w:hideMark/>
          </w:tcPr>
          <w:p w14:paraId="529A5183"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0535F027"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014AA851" w14:textId="77777777" w:rsidR="005606F7" w:rsidRPr="008B1975" w:rsidRDefault="005606F7" w:rsidP="005606F7">
            <w:pPr>
              <w:pStyle w:val="TableHeading"/>
            </w:pPr>
            <w:r w:rsidRPr="008B1975">
              <w:t>Infrastructure</w:t>
            </w:r>
          </w:p>
        </w:tc>
      </w:tr>
      <w:tr w:rsidR="005606F7" w:rsidRPr="008B1975" w14:paraId="08A7E928" w14:textId="77777777" w:rsidTr="004E6262">
        <w:trPr>
          <w:trHeight w:val="300"/>
        </w:trPr>
        <w:tc>
          <w:tcPr>
            <w:tcW w:w="1667" w:type="pct"/>
            <w:tcBorders>
              <w:top w:val="single" w:sz="12" w:space="0" w:color="auto"/>
              <w:left w:val="nil"/>
              <w:bottom w:val="single" w:sz="12" w:space="0" w:color="auto"/>
              <w:right w:val="nil"/>
            </w:tcBorders>
            <w:hideMark/>
          </w:tcPr>
          <w:p w14:paraId="1C2EFAA3" w14:textId="77777777" w:rsidR="005606F7" w:rsidRPr="008B1975" w:rsidRDefault="005606F7" w:rsidP="00451CB1">
            <w:pPr>
              <w:pStyle w:val="Tabletext"/>
            </w:pPr>
            <w:r w:rsidRPr="008B1975">
              <w:t>Hail-and-ride services</w:t>
            </w:r>
            <w:r w:rsidR="00451CB1" w:rsidRPr="008B1975">
              <w:t xml:space="preserve">, </w:t>
            </w:r>
            <w:r w:rsidRPr="008B1975">
              <w:t>except dedicated school buses</w:t>
            </w:r>
          </w:p>
        </w:tc>
        <w:tc>
          <w:tcPr>
            <w:tcW w:w="1667" w:type="pct"/>
            <w:tcBorders>
              <w:top w:val="single" w:sz="12" w:space="0" w:color="auto"/>
              <w:left w:val="nil"/>
              <w:bottom w:val="single" w:sz="12" w:space="0" w:color="auto"/>
              <w:right w:val="nil"/>
            </w:tcBorders>
            <w:hideMark/>
          </w:tcPr>
          <w:p w14:paraId="51520503" w14:textId="77777777" w:rsidR="005606F7" w:rsidRPr="008B1975" w:rsidRDefault="005606F7" w:rsidP="005606F7">
            <w:pPr>
              <w:pStyle w:val="Tabletext"/>
            </w:pPr>
            <w:r w:rsidRPr="008B1975">
              <w:t>None</w:t>
            </w:r>
          </w:p>
        </w:tc>
        <w:tc>
          <w:tcPr>
            <w:tcW w:w="1667" w:type="pct"/>
            <w:tcBorders>
              <w:top w:val="single" w:sz="12" w:space="0" w:color="auto"/>
              <w:left w:val="nil"/>
              <w:bottom w:val="single" w:sz="12" w:space="0" w:color="auto"/>
              <w:right w:val="nil"/>
            </w:tcBorders>
            <w:hideMark/>
          </w:tcPr>
          <w:p w14:paraId="5297125A" w14:textId="77777777" w:rsidR="005606F7" w:rsidRPr="008B1975" w:rsidRDefault="005606F7" w:rsidP="005606F7">
            <w:pPr>
              <w:pStyle w:val="Tabletext"/>
            </w:pPr>
            <w:r w:rsidRPr="008B1975">
              <w:t>None</w:t>
            </w:r>
          </w:p>
        </w:tc>
      </w:tr>
    </w:tbl>
    <w:p w14:paraId="2CA84A92" w14:textId="77777777" w:rsidR="005606F7" w:rsidRPr="008B1975" w:rsidRDefault="000A511B" w:rsidP="000A511B">
      <w:pPr>
        <w:pStyle w:val="ItemHead"/>
      </w:pPr>
      <w:bookmarkStart w:id="92" w:name="_Ref185329104"/>
      <w:r w:rsidRPr="008B1975">
        <w:t xml:space="preserve">9  </w:t>
      </w:r>
      <w:r w:rsidR="005606F7" w:rsidRPr="008B1975">
        <w:t>Section 8.5</w:t>
      </w:r>
      <w:bookmarkEnd w:id="92"/>
    </w:p>
    <w:p w14:paraId="4F418EDE" w14:textId="77777777" w:rsidR="005606F7" w:rsidRPr="008B1975" w:rsidRDefault="005606F7" w:rsidP="005606F7">
      <w:pPr>
        <w:pStyle w:val="Item"/>
      </w:pPr>
      <w:r w:rsidRPr="008B1975">
        <w:t>Before “A”, insert “(1)”.</w:t>
      </w:r>
    </w:p>
    <w:p w14:paraId="2112AD99" w14:textId="77777777" w:rsidR="00DF6B33" w:rsidRPr="008B1975" w:rsidRDefault="000A511B" w:rsidP="000A511B">
      <w:pPr>
        <w:pStyle w:val="ItemHead"/>
      </w:pPr>
      <w:bookmarkStart w:id="93" w:name="_Ref189665624"/>
      <w:r w:rsidRPr="008B1975">
        <w:t xml:space="preserve">10  </w:t>
      </w:r>
      <w:r w:rsidR="00DF6B33" w:rsidRPr="008B1975">
        <w:t>Paragraph 8.5(b)</w:t>
      </w:r>
      <w:bookmarkEnd w:id="93"/>
    </w:p>
    <w:p w14:paraId="649A7CFA" w14:textId="77777777" w:rsidR="001774A2" w:rsidRPr="008B1975" w:rsidRDefault="00DF6B33" w:rsidP="00DF6B33">
      <w:pPr>
        <w:pStyle w:val="Item"/>
      </w:pPr>
      <w:r w:rsidRPr="008B1975">
        <w:t>Omit “surface”, insert “walking surface that complies with clause 4.1 of AS 1428.1 (2021)”.</w:t>
      </w:r>
    </w:p>
    <w:p w14:paraId="15B97E15" w14:textId="77777777" w:rsidR="005606F7" w:rsidRPr="008B1975" w:rsidRDefault="000A511B" w:rsidP="000A511B">
      <w:pPr>
        <w:pStyle w:val="ItemHead"/>
      </w:pPr>
      <w:bookmarkStart w:id="94" w:name="_Ref185329108"/>
      <w:bookmarkStart w:id="95" w:name="_Ref191461041"/>
      <w:r w:rsidRPr="008B1975">
        <w:t xml:space="preserve">11  </w:t>
      </w:r>
      <w:r w:rsidR="005606F7" w:rsidRPr="008B1975">
        <w:t>Section 8.5 (table)</w:t>
      </w:r>
      <w:bookmarkEnd w:id="94"/>
      <w:bookmarkEnd w:id="95"/>
    </w:p>
    <w:p w14:paraId="08269764" w14:textId="77777777" w:rsidR="005606F7" w:rsidRPr="008B1975" w:rsidRDefault="005606F7" w:rsidP="005606F7">
      <w:pPr>
        <w:pStyle w:val="Item"/>
      </w:pPr>
      <w:r w:rsidRPr="008B1975">
        <w:t>Repeal the table, substitute:</w:t>
      </w:r>
    </w:p>
    <w:p w14:paraId="4B8A8DCD" w14:textId="77777777" w:rsidR="005606F7" w:rsidRPr="008B1975" w:rsidRDefault="005606F7" w:rsidP="005606F7">
      <w:pPr>
        <w:pStyle w:val="subsection"/>
      </w:pPr>
      <w:r w:rsidRPr="008B1975">
        <w:tab/>
        <w:t>(2)</w:t>
      </w:r>
      <w:r w:rsidRPr="008B1975">
        <w:tab/>
        <w:t>The following table specifies conveyances, premises and infrastructure this section applies to.</w:t>
      </w:r>
    </w:p>
    <w:p w14:paraId="1D6ECD56"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200969BD"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3EC82A3E" w14:textId="77777777" w:rsidR="005606F7" w:rsidRPr="008B1975" w:rsidRDefault="005606F7" w:rsidP="005606F7">
            <w:pPr>
              <w:pStyle w:val="TableHeading"/>
            </w:pPr>
            <w:r w:rsidRPr="008B1975">
              <w:t>Application of this section</w:t>
            </w:r>
          </w:p>
        </w:tc>
      </w:tr>
      <w:tr w:rsidR="005606F7" w:rsidRPr="008B1975" w14:paraId="6C96273A" w14:textId="77777777" w:rsidTr="004E6262">
        <w:trPr>
          <w:trHeight w:val="300"/>
          <w:tblHeader/>
        </w:trPr>
        <w:tc>
          <w:tcPr>
            <w:tcW w:w="1667" w:type="pct"/>
            <w:tcBorders>
              <w:top w:val="single" w:sz="6" w:space="0" w:color="auto"/>
              <w:left w:val="nil"/>
              <w:bottom w:val="single" w:sz="12" w:space="0" w:color="auto"/>
              <w:right w:val="nil"/>
            </w:tcBorders>
            <w:hideMark/>
          </w:tcPr>
          <w:p w14:paraId="242A29A4"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008C31FA"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1D65FC8B" w14:textId="77777777" w:rsidR="005606F7" w:rsidRPr="008B1975" w:rsidRDefault="005606F7" w:rsidP="005606F7">
            <w:pPr>
              <w:pStyle w:val="TableHeading"/>
            </w:pPr>
            <w:r w:rsidRPr="008B1975">
              <w:t>Infrastructure</w:t>
            </w:r>
          </w:p>
        </w:tc>
      </w:tr>
      <w:tr w:rsidR="005606F7" w:rsidRPr="008B1975" w14:paraId="03A7B7C8" w14:textId="77777777" w:rsidTr="004E6262">
        <w:trPr>
          <w:trHeight w:val="300"/>
        </w:trPr>
        <w:tc>
          <w:tcPr>
            <w:tcW w:w="1667" w:type="pct"/>
            <w:tcBorders>
              <w:top w:val="single" w:sz="12" w:space="0" w:color="auto"/>
              <w:left w:val="nil"/>
              <w:bottom w:val="single" w:sz="12" w:space="0" w:color="auto"/>
              <w:right w:val="nil"/>
            </w:tcBorders>
            <w:hideMark/>
          </w:tcPr>
          <w:p w14:paraId="576BD364" w14:textId="77777777" w:rsidR="005606F7" w:rsidRPr="008B1975" w:rsidRDefault="005606F7" w:rsidP="00775158">
            <w:pPr>
              <w:pStyle w:val="Tabletext"/>
            </w:pPr>
            <w:r w:rsidRPr="008B1975">
              <w:t>All</w:t>
            </w:r>
            <w:r w:rsidR="00775158" w:rsidRPr="008B1975">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5E999A8A" w14:textId="77777777" w:rsidR="005606F7" w:rsidRPr="008B1975" w:rsidRDefault="005606F7" w:rsidP="005606F7">
            <w:pPr>
              <w:pStyle w:val="Tabletext"/>
            </w:pPr>
            <w:r w:rsidRPr="008B1975">
              <w:t>None</w:t>
            </w:r>
          </w:p>
        </w:tc>
        <w:tc>
          <w:tcPr>
            <w:tcW w:w="1667" w:type="pct"/>
            <w:tcBorders>
              <w:top w:val="single" w:sz="12" w:space="0" w:color="auto"/>
              <w:left w:val="nil"/>
              <w:bottom w:val="single" w:sz="12" w:space="0" w:color="auto"/>
              <w:right w:val="nil"/>
            </w:tcBorders>
            <w:hideMark/>
          </w:tcPr>
          <w:p w14:paraId="45CA7999" w14:textId="77777777" w:rsidR="005606F7" w:rsidRPr="008B1975" w:rsidRDefault="005606F7" w:rsidP="005606F7">
            <w:pPr>
              <w:pStyle w:val="Tabletext"/>
            </w:pPr>
            <w:r w:rsidRPr="008B1975">
              <w:t>None</w:t>
            </w:r>
          </w:p>
        </w:tc>
      </w:tr>
    </w:tbl>
    <w:p w14:paraId="544214EC" w14:textId="77777777" w:rsidR="005606F7" w:rsidRPr="008B1975" w:rsidRDefault="000A511B" w:rsidP="000A511B">
      <w:pPr>
        <w:pStyle w:val="ItemHead"/>
      </w:pPr>
      <w:bookmarkStart w:id="96" w:name="_Ref185329111"/>
      <w:r w:rsidRPr="008B1975">
        <w:t xml:space="preserve">12  </w:t>
      </w:r>
      <w:r w:rsidR="005606F7" w:rsidRPr="008B1975">
        <w:t>Section 8.6 (table)</w:t>
      </w:r>
      <w:bookmarkEnd w:id="96"/>
    </w:p>
    <w:p w14:paraId="06299474" w14:textId="77777777" w:rsidR="005606F7" w:rsidRPr="008B1975" w:rsidRDefault="005606F7" w:rsidP="005606F7">
      <w:pPr>
        <w:pStyle w:val="Item"/>
      </w:pPr>
      <w:r w:rsidRPr="008B1975">
        <w:t>Repeal the table, substitute:</w:t>
      </w:r>
    </w:p>
    <w:p w14:paraId="0430DD24" w14:textId="77777777" w:rsidR="005606F7" w:rsidRPr="008B1975" w:rsidRDefault="005606F7" w:rsidP="005606F7">
      <w:pPr>
        <w:pStyle w:val="subsection"/>
      </w:pPr>
      <w:r w:rsidRPr="008B1975">
        <w:tab/>
        <w:t>(3)</w:t>
      </w:r>
      <w:r w:rsidRPr="008B1975">
        <w:tab/>
        <w:t>The following table specifies conveyances, premises and infrastructure this section applies to.</w:t>
      </w:r>
    </w:p>
    <w:p w14:paraId="61A06DFD"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7561A537"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62A880CA" w14:textId="77777777" w:rsidR="005606F7" w:rsidRPr="008B1975" w:rsidRDefault="005606F7" w:rsidP="005606F7">
            <w:pPr>
              <w:pStyle w:val="TableHeading"/>
            </w:pPr>
            <w:r w:rsidRPr="008B1975">
              <w:t>Application of this section</w:t>
            </w:r>
          </w:p>
        </w:tc>
      </w:tr>
      <w:tr w:rsidR="005606F7" w:rsidRPr="008B1975" w14:paraId="06875CB0" w14:textId="77777777" w:rsidTr="004E6262">
        <w:trPr>
          <w:trHeight w:val="300"/>
          <w:tblHeader/>
        </w:trPr>
        <w:tc>
          <w:tcPr>
            <w:tcW w:w="1667" w:type="pct"/>
            <w:tcBorders>
              <w:top w:val="single" w:sz="6" w:space="0" w:color="auto"/>
              <w:left w:val="nil"/>
              <w:bottom w:val="single" w:sz="12" w:space="0" w:color="auto"/>
              <w:right w:val="nil"/>
            </w:tcBorders>
            <w:hideMark/>
          </w:tcPr>
          <w:p w14:paraId="3E0C1509"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708FBD07"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5553AFAD" w14:textId="77777777" w:rsidR="005606F7" w:rsidRPr="008B1975" w:rsidRDefault="005606F7" w:rsidP="005606F7">
            <w:pPr>
              <w:pStyle w:val="TableHeading"/>
            </w:pPr>
            <w:r w:rsidRPr="008B1975">
              <w:t>Infrastructure</w:t>
            </w:r>
          </w:p>
        </w:tc>
      </w:tr>
      <w:tr w:rsidR="005606F7" w:rsidRPr="008B1975" w14:paraId="010BFE26" w14:textId="77777777" w:rsidTr="004E6262">
        <w:trPr>
          <w:trHeight w:val="300"/>
        </w:trPr>
        <w:tc>
          <w:tcPr>
            <w:tcW w:w="1667" w:type="pct"/>
            <w:tcBorders>
              <w:top w:val="single" w:sz="12" w:space="0" w:color="auto"/>
              <w:left w:val="nil"/>
              <w:bottom w:val="single" w:sz="12" w:space="0" w:color="auto"/>
              <w:right w:val="nil"/>
            </w:tcBorders>
            <w:hideMark/>
          </w:tcPr>
          <w:p w14:paraId="11FB8170" w14:textId="77777777" w:rsidR="005606F7" w:rsidRPr="008B1975" w:rsidRDefault="005606F7" w:rsidP="009A2E70">
            <w:pPr>
              <w:pStyle w:val="Tabletext"/>
            </w:pPr>
            <w:r w:rsidRPr="008B1975">
              <w:t>All</w:t>
            </w:r>
            <w:r w:rsidR="00775158" w:rsidRPr="008B1975">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78A173AF" w14:textId="77777777" w:rsidR="005606F7" w:rsidRPr="008B1975" w:rsidRDefault="005606F7" w:rsidP="009A2E70">
            <w:pPr>
              <w:pStyle w:val="Tabletext"/>
            </w:pPr>
            <w:r w:rsidRPr="008B1975">
              <w:t>None</w:t>
            </w:r>
          </w:p>
        </w:tc>
        <w:tc>
          <w:tcPr>
            <w:tcW w:w="1667" w:type="pct"/>
            <w:tcBorders>
              <w:top w:val="single" w:sz="12" w:space="0" w:color="auto"/>
              <w:left w:val="nil"/>
              <w:bottom w:val="single" w:sz="12" w:space="0" w:color="auto"/>
              <w:right w:val="nil"/>
            </w:tcBorders>
            <w:hideMark/>
          </w:tcPr>
          <w:p w14:paraId="64E00425" w14:textId="77777777" w:rsidR="005606F7" w:rsidRPr="008B1975" w:rsidRDefault="005606F7" w:rsidP="009A2E70">
            <w:pPr>
              <w:pStyle w:val="Tabletext"/>
            </w:pPr>
            <w:r w:rsidRPr="008B1975">
              <w:t>None</w:t>
            </w:r>
          </w:p>
        </w:tc>
      </w:tr>
    </w:tbl>
    <w:p w14:paraId="4421B133" w14:textId="77777777" w:rsidR="00FB42CC" w:rsidRPr="008B1975" w:rsidRDefault="000A511B" w:rsidP="000A511B">
      <w:pPr>
        <w:pStyle w:val="ItemHead"/>
      </w:pPr>
      <w:bookmarkStart w:id="97" w:name="_Ref185329142"/>
      <w:r w:rsidRPr="008B1975">
        <w:t xml:space="preserve">13  </w:t>
      </w:r>
      <w:r w:rsidR="00FB42CC" w:rsidRPr="008B1975">
        <w:t>After section 8.6</w:t>
      </w:r>
      <w:bookmarkEnd w:id="97"/>
    </w:p>
    <w:p w14:paraId="5B97D09C" w14:textId="77777777" w:rsidR="00FB42CC" w:rsidRPr="008B1975" w:rsidRDefault="00FB42CC" w:rsidP="00FB42CC">
      <w:pPr>
        <w:pStyle w:val="Item"/>
      </w:pPr>
      <w:r w:rsidRPr="008B1975">
        <w:t>Add:</w:t>
      </w:r>
    </w:p>
    <w:p w14:paraId="6A2AE93B" w14:textId="77777777" w:rsidR="00FB42CC" w:rsidRPr="008B1975" w:rsidRDefault="00FB42CC" w:rsidP="001715D4">
      <w:pPr>
        <w:pStyle w:val="ActHead5"/>
        <w:outlineLvl w:val="9"/>
      </w:pPr>
      <w:r w:rsidRPr="008B1975">
        <w:lastRenderedPageBreak/>
        <w:t>8.6A  Boarding ramps</w:t>
      </w:r>
    </w:p>
    <w:p w14:paraId="0B42603E" w14:textId="77777777" w:rsidR="00FB42CC" w:rsidRPr="008B1975" w:rsidRDefault="00FB42CC" w:rsidP="00FB42CC">
      <w:pPr>
        <w:pStyle w:val="subsection"/>
      </w:pPr>
      <w:r w:rsidRPr="008B1975">
        <w:tab/>
      </w:r>
      <w:r w:rsidR="009A2E70" w:rsidRPr="008B1975">
        <w:t>(1)</w:t>
      </w:r>
      <w:r w:rsidRPr="008B1975">
        <w:tab/>
        <w:t xml:space="preserve">Subject to subsection </w:t>
      </w:r>
      <w:r w:rsidR="009A2E70" w:rsidRPr="008B1975">
        <w:t>(2)</w:t>
      </w:r>
      <w:r w:rsidRPr="008B1975">
        <w:t>, a boarding ramp must comply with clauses 2.1.8 (b), (c), (f) and (g) of AS/NZS3856.1 (1998).</w:t>
      </w:r>
    </w:p>
    <w:p w14:paraId="0C72DBE8" w14:textId="77777777" w:rsidR="00FB42CC" w:rsidRPr="008B1975" w:rsidRDefault="00FB42CC" w:rsidP="00FB42CC">
      <w:pPr>
        <w:pStyle w:val="subsection"/>
        <w:rPr>
          <w:lang w:val="en-US"/>
        </w:rPr>
      </w:pPr>
      <w:r w:rsidRPr="008B1975">
        <w:tab/>
      </w:r>
      <w:r w:rsidR="009A2E70" w:rsidRPr="008B1975">
        <w:t>(2)</w:t>
      </w:r>
      <w:r w:rsidRPr="008B1975">
        <w:tab/>
        <w:t>Despite clause 2.1.8(f) of AS/NZS3856.1 (1998), a</w:t>
      </w:r>
      <w:r w:rsidRPr="008B1975">
        <w:rPr>
          <w:lang w:val="en-US"/>
        </w:rPr>
        <w:t xml:space="preserve"> portable boarding ramp that is not fixed to a conveyance must have vertical edge barriers with a height of no less than 65 mm and no more than 75 </w:t>
      </w:r>
      <w:r w:rsidRPr="008B1975">
        <w:t>mm</w:t>
      </w:r>
      <w:r w:rsidRPr="008B1975">
        <w:rPr>
          <w:lang w:val="en-US"/>
        </w:rPr>
        <w:t>.</w:t>
      </w:r>
    </w:p>
    <w:p w14:paraId="2D6AFB4B" w14:textId="77777777" w:rsidR="00FB42CC" w:rsidRPr="008B1975" w:rsidRDefault="00FB42CC" w:rsidP="00FB42CC">
      <w:pPr>
        <w:pStyle w:val="subsection"/>
      </w:pPr>
      <w:r w:rsidRPr="008B1975">
        <w:tab/>
        <w:t>(</w:t>
      </w:r>
      <w:r w:rsidR="00F7716C" w:rsidRPr="008B1975">
        <w:t>3</w:t>
      </w:r>
      <w:r w:rsidRPr="008B1975">
        <w:t>)</w:t>
      </w:r>
      <w:r w:rsidRPr="008B1975">
        <w:tab/>
        <w:t>The following table specifies conveyances, premises and infrastructure this section applies to.</w:t>
      </w:r>
    </w:p>
    <w:p w14:paraId="7C3745EF"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07D5FE5F"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6F82CBEC" w14:textId="77777777" w:rsidR="00FB42CC" w:rsidRPr="008B1975" w:rsidRDefault="00FB42CC" w:rsidP="00FB42CC">
            <w:pPr>
              <w:pStyle w:val="TableHeading"/>
            </w:pPr>
            <w:r w:rsidRPr="008B1975">
              <w:t>Application of this section</w:t>
            </w:r>
          </w:p>
        </w:tc>
      </w:tr>
      <w:tr w:rsidR="00FB42CC" w:rsidRPr="008B1975" w14:paraId="34BB904A" w14:textId="77777777" w:rsidTr="00FD3DC9">
        <w:trPr>
          <w:trHeight w:val="300"/>
          <w:tblHeader/>
        </w:trPr>
        <w:tc>
          <w:tcPr>
            <w:tcW w:w="1667" w:type="pct"/>
            <w:tcBorders>
              <w:top w:val="single" w:sz="6" w:space="0" w:color="auto"/>
              <w:bottom w:val="single" w:sz="12" w:space="0" w:color="auto"/>
            </w:tcBorders>
            <w:shd w:val="clear" w:color="auto" w:fill="auto"/>
            <w:hideMark/>
          </w:tcPr>
          <w:p w14:paraId="378C29B3" w14:textId="77777777" w:rsidR="00FB42CC" w:rsidRPr="008B1975" w:rsidRDefault="00FB42CC" w:rsidP="00FB42C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172891CB" w14:textId="77777777" w:rsidR="00FB42CC" w:rsidRPr="008B1975" w:rsidRDefault="00FB42CC" w:rsidP="00FB42C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0A6DE374" w14:textId="77777777" w:rsidR="00FB42CC" w:rsidRPr="008B1975" w:rsidRDefault="00FB42CC" w:rsidP="00FB42CC">
            <w:pPr>
              <w:pStyle w:val="TableHeading"/>
            </w:pPr>
            <w:r w:rsidRPr="008B1975">
              <w:t>Infrastructure</w:t>
            </w:r>
          </w:p>
        </w:tc>
      </w:tr>
      <w:tr w:rsidR="00FB42CC" w:rsidRPr="008B1975" w14:paraId="1A8EE6C6" w14:textId="77777777" w:rsidTr="00FD3DC9">
        <w:trPr>
          <w:trHeight w:val="300"/>
        </w:trPr>
        <w:tc>
          <w:tcPr>
            <w:tcW w:w="1667" w:type="pct"/>
            <w:tcBorders>
              <w:top w:val="single" w:sz="12" w:space="0" w:color="auto"/>
              <w:bottom w:val="single" w:sz="12" w:space="0" w:color="auto"/>
            </w:tcBorders>
            <w:shd w:val="clear" w:color="auto" w:fill="auto"/>
            <w:hideMark/>
          </w:tcPr>
          <w:p w14:paraId="1A9B34BC" w14:textId="77777777" w:rsidR="00FB42CC" w:rsidRPr="008B1975" w:rsidRDefault="00FB42CC" w:rsidP="00FB42CC">
            <w:pPr>
              <w:pStyle w:val="Tabletext"/>
            </w:pPr>
            <w:r w:rsidRPr="008B1975">
              <w:t>All, except ferries, dedicated school buses and small aircraft</w:t>
            </w:r>
          </w:p>
        </w:tc>
        <w:tc>
          <w:tcPr>
            <w:tcW w:w="1667" w:type="pct"/>
            <w:tcBorders>
              <w:top w:val="single" w:sz="12" w:space="0" w:color="auto"/>
              <w:bottom w:val="single" w:sz="12" w:space="0" w:color="auto"/>
            </w:tcBorders>
            <w:shd w:val="clear" w:color="auto" w:fill="auto"/>
            <w:hideMark/>
          </w:tcPr>
          <w:p w14:paraId="4F42DF92" w14:textId="77777777" w:rsidR="00FB42CC" w:rsidRPr="008B1975" w:rsidRDefault="00FB42CC" w:rsidP="00FB42CC">
            <w:pPr>
              <w:pStyle w:val="Tabletext"/>
            </w:pPr>
            <w:r w:rsidRPr="008B1975">
              <w:t>None</w:t>
            </w:r>
          </w:p>
        </w:tc>
        <w:tc>
          <w:tcPr>
            <w:tcW w:w="1667" w:type="pct"/>
            <w:tcBorders>
              <w:top w:val="single" w:sz="12" w:space="0" w:color="auto"/>
              <w:bottom w:val="single" w:sz="12" w:space="0" w:color="auto"/>
            </w:tcBorders>
            <w:shd w:val="clear" w:color="auto" w:fill="auto"/>
          </w:tcPr>
          <w:p w14:paraId="5387C49F" w14:textId="77777777" w:rsidR="00FB42CC" w:rsidRPr="008B1975" w:rsidRDefault="00FB42CC" w:rsidP="00FB42CC">
            <w:pPr>
              <w:pStyle w:val="Tabletext"/>
            </w:pPr>
            <w:r w:rsidRPr="008B1975">
              <w:t>None</w:t>
            </w:r>
          </w:p>
        </w:tc>
      </w:tr>
    </w:tbl>
    <w:p w14:paraId="7737F9B1" w14:textId="77777777" w:rsidR="00FB42CC" w:rsidRPr="008B1975" w:rsidRDefault="00FB42CC" w:rsidP="006202EA">
      <w:pPr>
        <w:pStyle w:val="ActHead5"/>
        <w:outlineLvl w:val="9"/>
      </w:pPr>
      <w:r w:rsidRPr="008B1975">
        <w:t>8.6B  Slope of external boarding ramps</w:t>
      </w:r>
    </w:p>
    <w:p w14:paraId="3972EB3F" w14:textId="77777777" w:rsidR="00FB42CC" w:rsidRPr="008B1975" w:rsidRDefault="00FB42CC" w:rsidP="00FB42CC">
      <w:pPr>
        <w:pStyle w:val="subsection"/>
      </w:pPr>
      <w:r w:rsidRPr="008B1975">
        <w:tab/>
        <w:t>(1)</w:t>
      </w:r>
      <w:r w:rsidRPr="008B1975">
        <w:tab/>
        <w:t>The slope of an external boarding ramp must not exceed:</w:t>
      </w:r>
    </w:p>
    <w:p w14:paraId="08B791C1" w14:textId="77777777" w:rsidR="00FB42CC" w:rsidRPr="008B1975" w:rsidRDefault="00FB42CC" w:rsidP="00FB42CC">
      <w:pPr>
        <w:pStyle w:val="paragraph"/>
      </w:pPr>
      <w:r w:rsidRPr="008B1975">
        <w:tab/>
      </w:r>
      <w:r w:rsidR="007C23B6" w:rsidRPr="008B1975">
        <w:t>(a)</w:t>
      </w:r>
      <w:r w:rsidRPr="008B1975">
        <w:tab/>
        <w:t>if access is unassisted and the ramp is more than 1520 mm long—a 1:14 gradient; and</w:t>
      </w:r>
    </w:p>
    <w:p w14:paraId="055F3FA1" w14:textId="77777777" w:rsidR="00FB42CC" w:rsidRPr="008B1975" w:rsidRDefault="00FB42CC" w:rsidP="00FB42CC">
      <w:pPr>
        <w:pStyle w:val="paragraph"/>
      </w:pPr>
      <w:r w:rsidRPr="008B1975">
        <w:tab/>
      </w:r>
      <w:r w:rsidR="007C23B6" w:rsidRPr="008B1975">
        <w:t>(b)</w:t>
      </w:r>
      <w:r w:rsidRPr="008B1975">
        <w:tab/>
        <w:t>if access is unassisted and the ramp is less than 1520 mm long—a 1:8 gradient; and</w:t>
      </w:r>
    </w:p>
    <w:p w14:paraId="3218C4E7" w14:textId="77777777" w:rsidR="00FB42CC" w:rsidRPr="008B1975" w:rsidRDefault="00FB42CC" w:rsidP="00FB42CC">
      <w:pPr>
        <w:pStyle w:val="paragraph"/>
      </w:pPr>
      <w:r w:rsidRPr="008B1975">
        <w:tab/>
      </w:r>
      <w:r w:rsidR="007C23B6" w:rsidRPr="008B1975">
        <w:t>(c)</w:t>
      </w:r>
      <w:r w:rsidRPr="008B1975">
        <w:tab/>
        <w:t>if access is assisted—a 1:4 gradient.</w:t>
      </w:r>
    </w:p>
    <w:p w14:paraId="7B469B58" w14:textId="77777777" w:rsidR="0036593D" w:rsidRPr="008B1975" w:rsidRDefault="0036593D" w:rsidP="0036593D">
      <w:pPr>
        <w:pStyle w:val="subsection"/>
      </w:pPr>
      <w:r w:rsidRPr="008B1975">
        <w:tab/>
        <w:t>(2)</w:t>
      </w:r>
      <w:r w:rsidRPr="008B1975">
        <w:tab/>
        <w:t xml:space="preserve">For the purposes of this section, access is </w:t>
      </w:r>
      <w:r w:rsidRPr="008B1975">
        <w:rPr>
          <w:b/>
          <w:i/>
        </w:rPr>
        <w:t>assisted</w:t>
      </w:r>
      <w:r w:rsidRPr="008B1975">
        <w:t xml:space="preserve"> if the dr</w:t>
      </w:r>
      <w:r w:rsidR="003D7862" w:rsidRPr="008B1975">
        <w:t>iver or another person provided by the operator</w:t>
      </w:r>
      <w:r w:rsidR="00A7194B" w:rsidRPr="008B1975">
        <w:t xml:space="preserve"> </w:t>
      </w:r>
      <w:r w:rsidR="00A7194B" w:rsidRPr="008B1975">
        <w:rPr>
          <w:color w:val="000000" w:themeColor="text1"/>
        </w:rPr>
        <w:t>or provider</w:t>
      </w:r>
      <w:r w:rsidR="003D7862" w:rsidRPr="008B1975">
        <w:t xml:space="preserve"> of the conveyanc</w:t>
      </w:r>
      <w:r w:rsidR="00F30E8A" w:rsidRPr="008B1975">
        <w:t xml:space="preserve">e is available to </w:t>
      </w:r>
      <w:r w:rsidR="003D7862" w:rsidRPr="008B1975">
        <w:t>assist</w:t>
      </w:r>
      <w:r w:rsidR="00F30E8A" w:rsidRPr="008B1975">
        <w:t xml:space="preserve"> a</w:t>
      </w:r>
      <w:r w:rsidR="003D7862" w:rsidRPr="008B1975">
        <w:t xml:space="preserve"> pe</w:t>
      </w:r>
      <w:r w:rsidR="00F30E8A" w:rsidRPr="008B1975">
        <w:t>rson</w:t>
      </w:r>
      <w:r w:rsidR="003D7862" w:rsidRPr="008B1975">
        <w:t xml:space="preserve"> with disability to use the boarding ramp.</w:t>
      </w:r>
    </w:p>
    <w:p w14:paraId="5EC27F78" w14:textId="77777777" w:rsidR="00FB42CC" w:rsidRPr="008B1975" w:rsidRDefault="00FB42CC" w:rsidP="00FB42CC">
      <w:pPr>
        <w:pStyle w:val="subsection"/>
      </w:pPr>
      <w:r w:rsidRPr="008B1975">
        <w:tab/>
        <w:t>(</w:t>
      </w:r>
      <w:r w:rsidR="0036593D" w:rsidRPr="008B1975">
        <w:t>3</w:t>
      </w:r>
      <w:r w:rsidRPr="008B1975">
        <w:t>)</w:t>
      </w:r>
      <w:r w:rsidRPr="008B1975">
        <w:tab/>
        <w:t>The following table specifies conveyances, premises and infrastructure this section applies to.</w:t>
      </w:r>
    </w:p>
    <w:p w14:paraId="66A10C36"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000FC22A"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4B5E69DB" w14:textId="77777777" w:rsidR="00FB42CC" w:rsidRPr="008B1975" w:rsidRDefault="00FB42CC" w:rsidP="00FB42CC">
            <w:pPr>
              <w:pStyle w:val="TableHeading"/>
            </w:pPr>
            <w:r w:rsidRPr="008B1975">
              <w:t>Application of this section</w:t>
            </w:r>
          </w:p>
        </w:tc>
      </w:tr>
      <w:tr w:rsidR="00FB42CC" w:rsidRPr="008B1975" w14:paraId="7084AC31" w14:textId="77777777" w:rsidTr="004E6262">
        <w:trPr>
          <w:trHeight w:val="300"/>
          <w:tblHeader/>
        </w:trPr>
        <w:tc>
          <w:tcPr>
            <w:tcW w:w="1667" w:type="pct"/>
            <w:tcBorders>
              <w:top w:val="single" w:sz="6" w:space="0" w:color="auto"/>
              <w:bottom w:val="single" w:sz="12" w:space="0" w:color="auto"/>
            </w:tcBorders>
            <w:shd w:val="clear" w:color="auto" w:fill="auto"/>
            <w:hideMark/>
          </w:tcPr>
          <w:p w14:paraId="7798834C" w14:textId="77777777" w:rsidR="00FB42CC" w:rsidRPr="008B1975" w:rsidRDefault="00FB42CC" w:rsidP="00FB42C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0F1E3BD" w14:textId="77777777" w:rsidR="00FB42CC" w:rsidRPr="008B1975" w:rsidRDefault="00FB42CC" w:rsidP="00FB42C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ABA84C7" w14:textId="77777777" w:rsidR="00FB42CC" w:rsidRPr="008B1975" w:rsidRDefault="00FB42CC" w:rsidP="00FB42CC">
            <w:pPr>
              <w:pStyle w:val="TableHeading"/>
            </w:pPr>
            <w:r w:rsidRPr="008B1975">
              <w:t>Infrastructure</w:t>
            </w:r>
          </w:p>
        </w:tc>
      </w:tr>
      <w:tr w:rsidR="00FB42CC" w:rsidRPr="008B1975" w14:paraId="37B694C1" w14:textId="77777777" w:rsidTr="004E6262">
        <w:trPr>
          <w:trHeight w:val="300"/>
        </w:trPr>
        <w:tc>
          <w:tcPr>
            <w:tcW w:w="1667" w:type="pct"/>
            <w:tcBorders>
              <w:top w:val="single" w:sz="12" w:space="0" w:color="auto"/>
              <w:bottom w:val="single" w:sz="12" w:space="0" w:color="auto"/>
            </w:tcBorders>
            <w:shd w:val="clear" w:color="auto" w:fill="auto"/>
            <w:hideMark/>
          </w:tcPr>
          <w:p w14:paraId="2CCED534" w14:textId="77777777" w:rsidR="00FB42CC" w:rsidRPr="008B1975" w:rsidRDefault="00FB42CC" w:rsidP="00FB42CC">
            <w:pPr>
              <w:pStyle w:val="Tabletext"/>
            </w:pPr>
            <w:r w:rsidRPr="008B1975">
              <w:t>All, except dedicated school buses and small aircraft</w:t>
            </w:r>
          </w:p>
        </w:tc>
        <w:tc>
          <w:tcPr>
            <w:tcW w:w="1667" w:type="pct"/>
            <w:tcBorders>
              <w:top w:val="single" w:sz="12" w:space="0" w:color="auto"/>
              <w:bottom w:val="single" w:sz="12" w:space="0" w:color="auto"/>
            </w:tcBorders>
            <w:shd w:val="clear" w:color="auto" w:fill="auto"/>
            <w:hideMark/>
          </w:tcPr>
          <w:p w14:paraId="15D5FA0B" w14:textId="77777777" w:rsidR="00FB42CC" w:rsidRPr="008B1975" w:rsidRDefault="00FB42CC" w:rsidP="00FB42CC">
            <w:pPr>
              <w:pStyle w:val="Tabletext"/>
            </w:pPr>
            <w:r w:rsidRPr="008B1975">
              <w:t>None</w:t>
            </w:r>
          </w:p>
        </w:tc>
        <w:tc>
          <w:tcPr>
            <w:tcW w:w="1667" w:type="pct"/>
            <w:tcBorders>
              <w:top w:val="single" w:sz="12" w:space="0" w:color="auto"/>
              <w:bottom w:val="single" w:sz="12" w:space="0" w:color="auto"/>
            </w:tcBorders>
            <w:shd w:val="clear" w:color="auto" w:fill="auto"/>
          </w:tcPr>
          <w:p w14:paraId="4CE63CC8" w14:textId="77777777" w:rsidR="00FB42CC" w:rsidRPr="008B1975" w:rsidRDefault="00FB42CC" w:rsidP="00FB42CC">
            <w:pPr>
              <w:pStyle w:val="Tabletext"/>
            </w:pPr>
            <w:r w:rsidRPr="008B1975">
              <w:t>None</w:t>
            </w:r>
          </w:p>
        </w:tc>
      </w:tr>
    </w:tbl>
    <w:p w14:paraId="7275909E" w14:textId="77777777" w:rsidR="008F5628" w:rsidRPr="008B1975" w:rsidRDefault="008F5628" w:rsidP="008F5628">
      <w:pPr>
        <w:pStyle w:val="ActHead5"/>
        <w:outlineLvl w:val="9"/>
      </w:pPr>
      <w:bookmarkStart w:id="98" w:name="_Ref185329558"/>
      <w:r w:rsidRPr="008B1975">
        <w:t>8.6C  Length and security of removeable gangways</w:t>
      </w:r>
    </w:p>
    <w:p w14:paraId="2339FBCE" w14:textId="77777777" w:rsidR="008F5628" w:rsidRPr="008B1975" w:rsidRDefault="008F5628" w:rsidP="008F5628">
      <w:pPr>
        <w:pStyle w:val="subsection"/>
      </w:pPr>
      <w:r w:rsidRPr="008B1975">
        <w:tab/>
        <w:t>(1)</w:t>
      </w:r>
      <w:r w:rsidRPr="008B1975">
        <w:tab/>
        <w:t>A removeable gangway must, during normal operations over the normal range of tide and vessel freeboards, have the following:</w:t>
      </w:r>
    </w:p>
    <w:p w14:paraId="027DD1CD" w14:textId="77777777" w:rsidR="008F5628" w:rsidRPr="008B1975" w:rsidRDefault="008F5628" w:rsidP="008F5628">
      <w:pPr>
        <w:pStyle w:val="paragraph"/>
      </w:pPr>
      <w:r w:rsidRPr="008B1975">
        <w:tab/>
        <w:t>(a)</w:t>
      </w:r>
      <w:r w:rsidRPr="008B1975">
        <w:tab/>
        <w:t>sufficient length to ensure that the entry and exit points of the gangway maintain a safe clearance from the edge of the quayside or pontoon and the ferry deck;</w:t>
      </w:r>
    </w:p>
    <w:p w14:paraId="2FE64F49" w14:textId="77777777" w:rsidR="008F5628" w:rsidRPr="008B1975" w:rsidRDefault="008F5628" w:rsidP="008F5628">
      <w:pPr>
        <w:pStyle w:val="paragraph"/>
      </w:pPr>
      <w:r w:rsidRPr="008B1975">
        <w:tab/>
        <w:t>(b)</w:t>
      </w:r>
      <w:r w:rsidRPr="008B1975">
        <w:tab/>
        <w:t>an effective means to mechanically secure both sides of the gangway.</w:t>
      </w:r>
    </w:p>
    <w:p w14:paraId="317C64A3" w14:textId="77777777" w:rsidR="008F5628" w:rsidRPr="008B1975" w:rsidRDefault="008F5628" w:rsidP="00FD3DC9">
      <w:pPr>
        <w:pStyle w:val="subsection"/>
      </w:pPr>
      <w:r w:rsidRPr="008B1975">
        <w:rPr>
          <w:rStyle w:val="CharBoldItalic"/>
          <w:b w:val="0"/>
          <w:i w:val="0"/>
        </w:rPr>
        <w:tab/>
      </w:r>
      <w:r w:rsidRPr="008B1975">
        <w:t>(2)</w:t>
      </w:r>
      <w:r w:rsidRPr="008B1975">
        <w:tab/>
        <w:t>The following table specifies conveyances, premises and infrastructure this section applies to.</w:t>
      </w:r>
    </w:p>
    <w:p w14:paraId="0C2D85C7" w14:textId="77777777" w:rsidR="008F5628" w:rsidRPr="008B1975" w:rsidRDefault="008F5628" w:rsidP="008F5628">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307127EB"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p w14:paraId="4971DE7C" w14:textId="77777777" w:rsidR="008F5628" w:rsidRPr="008B1975" w:rsidRDefault="008F5628" w:rsidP="00AB53F1">
            <w:pPr>
              <w:pStyle w:val="TableHeading"/>
            </w:pPr>
            <w:r w:rsidRPr="008B1975">
              <w:lastRenderedPageBreak/>
              <w:t>Application of this section</w:t>
            </w:r>
          </w:p>
        </w:tc>
      </w:tr>
      <w:tr w:rsidR="008F5628" w:rsidRPr="008B1975" w14:paraId="15836E63" w14:textId="77777777" w:rsidTr="004E6262">
        <w:trPr>
          <w:trHeight w:val="300"/>
          <w:tblHeader/>
        </w:trPr>
        <w:tc>
          <w:tcPr>
            <w:tcW w:w="1667" w:type="pct"/>
            <w:tcBorders>
              <w:top w:val="single" w:sz="6" w:space="0" w:color="auto"/>
              <w:bottom w:val="single" w:sz="12" w:space="0" w:color="auto"/>
            </w:tcBorders>
            <w:shd w:val="clear" w:color="auto" w:fill="auto"/>
            <w:hideMark/>
          </w:tcPr>
          <w:p w14:paraId="0015394B"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49439A55"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1848F8A" w14:textId="77777777" w:rsidR="008F5628" w:rsidRPr="008B1975" w:rsidRDefault="008F5628" w:rsidP="00AB53F1">
            <w:pPr>
              <w:pStyle w:val="TableHeading"/>
            </w:pPr>
            <w:r w:rsidRPr="008B1975">
              <w:t>Infrastructure</w:t>
            </w:r>
          </w:p>
        </w:tc>
      </w:tr>
      <w:tr w:rsidR="008F5628" w:rsidRPr="008B1975" w14:paraId="713B6CDC" w14:textId="77777777" w:rsidTr="004E6262">
        <w:trPr>
          <w:trHeight w:val="300"/>
        </w:trPr>
        <w:tc>
          <w:tcPr>
            <w:tcW w:w="1667" w:type="pct"/>
            <w:tcBorders>
              <w:top w:val="single" w:sz="12" w:space="0" w:color="auto"/>
              <w:bottom w:val="single" w:sz="12" w:space="0" w:color="auto"/>
            </w:tcBorders>
            <w:shd w:val="clear" w:color="auto" w:fill="auto"/>
            <w:hideMark/>
          </w:tcPr>
          <w:p w14:paraId="6E2E89DA" w14:textId="77777777" w:rsidR="008F5628" w:rsidRPr="008B1975" w:rsidRDefault="008F5628" w:rsidP="00AB53F1">
            <w:pPr>
              <w:pStyle w:val="Tabletext"/>
              <w:rPr>
                <w:color w:val="000000" w:themeColor="text1"/>
              </w:rPr>
            </w:pPr>
            <w:r w:rsidRPr="008B1975">
              <w:rPr>
                <w:color w:val="000000" w:themeColor="text1"/>
              </w:rPr>
              <w:t>Ferries</w:t>
            </w:r>
          </w:p>
        </w:tc>
        <w:tc>
          <w:tcPr>
            <w:tcW w:w="1667" w:type="pct"/>
            <w:tcBorders>
              <w:top w:val="single" w:sz="12" w:space="0" w:color="auto"/>
              <w:bottom w:val="single" w:sz="12" w:space="0" w:color="auto"/>
            </w:tcBorders>
            <w:shd w:val="clear" w:color="auto" w:fill="auto"/>
            <w:hideMark/>
          </w:tcPr>
          <w:p w14:paraId="0A6B71C0" w14:textId="77777777" w:rsidR="008F5628" w:rsidRPr="008B1975" w:rsidRDefault="008F5628" w:rsidP="00AB53F1">
            <w:pPr>
              <w:pStyle w:val="Tabletext"/>
              <w:rPr>
                <w:color w:val="000000" w:themeColor="text1"/>
              </w:rPr>
            </w:pPr>
            <w:r w:rsidRPr="008B1975">
              <w:rPr>
                <w:color w:val="000000" w:themeColor="text1"/>
              </w:rPr>
              <w:t>None</w:t>
            </w:r>
          </w:p>
        </w:tc>
        <w:tc>
          <w:tcPr>
            <w:tcW w:w="1667" w:type="pct"/>
            <w:tcBorders>
              <w:top w:val="single" w:sz="12" w:space="0" w:color="auto"/>
              <w:bottom w:val="single" w:sz="12" w:space="0" w:color="auto"/>
            </w:tcBorders>
            <w:shd w:val="clear" w:color="auto" w:fill="auto"/>
          </w:tcPr>
          <w:p w14:paraId="56F78879" w14:textId="77777777" w:rsidR="008F5628" w:rsidRPr="008B1975" w:rsidRDefault="008F5628" w:rsidP="00AB53F1">
            <w:pPr>
              <w:pStyle w:val="Tabletext"/>
            </w:pPr>
            <w:r w:rsidRPr="008B1975">
              <w:t>None</w:t>
            </w:r>
          </w:p>
        </w:tc>
      </w:tr>
    </w:tbl>
    <w:p w14:paraId="0FCC2B23" w14:textId="77777777" w:rsidR="008F5628" w:rsidRPr="008B1975" w:rsidRDefault="008F5628" w:rsidP="008F5628">
      <w:pPr>
        <w:pStyle w:val="ActHead5"/>
        <w:outlineLvl w:val="9"/>
      </w:pPr>
      <w:r w:rsidRPr="008B1975">
        <w:t>8.6D  Handrails on removeable gangways</w:t>
      </w:r>
    </w:p>
    <w:p w14:paraId="269F90E5" w14:textId="77777777" w:rsidR="008F5628" w:rsidRPr="008B1975" w:rsidRDefault="008F5628" w:rsidP="008F5628">
      <w:pPr>
        <w:pStyle w:val="subsection"/>
      </w:pPr>
      <w:r w:rsidRPr="008B1975">
        <w:tab/>
        <w:t>(1)</w:t>
      </w:r>
      <w:r w:rsidRPr="008B1975">
        <w:tab/>
        <w:t>A removeable gangway must have continuous handrails on both sides of its walking surface.</w:t>
      </w:r>
    </w:p>
    <w:p w14:paraId="528656FD" w14:textId="77777777" w:rsidR="00265A7D" w:rsidRPr="008B1975" w:rsidRDefault="0049121A" w:rsidP="0049121A">
      <w:pPr>
        <w:pStyle w:val="subsection"/>
      </w:pPr>
      <w:r w:rsidRPr="008B1975">
        <w:tab/>
        <w:t>(2)</w:t>
      </w:r>
      <w:r w:rsidRPr="008B1975">
        <w:tab/>
        <w:t>The width between the handrails must</w:t>
      </w:r>
      <w:r w:rsidR="00265A7D" w:rsidRPr="008B1975">
        <w:t>:</w:t>
      </w:r>
    </w:p>
    <w:p w14:paraId="06C411CA" w14:textId="77777777" w:rsidR="00265A7D" w:rsidRPr="008B1975" w:rsidRDefault="00265A7D" w:rsidP="00265A7D">
      <w:pPr>
        <w:pStyle w:val="paragraph"/>
      </w:pPr>
      <w:r w:rsidRPr="008B1975">
        <w:tab/>
        <w:t>(a)</w:t>
      </w:r>
      <w:r w:rsidRPr="008B1975">
        <w:tab/>
        <w:t xml:space="preserve">be </w:t>
      </w:r>
      <w:r w:rsidR="0049121A" w:rsidRPr="008B1975">
        <w:t>as wide as is safe and practicable</w:t>
      </w:r>
      <w:r w:rsidRPr="008B1975">
        <w:t>;</w:t>
      </w:r>
      <w:r w:rsidR="0049121A" w:rsidRPr="008B1975">
        <w:t xml:space="preserve"> and</w:t>
      </w:r>
    </w:p>
    <w:p w14:paraId="2AEB18BF" w14:textId="77777777" w:rsidR="0049121A" w:rsidRPr="008B1975" w:rsidRDefault="00265A7D" w:rsidP="00265A7D">
      <w:pPr>
        <w:pStyle w:val="paragraph"/>
      </w:pPr>
      <w:r w:rsidRPr="008B1975">
        <w:tab/>
        <w:t>(b)</w:t>
      </w:r>
      <w:r w:rsidRPr="008B1975">
        <w:tab/>
        <w:t xml:space="preserve">in any </w:t>
      </w:r>
      <w:r w:rsidR="00BE1B0F" w:rsidRPr="008B1975">
        <w:t>case</w:t>
      </w:r>
      <w:r w:rsidRPr="008B1975">
        <w:t xml:space="preserve">, be </w:t>
      </w:r>
      <w:r w:rsidR="0049121A" w:rsidRPr="008B1975">
        <w:t>at least 800 mm.</w:t>
      </w:r>
    </w:p>
    <w:p w14:paraId="1821313A" w14:textId="77777777" w:rsidR="008F5628" w:rsidRPr="008B1975" w:rsidRDefault="008F5628" w:rsidP="008F5628">
      <w:pPr>
        <w:pStyle w:val="subsection"/>
      </w:pPr>
      <w:r w:rsidRPr="008B1975">
        <w:tab/>
        <w:t>(</w:t>
      </w:r>
      <w:r w:rsidR="00265A7D" w:rsidRPr="008B1975">
        <w:t>3</w:t>
      </w:r>
      <w:r w:rsidRPr="008B1975">
        <w:t>)</w:t>
      </w:r>
      <w:r w:rsidRPr="008B1975">
        <w:tab/>
        <w:t>The handrails must:</w:t>
      </w:r>
    </w:p>
    <w:p w14:paraId="4C6A4FBE" w14:textId="77777777" w:rsidR="008F5628" w:rsidRPr="008B1975" w:rsidRDefault="008F5628" w:rsidP="008F5628">
      <w:pPr>
        <w:pStyle w:val="paragraph"/>
      </w:pPr>
      <w:r w:rsidRPr="008B1975">
        <w:tab/>
        <w:t>(</w:t>
      </w:r>
      <w:r w:rsidR="00265A7D" w:rsidRPr="008B1975">
        <w:t>a</w:t>
      </w:r>
      <w:r w:rsidRPr="008B1975">
        <w:t>)</w:t>
      </w:r>
      <w:r w:rsidRPr="008B1975">
        <w:tab/>
        <w:t>be at least 1000 mm high, as measured from the walking surface; and</w:t>
      </w:r>
    </w:p>
    <w:p w14:paraId="2582056A" w14:textId="77777777" w:rsidR="008F5628" w:rsidRPr="008B1975" w:rsidRDefault="008F5628" w:rsidP="008F5628">
      <w:pPr>
        <w:pStyle w:val="paragraph"/>
      </w:pPr>
      <w:r w:rsidRPr="008B1975">
        <w:tab/>
        <w:t>(</w:t>
      </w:r>
      <w:r w:rsidR="00265A7D" w:rsidRPr="008B1975">
        <w:t>b</w:t>
      </w:r>
      <w:r w:rsidRPr="008B1975">
        <w:t>)</w:t>
      </w:r>
      <w:r w:rsidRPr="008B1975">
        <w:tab/>
        <w:t xml:space="preserve">not </w:t>
      </w:r>
      <w:r w:rsidR="0049121A" w:rsidRPr="008B1975">
        <w:t xml:space="preserve">project </w:t>
      </w:r>
      <w:r w:rsidRPr="008B1975">
        <w:t xml:space="preserve">from the removeable gangway into access paths or circulation spaces; and </w:t>
      </w:r>
    </w:p>
    <w:p w14:paraId="081681BD" w14:textId="77777777" w:rsidR="008F5628" w:rsidRPr="008B1975" w:rsidRDefault="008F5628" w:rsidP="008F5628">
      <w:pPr>
        <w:pStyle w:val="paragraph"/>
      </w:pPr>
      <w:r w:rsidRPr="008B1975">
        <w:tab/>
        <w:t>(</w:t>
      </w:r>
      <w:r w:rsidR="00265A7D" w:rsidRPr="008B1975">
        <w:t>c</w:t>
      </w:r>
      <w:r w:rsidRPr="008B1975">
        <w:t>)</w:t>
      </w:r>
      <w:r w:rsidRPr="008B1975">
        <w:tab/>
        <w:t>comply with clause 12(b) of AS 1428.1 (2009); and</w:t>
      </w:r>
    </w:p>
    <w:p w14:paraId="627BD50C" w14:textId="77777777" w:rsidR="008F5628" w:rsidRPr="008B1975" w:rsidRDefault="008F5628" w:rsidP="008F5628">
      <w:pPr>
        <w:pStyle w:val="paragraph"/>
      </w:pPr>
      <w:r w:rsidRPr="008B1975">
        <w:tab/>
        <w:t>(</w:t>
      </w:r>
      <w:r w:rsidR="00265A7D" w:rsidRPr="008B1975">
        <w:t>d</w:t>
      </w:r>
      <w:r w:rsidRPr="008B1975">
        <w:t>)</w:t>
      </w:r>
      <w:r w:rsidRPr="008B1975">
        <w:tab/>
        <w:t xml:space="preserve">have a consistent finish across the entire length; and </w:t>
      </w:r>
    </w:p>
    <w:p w14:paraId="43A91FB3" w14:textId="77777777" w:rsidR="008F5628" w:rsidRPr="008B1975" w:rsidRDefault="008F5628" w:rsidP="008F5628">
      <w:pPr>
        <w:pStyle w:val="paragraph"/>
      </w:pPr>
      <w:r w:rsidRPr="008B1975">
        <w:tab/>
        <w:t>(</w:t>
      </w:r>
      <w:r w:rsidR="00265A7D" w:rsidRPr="008B1975">
        <w:t>f</w:t>
      </w:r>
      <w:r w:rsidRPr="008B1975">
        <w:t>)</w:t>
      </w:r>
      <w:r w:rsidRPr="008B1975">
        <w:tab/>
        <w:t xml:space="preserve">have a luminance contrast of not less than 30%, as tested in accordance with Appendix B of AS 1428.1 (2021) under both wet and dry conditions, when viewed against: </w:t>
      </w:r>
    </w:p>
    <w:p w14:paraId="4A31F6E9" w14:textId="77777777" w:rsidR="008F5628" w:rsidRPr="008B1975" w:rsidRDefault="008F5628" w:rsidP="008F5628">
      <w:pPr>
        <w:pStyle w:val="paragraphsub"/>
      </w:pPr>
      <w:r w:rsidRPr="008B1975">
        <w:tab/>
        <w:t>(i)</w:t>
      </w:r>
      <w:r w:rsidRPr="008B1975">
        <w:tab/>
        <w:t xml:space="preserve">the removable gangway walking surface; and </w:t>
      </w:r>
    </w:p>
    <w:p w14:paraId="79DA1D29" w14:textId="77777777" w:rsidR="00237622" w:rsidRPr="008B1975" w:rsidRDefault="008F5628" w:rsidP="00A7194B">
      <w:pPr>
        <w:pStyle w:val="paragraphsub"/>
      </w:pPr>
      <w:r w:rsidRPr="008B1975">
        <w:tab/>
        <w:t>(ii)</w:t>
      </w:r>
      <w:r w:rsidRPr="008B1975">
        <w:tab/>
        <w:t>any other fixed surfaces within 2 metres.</w:t>
      </w:r>
    </w:p>
    <w:p w14:paraId="3F9DA9E7" w14:textId="77777777" w:rsidR="008F5628" w:rsidRPr="008B1975" w:rsidRDefault="008F5628" w:rsidP="008F5628">
      <w:pPr>
        <w:pStyle w:val="subsection"/>
      </w:pPr>
      <w:r w:rsidRPr="008B1975">
        <w:tab/>
        <w:t>(</w:t>
      </w:r>
      <w:r w:rsidR="00C309A8" w:rsidRPr="008B1975">
        <w:t>4</w:t>
      </w:r>
      <w:r w:rsidRPr="008B1975">
        <w:t>)</w:t>
      </w:r>
      <w:r w:rsidRPr="008B1975">
        <w:tab/>
        <w:t>If a handrail on a removeable gangway is interrupted, the handrail must have a domed warning indicator that:</w:t>
      </w:r>
    </w:p>
    <w:p w14:paraId="1E8BCE13" w14:textId="77777777" w:rsidR="008F5628" w:rsidRPr="008B1975" w:rsidRDefault="008F5628" w:rsidP="008F5628">
      <w:pPr>
        <w:pStyle w:val="paragraph"/>
      </w:pPr>
      <w:r w:rsidRPr="008B1975">
        <w:tab/>
        <w:t>(a)</w:t>
      </w:r>
      <w:r w:rsidRPr="008B1975">
        <w:tab/>
        <w:t>is located on the top of the handrail; and</w:t>
      </w:r>
    </w:p>
    <w:p w14:paraId="746D697E" w14:textId="77777777" w:rsidR="008F5628" w:rsidRPr="008B1975" w:rsidRDefault="008F5628" w:rsidP="008F5628">
      <w:pPr>
        <w:pStyle w:val="paragraph"/>
      </w:pPr>
      <w:r w:rsidRPr="008B1975">
        <w:tab/>
        <w:t>(b)</w:t>
      </w:r>
      <w:r w:rsidRPr="008B1975">
        <w:tab/>
        <w:t>is positioned 150 mm from the interruption</w:t>
      </w:r>
      <w:r w:rsidR="00374BB5" w:rsidRPr="008B1975">
        <w:t>;</w:t>
      </w:r>
      <w:r w:rsidRPr="008B1975">
        <w:t xml:space="preserve"> and</w:t>
      </w:r>
    </w:p>
    <w:p w14:paraId="247508A0" w14:textId="77777777" w:rsidR="008F5628" w:rsidRPr="008B1975" w:rsidRDefault="008F5628" w:rsidP="008F5628">
      <w:pPr>
        <w:pStyle w:val="paragraph"/>
      </w:pPr>
      <w:r w:rsidRPr="008B1975">
        <w:tab/>
        <w:t>(c)</w:t>
      </w:r>
      <w:r w:rsidRPr="008B1975">
        <w:tab/>
        <w:t>has a height of no less than 4 mm and no more than 5 mm; and</w:t>
      </w:r>
    </w:p>
    <w:p w14:paraId="38D8B3B9" w14:textId="77777777" w:rsidR="008F5628" w:rsidRPr="008B1975" w:rsidRDefault="008F5628" w:rsidP="008F5628">
      <w:pPr>
        <w:pStyle w:val="paragraph"/>
      </w:pPr>
      <w:r w:rsidRPr="008B1975">
        <w:tab/>
        <w:t>(d)</w:t>
      </w:r>
      <w:r w:rsidRPr="008B1975">
        <w:tab/>
        <w:t>has a diameter of no less than 10 mm and no more than 12 mm.</w:t>
      </w:r>
    </w:p>
    <w:p w14:paraId="6C7392A0" w14:textId="77777777" w:rsidR="008F5628" w:rsidRPr="008B1975" w:rsidRDefault="008F5628" w:rsidP="008F5628">
      <w:pPr>
        <w:pStyle w:val="subsection"/>
        <w:rPr>
          <w:rStyle w:val="CharBoldItalic"/>
          <w:b w:val="0"/>
          <w:i w:val="0"/>
        </w:rPr>
      </w:pPr>
      <w:r w:rsidRPr="008B1975">
        <w:rPr>
          <w:rStyle w:val="CharBoldItalic"/>
          <w:b w:val="0"/>
          <w:i w:val="0"/>
        </w:rPr>
        <w:tab/>
        <w:t>(</w:t>
      </w:r>
      <w:r w:rsidR="00C309A8" w:rsidRPr="008B1975">
        <w:rPr>
          <w:rStyle w:val="CharBoldItalic"/>
          <w:b w:val="0"/>
          <w:i w:val="0"/>
        </w:rPr>
        <w:t>5</w:t>
      </w:r>
      <w:r w:rsidRPr="008B1975">
        <w:rPr>
          <w:rStyle w:val="CharBoldItalic"/>
          <w:b w:val="0"/>
          <w:i w:val="0"/>
        </w:rPr>
        <w:t>)</w:t>
      </w:r>
      <w:r w:rsidRPr="008B1975">
        <w:rPr>
          <w:rStyle w:val="CharBoldItalic"/>
          <w:b w:val="0"/>
          <w:i w:val="0"/>
        </w:rPr>
        <w:tab/>
        <w:t>The following table specifies conveyances, premises and infrastructure this section applies to.</w:t>
      </w:r>
    </w:p>
    <w:p w14:paraId="28CCFCD6" w14:textId="77777777" w:rsidR="008F5628" w:rsidRPr="008B1975" w:rsidRDefault="008F5628" w:rsidP="008F5628">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062C79A3"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p w14:paraId="5B0C6932" w14:textId="77777777" w:rsidR="008F5628" w:rsidRPr="008B1975" w:rsidRDefault="008F5628" w:rsidP="00AB53F1">
            <w:pPr>
              <w:pStyle w:val="TableHeading"/>
            </w:pPr>
            <w:r w:rsidRPr="008B1975">
              <w:t>Application of this section</w:t>
            </w:r>
          </w:p>
        </w:tc>
      </w:tr>
      <w:tr w:rsidR="008F5628" w:rsidRPr="008B1975" w14:paraId="1F4BE7FD" w14:textId="77777777" w:rsidTr="004E6262">
        <w:trPr>
          <w:trHeight w:val="300"/>
          <w:tblHeader/>
        </w:trPr>
        <w:tc>
          <w:tcPr>
            <w:tcW w:w="1667" w:type="pct"/>
            <w:tcBorders>
              <w:top w:val="single" w:sz="6" w:space="0" w:color="auto"/>
              <w:bottom w:val="single" w:sz="12" w:space="0" w:color="auto"/>
            </w:tcBorders>
            <w:shd w:val="clear" w:color="auto" w:fill="auto"/>
            <w:hideMark/>
          </w:tcPr>
          <w:p w14:paraId="734306DA"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6D6AD294"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361D5B7F" w14:textId="77777777" w:rsidR="008F5628" w:rsidRPr="008B1975" w:rsidRDefault="008F5628" w:rsidP="00AB53F1">
            <w:pPr>
              <w:pStyle w:val="TableHeading"/>
            </w:pPr>
            <w:r w:rsidRPr="008B1975">
              <w:t>Infrastructure</w:t>
            </w:r>
          </w:p>
        </w:tc>
      </w:tr>
      <w:tr w:rsidR="008F5628" w:rsidRPr="008B1975" w14:paraId="2C23AC85" w14:textId="77777777" w:rsidTr="004E6262">
        <w:trPr>
          <w:trHeight w:val="300"/>
        </w:trPr>
        <w:tc>
          <w:tcPr>
            <w:tcW w:w="1667" w:type="pct"/>
            <w:tcBorders>
              <w:top w:val="single" w:sz="12" w:space="0" w:color="auto"/>
              <w:bottom w:val="single" w:sz="12" w:space="0" w:color="auto"/>
            </w:tcBorders>
            <w:shd w:val="clear" w:color="auto" w:fill="auto"/>
            <w:hideMark/>
          </w:tcPr>
          <w:p w14:paraId="3E0F8803" w14:textId="77777777" w:rsidR="008F5628" w:rsidRPr="008B1975" w:rsidRDefault="008F5628" w:rsidP="00AB53F1">
            <w:pPr>
              <w:pStyle w:val="Tabletext"/>
            </w:pPr>
            <w:r w:rsidRPr="008B1975">
              <w:t>Ferries</w:t>
            </w:r>
          </w:p>
        </w:tc>
        <w:tc>
          <w:tcPr>
            <w:tcW w:w="1667" w:type="pct"/>
            <w:tcBorders>
              <w:top w:val="single" w:sz="12" w:space="0" w:color="auto"/>
              <w:bottom w:val="single" w:sz="12" w:space="0" w:color="auto"/>
            </w:tcBorders>
            <w:shd w:val="clear" w:color="auto" w:fill="auto"/>
            <w:hideMark/>
          </w:tcPr>
          <w:p w14:paraId="74E1B048" w14:textId="77777777" w:rsidR="008F5628" w:rsidRPr="008B1975" w:rsidRDefault="008F5628" w:rsidP="00AB53F1">
            <w:pPr>
              <w:pStyle w:val="Tabletext"/>
            </w:pPr>
            <w:r w:rsidRPr="008B1975">
              <w:t>None</w:t>
            </w:r>
          </w:p>
        </w:tc>
        <w:tc>
          <w:tcPr>
            <w:tcW w:w="1667" w:type="pct"/>
            <w:tcBorders>
              <w:top w:val="single" w:sz="12" w:space="0" w:color="auto"/>
              <w:bottom w:val="single" w:sz="12" w:space="0" w:color="auto"/>
            </w:tcBorders>
            <w:shd w:val="clear" w:color="auto" w:fill="auto"/>
          </w:tcPr>
          <w:p w14:paraId="1134A827" w14:textId="77777777" w:rsidR="008F5628" w:rsidRPr="008B1975" w:rsidRDefault="008F5628" w:rsidP="00AB53F1">
            <w:pPr>
              <w:pStyle w:val="Tabletext"/>
            </w:pPr>
            <w:r w:rsidRPr="008B1975">
              <w:t>None</w:t>
            </w:r>
          </w:p>
        </w:tc>
      </w:tr>
    </w:tbl>
    <w:p w14:paraId="6F9E47AD" w14:textId="77777777" w:rsidR="008F5628" w:rsidRPr="008B1975" w:rsidRDefault="008F5628" w:rsidP="008F5628">
      <w:pPr>
        <w:pStyle w:val="ActHead5"/>
        <w:outlineLvl w:val="9"/>
      </w:pPr>
      <w:r w:rsidRPr="008B1975">
        <w:t>8.6E  Side barriers and edge barriers on removeable gangways</w:t>
      </w:r>
    </w:p>
    <w:p w14:paraId="26309E20" w14:textId="3A703DFA" w:rsidR="008F5628" w:rsidRPr="008B1975" w:rsidRDefault="008F5628" w:rsidP="008F5628">
      <w:pPr>
        <w:pStyle w:val="subsection"/>
      </w:pPr>
      <w:r w:rsidRPr="008B1975">
        <w:tab/>
        <w:t>(1)</w:t>
      </w:r>
      <w:r w:rsidRPr="008B1975">
        <w:tab/>
        <w:t>A removeable gangway must be fenced on each side of its entire length with upper and intermediate side barriers</w:t>
      </w:r>
      <w:r w:rsidRPr="008B1975">
        <w:rPr>
          <w:i/>
        </w:rPr>
        <w:t xml:space="preserve"> </w:t>
      </w:r>
      <w:r w:rsidR="000600A9" w:rsidRPr="008B1975">
        <w:t>that</w:t>
      </w:r>
      <w:r w:rsidRPr="008B1975">
        <w:t>:</w:t>
      </w:r>
    </w:p>
    <w:p w14:paraId="322F0938" w14:textId="77777777" w:rsidR="008F5628" w:rsidRPr="008B1975" w:rsidRDefault="008F5628" w:rsidP="008F5628">
      <w:pPr>
        <w:pStyle w:val="paragraph"/>
      </w:pPr>
      <w:r w:rsidRPr="008B1975">
        <w:tab/>
        <w:t>(a)</w:t>
      </w:r>
      <w:r w:rsidRPr="008B1975">
        <w:tab/>
        <w:t>are made with fixed rails, taut ropes, taut chains or nylon barrier; and</w:t>
      </w:r>
    </w:p>
    <w:p w14:paraId="518169C8" w14:textId="77777777" w:rsidR="008F5628" w:rsidRPr="008B1975" w:rsidRDefault="008F5628" w:rsidP="008F5628">
      <w:pPr>
        <w:pStyle w:val="paragraph"/>
      </w:pPr>
      <w:r w:rsidRPr="008B1975">
        <w:tab/>
        <w:t>(b)</w:t>
      </w:r>
      <w:r w:rsidRPr="008B1975">
        <w:tab/>
        <w:t>if the gap between the walking surface and the lowest intermediate course of rail exceeds 230 mm—are fitted with boards at least 60 mm above the walking surface; and</w:t>
      </w:r>
    </w:p>
    <w:p w14:paraId="6CC3FF96" w14:textId="77777777" w:rsidR="008F5628" w:rsidRPr="008B1975" w:rsidRDefault="008F5628" w:rsidP="008F5628">
      <w:pPr>
        <w:pStyle w:val="paragraph"/>
      </w:pPr>
      <w:r w:rsidRPr="008B1975">
        <w:lastRenderedPageBreak/>
        <w:tab/>
        <w:t>(c)</w:t>
      </w:r>
      <w:r w:rsidRPr="008B1975">
        <w:tab/>
        <w:t>are arranged so that any covering material used on ropes or chains is easily removeable for inspection of their condition; and</w:t>
      </w:r>
    </w:p>
    <w:p w14:paraId="363106D8" w14:textId="77777777" w:rsidR="008F5628" w:rsidRPr="008B1975" w:rsidRDefault="008F5628" w:rsidP="008F5628">
      <w:pPr>
        <w:pStyle w:val="paragraph"/>
      </w:pPr>
      <w:r w:rsidRPr="008B1975">
        <w:tab/>
        <w:t>(d)</w:t>
      </w:r>
      <w:r w:rsidRPr="008B1975">
        <w:tab/>
        <w:t>are supported by stanchions spaced out not more than 2150 mm apart, each fitted with a locking device to prevent accidental dislodgment; and</w:t>
      </w:r>
    </w:p>
    <w:p w14:paraId="11E04EEF" w14:textId="77777777" w:rsidR="008F5628" w:rsidRPr="008B1975" w:rsidRDefault="008F5628" w:rsidP="008F5628">
      <w:pPr>
        <w:pStyle w:val="paragraph"/>
      </w:pPr>
      <w:r w:rsidRPr="008B1975">
        <w:tab/>
        <w:t>(e)</w:t>
      </w:r>
      <w:r w:rsidRPr="008B1975">
        <w:tab/>
        <w:t>are arranged so that the maximum clear gap between the handrail and the intermediate rail or barrier does not exceed 600 mm.</w:t>
      </w:r>
    </w:p>
    <w:p w14:paraId="6540DEB8" w14:textId="77777777" w:rsidR="008F5628" w:rsidRPr="008B1975" w:rsidRDefault="008F5628" w:rsidP="008F5628">
      <w:pPr>
        <w:pStyle w:val="subsection"/>
      </w:pPr>
      <w:r w:rsidRPr="008B1975">
        <w:tab/>
        <w:t>(2)</w:t>
      </w:r>
      <w:r w:rsidRPr="008B1975">
        <w:tab/>
        <w:t>If the gap between the walking surface of a removable gangway and the lowest intermediate course of rail exceeds 230 mm, the removeable gangway must have continuous edge barriers on both sides of the walking surface that comply with subsection (3).</w:t>
      </w:r>
    </w:p>
    <w:p w14:paraId="04AD2605" w14:textId="77777777" w:rsidR="008F5628" w:rsidRPr="008B1975" w:rsidRDefault="008F5628" w:rsidP="008F5628">
      <w:pPr>
        <w:pStyle w:val="subsection"/>
      </w:pPr>
      <w:r w:rsidRPr="008B1975">
        <w:tab/>
        <w:t>(3)</w:t>
      </w:r>
      <w:r w:rsidRPr="008B1975">
        <w:tab/>
        <w:t>Edge barriers comply with this subsection if:</w:t>
      </w:r>
    </w:p>
    <w:p w14:paraId="019833E2" w14:textId="77777777" w:rsidR="008F5628" w:rsidRPr="008B1975" w:rsidRDefault="008F5628" w:rsidP="008F5628">
      <w:pPr>
        <w:pStyle w:val="paragraph"/>
      </w:pPr>
      <w:r w:rsidRPr="008B1975">
        <w:tab/>
        <w:t>(a)</w:t>
      </w:r>
      <w:bookmarkStart w:id="99" w:name="_Hlk184807256"/>
      <w:r w:rsidRPr="008B1975">
        <w:tab/>
        <w:t>the barriers have at least 800 mm in clear width between edge barriers measured across the walking surface; and</w:t>
      </w:r>
      <w:bookmarkEnd w:id="99"/>
    </w:p>
    <w:p w14:paraId="470B2311" w14:textId="77777777" w:rsidR="008F5628" w:rsidRPr="008B1975" w:rsidRDefault="008F5628" w:rsidP="008F5628">
      <w:pPr>
        <w:pStyle w:val="paragraph"/>
      </w:pPr>
      <w:r w:rsidRPr="008B1975">
        <w:tab/>
        <w:t>(b)</w:t>
      </w:r>
      <w:r w:rsidRPr="008B1975">
        <w:tab/>
      </w:r>
      <w:bookmarkStart w:id="100" w:name="_Hlk184807281"/>
      <w:r w:rsidRPr="008B1975">
        <w:t xml:space="preserve">the barriers rise </w:t>
      </w:r>
      <w:r w:rsidR="00602F63" w:rsidRPr="008B1975">
        <w:t xml:space="preserve">no less than 65 mm and no more than 75 mm </w:t>
      </w:r>
      <w:r w:rsidRPr="008B1975">
        <w:t>above the ramp on both sides; and</w:t>
      </w:r>
    </w:p>
    <w:bookmarkEnd w:id="100"/>
    <w:p w14:paraId="114D2556" w14:textId="77777777" w:rsidR="008F5628" w:rsidRPr="008B1975" w:rsidRDefault="008F5628" w:rsidP="008F5628">
      <w:pPr>
        <w:pStyle w:val="paragraph"/>
      </w:pPr>
      <w:r w:rsidRPr="008B1975">
        <w:tab/>
        <w:t>(c)</w:t>
      </w:r>
      <w:r w:rsidRPr="008B1975">
        <w:tab/>
        <w:t>the barriers have a luminance contrast of not less than 30%, as tested in accordance with Appendix B of AS 1428.1 (2021) in both wet and dry conditions, when viewed against:</w:t>
      </w:r>
    </w:p>
    <w:p w14:paraId="579E113C" w14:textId="4E5B49B6" w:rsidR="008F5628" w:rsidRPr="008B1975" w:rsidRDefault="008F5628" w:rsidP="008F5628">
      <w:pPr>
        <w:pStyle w:val="paragraphsub"/>
      </w:pPr>
      <w:r w:rsidRPr="008B1975">
        <w:tab/>
        <w:t>(i)</w:t>
      </w:r>
      <w:r w:rsidRPr="008B1975">
        <w:tab/>
        <w:t>the removable gangway walking surface; and</w:t>
      </w:r>
    </w:p>
    <w:p w14:paraId="6607FF17" w14:textId="41F17642" w:rsidR="008F5628" w:rsidRPr="008B1975" w:rsidRDefault="008F5628" w:rsidP="008F5628">
      <w:pPr>
        <w:pStyle w:val="paragraphsub"/>
      </w:pPr>
      <w:r w:rsidRPr="008B1975">
        <w:tab/>
        <w:t>(ii)</w:t>
      </w:r>
      <w:r w:rsidRPr="008B1975">
        <w:tab/>
        <w:t>any other fixed surfaces within 2 metres;</w:t>
      </w:r>
      <w:r w:rsidR="00B6081E" w:rsidRPr="008B1975">
        <w:t xml:space="preserve"> and</w:t>
      </w:r>
    </w:p>
    <w:p w14:paraId="5BD1FC75" w14:textId="77777777" w:rsidR="008F5628" w:rsidRPr="008B1975" w:rsidRDefault="008F5628" w:rsidP="008F5628">
      <w:pPr>
        <w:pStyle w:val="paragraph"/>
      </w:pPr>
      <w:r w:rsidRPr="008B1975">
        <w:tab/>
        <w:t>(d)</w:t>
      </w:r>
      <w:r w:rsidRPr="008B1975">
        <w:tab/>
        <w:t xml:space="preserve">the barriers do not have sharp edges that may cause injury or damage; </w:t>
      </w:r>
      <w:r w:rsidR="00AA73E2" w:rsidRPr="008B1975">
        <w:t>and</w:t>
      </w:r>
    </w:p>
    <w:p w14:paraId="21CEEBF3" w14:textId="77777777" w:rsidR="008F5628" w:rsidRPr="008B1975" w:rsidRDefault="008F5628" w:rsidP="008F5628">
      <w:pPr>
        <w:pStyle w:val="paragraph"/>
      </w:pPr>
      <w:r w:rsidRPr="008B1975">
        <w:tab/>
        <w:t>(e)</w:t>
      </w:r>
      <w:r w:rsidRPr="008B1975">
        <w:tab/>
        <w:t>the barriers do not have protrusions that create a trip hazard.</w:t>
      </w:r>
    </w:p>
    <w:p w14:paraId="1A3E7BC8" w14:textId="77777777" w:rsidR="008F5628" w:rsidRPr="008B1975" w:rsidRDefault="00602F63" w:rsidP="008F5628">
      <w:pPr>
        <w:pStyle w:val="subsection"/>
        <w:rPr>
          <w:rStyle w:val="CharBoldItalic"/>
          <w:b w:val="0"/>
          <w:i w:val="0"/>
        </w:rPr>
      </w:pPr>
      <w:r w:rsidRPr="008B1975">
        <w:rPr>
          <w:rStyle w:val="CharBoldItalic"/>
          <w:b w:val="0"/>
          <w:i w:val="0"/>
        </w:rPr>
        <w:tab/>
      </w:r>
      <w:r w:rsidR="00F7716C" w:rsidRPr="008B1975">
        <w:t>(4)</w:t>
      </w:r>
      <w:r w:rsidR="008F5628" w:rsidRPr="008B1975">
        <w:tab/>
      </w:r>
      <w:bookmarkStart w:id="101" w:name="_Hlk184804359"/>
      <w:r w:rsidR="008F5628" w:rsidRPr="008B1975">
        <w:t>The following table specifies conveyances, premises and infrastructure this section applies to.</w:t>
      </w:r>
    </w:p>
    <w:p w14:paraId="6A1F6B77" w14:textId="77777777" w:rsidR="008F5628" w:rsidRPr="008B1975" w:rsidRDefault="008F5628" w:rsidP="008F5628">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5F0F60BB"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bookmarkEnd w:id="101"/>
          <w:p w14:paraId="526A9CD4" w14:textId="77777777" w:rsidR="008F5628" w:rsidRPr="008B1975" w:rsidRDefault="008F5628" w:rsidP="00AB53F1">
            <w:pPr>
              <w:pStyle w:val="TableHeading"/>
            </w:pPr>
            <w:r w:rsidRPr="008B1975">
              <w:t>Application of this section</w:t>
            </w:r>
          </w:p>
        </w:tc>
      </w:tr>
      <w:tr w:rsidR="008F5628" w:rsidRPr="008B1975" w14:paraId="4347101C" w14:textId="77777777" w:rsidTr="004E6262">
        <w:trPr>
          <w:trHeight w:val="300"/>
          <w:tblHeader/>
        </w:trPr>
        <w:tc>
          <w:tcPr>
            <w:tcW w:w="1667" w:type="pct"/>
            <w:tcBorders>
              <w:top w:val="single" w:sz="6" w:space="0" w:color="auto"/>
              <w:bottom w:val="single" w:sz="12" w:space="0" w:color="auto"/>
            </w:tcBorders>
            <w:shd w:val="clear" w:color="auto" w:fill="auto"/>
            <w:hideMark/>
          </w:tcPr>
          <w:p w14:paraId="6BFEDF77"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BCFC9E6"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5D814529" w14:textId="77777777" w:rsidR="008F5628" w:rsidRPr="008B1975" w:rsidRDefault="008F5628" w:rsidP="00AB53F1">
            <w:pPr>
              <w:pStyle w:val="TableHeading"/>
            </w:pPr>
            <w:r w:rsidRPr="008B1975">
              <w:t>Infrastructure</w:t>
            </w:r>
          </w:p>
        </w:tc>
      </w:tr>
      <w:tr w:rsidR="008F5628" w:rsidRPr="008B1975" w14:paraId="3B510007" w14:textId="77777777" w:rsidTr="004E6262">
        <w:trPr>
          <w:trHeight w:val="300"/>
        </w:trPr>
        <w:tc>
          <w:tcPr>
            <w:tcW w:w="1667" w:type="pct"/>
            <w:tcBorders>
              <w:top w:val="single" w:sz="12" w:space="0" w:color="auto"/>
              <w:bottom w:val="single" w:sz="12" w:space="0" w:color="auto"/>
            </w:tcBorders>
            <w:shd w:val="clear" w:color="auto" w:fill="auto"/>
            <w:hideMark/>
          </w:tcPr>
          <w:p w14:paraId="1841D053" w14:textId="77777777" w:rsidR="008F5628" w:rsidRPr="008B1975" w:rsidRDefault="008F5628" w:rsidP="00AB53F1">
            <w:pPr>
              <w:pStyle w:val="Tabletext"/>
            </w:pPr>
            <w:r w:rsidRPr="008B1975">
              <w:t>Ferries</w:t>
            </w:r>
          </w:p>
        </w:tc>
        <w:tc>
          <w:tcPr>
            <w:tcW w:w="1667" w:type="pct"/>
            <w:tcBorders>
              <w:top w:val="single" w:sz="12" w:space="0" w:color="auto"/>
              <w:bottom w:val="single" w:sz="12" w:space="0" w:color="auto"/>
            </w:tcBorders>
            <w:shd w:val="clear" w:color="auto" w:fill="auto"/>
            <w:hideMark/>
          </w:tcPr>
          <w:p w14:paraId="2FE1C4F0" w14:textId="77777777" w:rsidR="008F5628" w:rsidRPr="008B1975" w:rsidRDefault="008F5628" w:rsidP="00AB53F1">
            <w:pPr>
              <w:pStyle w:val="Tabletext"/>
            </w:pPr>
            <w:r w:rsidRPr="008B1975">
              <w:t>None</w:t>
            </w:r>
          </w:p>
        </w:tc>
        <w:tc>
          <w:tcPr>
            <w:tcW w:w="1667" w:type="pct"/>
            <w:tcBorders>
              <w:top w:val="single" w:sz="12" w:space="0" w:color="auto"/>
              <w:bottom w:val="single" w:sz="12" w:space="0" w:color="auto"/>
            </w:tcBorders>
            <w:shd w:val="clear" w:color="auto" w:fill="auto"/>
          </w:tcPr>
          <w:p w14:paraId="034CFB4A" w14:textId="77777777" w:rsidR="008F5628" w:rsidRPr="008B1975" w:rsidRDefault="008F5628" w:rsidP="00AB53F1">
            <w:pPr>
              <w:pStyle w:val="Tabletext"/>
            </w:pPr>
            <w:r w:rsidRPr="008B1975">
              <w:t>None</w:t>
            </w:r>
          </w:p>
        </w:tc>
      </w:tr>
    </w:tbl>
    <w:p w14:paraId="2D7AE496" w14:textId="77777777" w:rsidR="008F5628" w:rsidRPr="008B1975" w:rsidRDefault="008F5628" w:rsidP="002C0244">
      <w:pPr>
        <w:pStyle w:val="ActHead5"/>
        <w:outlineLvl w:val="9"/>
      </w:pPr>
      <w:bookmarkStart w:id="102" w:name="_Hlk185497471"/>
      <w:r w:rsidRPr="008B1975">
        <w:t>8.6F  Gradient of removeable gangways</w:t>
      </w:r>
    </w:p>
    <w:p w14:paraId="5EA02961" w14:textId="77777777" w:rsidR="008F5628" w:rsidRPr="008B1975" w:rsidRDefault="008F5628" w:rsidP="00003ABA">
      <w:pPr>
        <w:pStyle w:val="subsection"/>
      </w:pPr>
      <w:r w:rsidRPr="008B1975">
        <w:tab/>
        <w:t>(</w:t>
      </w:r>
      <w:r w:rsidR="003324D3" w:rsidRPr="008B1975">
        <w:t>1</w:t>
      </w:r>
      <w:r w:rsidRPr="008B1975">
        <w:t>)</w:t>
      </w:r>
      <w:r w:rsidRPr="008B1975">
        <w:tab/>
        <w:t>If any part of the curve of the walking surface of a removable gangway exceeds a gradient of 1:8, then direct assistance must be available.</w:t>
      </w:r>
    </w:p>
    <w:p w14:paraId="416054BE" w14:textId="77777777" w:rsidR="008F5628" w:rsidRPr="008B1975" w:rsidRDefault="008F5628" w:rsidP="008F5628">
      <w:pPr>
        <w:pStyle w:val="notetext"/>
        <w:rPr>
          <w:snapToGrid w:val="0"/>
          <w:lang w:eastAsia="en-US"/>
        </w:rPr>
      </w:pPr>
      <w:r w:rsidRPr="008B1975">
        <w:rPr>
          <w:snapToGrid w:val="0"/>
          <w:lang w:eastAsia="en-US"/>
        </w:rPr>
        <w:t>Note:</w:t>
      </w:r>
      <w:r w:rsidRPr="008B1975">
        <w:rPr>
          <w:snapToGrid w:val="0"/>
          <w:lang w:eastAsia="en-US"/>
        </w:rPr>
        <w:tab/>
        <w:t>See sections 33.3 to 33.6 in relation to equivalent access and direct assistance.</w:t>
      </w:r>
    </w:p>
    <w:p w14:paraId="370BD01A" w14:textId="2C7B2ED2" w:rsidR="008F5628" w:rsidRPr="008B1975" w:rsidRDefault="008F5628" w:rsidP="00034916">
      <w:pPr>
        <w:pStyle w:val="subsection"/>
      </w:pPr>
      <w:r w:rsidRPr="008B1975">
        <w:rPr>
          <w:rStyle w:val="CharBoldItalic"/>
          <w:b w:val="0"/>
          <w:i w:val="0"/>
        </w:rPr>
        <w:tab/>
      </w:r>
      <w:r w:rsidRPr="008B1975">
        <w:t>(</w:t>
      </w:r>
      <w:r w:rsidR="003324D3" w:rsidRPr="008B1975">
        <w:t>2</w:t>
      </w:r>
      <w:r w:rsidRPr="008B1975">
        <w:t>)</w:t>
      </w:r>
      <w:r w:rsidRPr="008B1975">
        <w:tab/>
        <w:t>The following table specifies conveyances, premises and infrastructure this section applies to.</w:t>
      </w:r>
      <w:bookmarkEnd w:id="102"/>
    </w:p>
    <w:p w14:paraId="0CC008BB" w14:textId="77777777" w:rsidR="00034916" w:rsidRPr="008B1975" w:rsidRDefault="00034916" w:rsidP="0040458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099D6064"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p w14:paraId="5B3B3642" w14:textId="77777777" w:rsidR="008F5628" w:rsidRPr="008B1975" w:rsidRDefault="008F5628" w:rsidP="00AB53F1">
            <w:pPr>
              <w:pStyle w:val="TableHeading"/>
            </w:pPr>
            <w:r w:rsidRPr="008B1975">
              <w:t>Application of this section</w:t>
            </w:r>
          </w:p>
        </w:tc>
      </w:tr>
      <w:tr w:rsidR="008F5628" w:rsidRPr="008B1975" w14:paraId="58B66CA7" w14:textId="77777777" w:rsidTr="004E6262">
        <w:trPr>
          <w:trHeight w:val="300"/>
          <w:tblHeader/>
        </w:trPr>
        <w:tc>
          <w:tcPr>
            <w:tcW w:w="1667" w:type="pct"/>
            <w:tcBorders>
              <w:top w:val="single" w:sz="6" w:space="0" w:color="auto"/>
              <w:bottom w:val="single" w:sz="12" w:space="0" w:color="auto"/>
            </w:tcBorders>
            <w:shd w:val="clear" w:color="auto" w:fill="auto"/>
            <w:hideMark/>
          </w:tcPr>
          <w:p w14:paraId="75878AB5"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6BE12C4D"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386D6B34" w14:textId="77777777" w:rsidR="008F5628" w:rsidRPr="008B1975" w:rsidRDefault="008F5628" w:rsidP="00AB53F1">
            <w:pPr>
              <w:pStyle w:val="TableHeading"/>
            </w:pPr>
            <w:r w:rsidRPr="008B1975">
              <w:t>Infrastructure</w:t>
            </w:r>
          </w:p>
        </w:tc>
      </w:tr>
      <w:tr w:rsidR="008F5628" w:rsidRPr="008B1975" w14:paraId="5FB2F9B7" w14:textId="77777777" w:rsidTr="004E6262">
        <w:trPr>
          <w:trHeight w:val="300"/>
        </w:trPr>
        <w:tc>
          <w:tcPr>
            <w:tcW w:w="1667" w:type="pct"/>
            <w:tcBorders>
              <w:top w:val="single" w:sz="12" w:space="0" w:color="auto"/>
              <w:bottom w:val="single" w:sz="12" w:space="0" w:color="auto"/>
            </w:tcBorders>
            <w:shd w:val="clear" w:color="auto" w:fill="auto"/>
            <w:hideMark/>
          </w:tcPr>
          <w:p w14:paraId="69731670" w14:textId="77777777" w:rsidR="008F5628" w:rsidRPr="008B1975" w:rsidRDefault="008F5628" w:rsidP="00AB53F1">
            <w:pPr>
              <w:pStyle w:val="Tabletext"/>
            </w:pPr>
            <w:r w:rsidRPr="008B1975">
              <w:t>Ferries</w:t>
            </w:r>
          </w:p>
        </w:tc>
        <w:tc>
          <w:tcPr>
            <w:tcW w:w="1667" w:type="pct"/>
            <w:tcBorders>
              <w:top w:val="single" w:sz="12" w:space="0" w:color="auto"/>
              <w:bottom w:val="single" w:sz="12" w:space="0" w:color="auto"/>
            </w:tcBorders>
            <w:shd w:val="clear" w:color="auto" w:fill="auto"/>
            <w:hideMark/>
          </w:tcPr>
          <w:p w14:paraId="7F30A35F" w14:textId="77777777" w:rsidR="008F5628" w:rsidRPr="008B1975" w:rsidRDefault="008F5628" w:rsidP="00AB53F1">
            <w:pPr>
              <w:pStyle w:val="Tabletext"/>
            </w:pPr>
            <w:r w:rsidRPr="008B1975">
              <w:t>None</w:t>
            </w:r>
          </w:p>
        </w:tc>
        <w:tc>
          <w:tcPr>
            <w:tcW w:w="1667" w:type="pct"/>
            <w:tcBorders>
              <w:top w:val="single" w:sz="12" w:space="0" w:color="auto"/>
              <w:bottom w:val="single" w:sz="12" w:space="0" w:color="auto"/>
            </w:tcBorders>
            <w:shd w:val="clear" w:color="auto" w:fill="auto"/>
          </w:tcPr>
          <w:p w14:paraId="07F867CE" w14:textId="77777777" w:rsidR="008F5628" w:rsidRPr="008B1975" w:rsidRDefault="008F5628" w:rsidP="00AB53F1">
            <w:pPr>
              <w:pStyle w:val="Tabletext"/>
            </w:pPr>
            <w:r w:rsidRPr="008B1975">
              <w:t>None</w:t>
            </w:r>
          </w:p>
        </w:tc>
      </w:tr>
    </w:tbl>
    <w:p w14:paraId="7022BDF0" w14:textId="77777777" w:rsidR="008F5628" w:rsidRPr="008B1975" w:rsidRDefault="008F5628" w:rsidP="008F5628">
      <w:pPr>
        <w:pStyle w:val="ActHead5"/>
        <w:outlineLvl w:val="9"/>
      </w:pPr>
      <w:r w:rsidRPr="008B1975">
        <w:t>8.6G  Surfaces of removeable gangways</w:t>
      </w:r>
    </w:p>
    <w:p w14:paraId="7FDDA5EE" w14:textId="77777777" w:rsidR="008F5628" w:rsidRPr="008B1975" w:rsidRDefault="008F5628" w:rsidP="008F5628">
      <w:pPr>
        <w:pStyle w:val="subsection"/>
      </w:pPr>
      <w:r w:rsidRPr="008B1975">
        <w:tab/>
        <w:t>(1)</w:t>
      </w:r>
      <w:r w:rsidRPr="008B1975">
        <w:tab/>
        <w:t>A removeable gangway must have:</w:t>
      </w:r>
    </w:p>
    <w:p w14:paraId="7533A480" w14:textId="77777777" w:rsidR="008F5628" w:rsidRPr="008B1975" w:rsidRDefault="008F5628" w:rsidP="008F5628">
      <w:pPr>
        <w:pStyle w:val="paragraph"/>
      </w:pPr>
      <w:r w:rsidRPr="008B1975">
        <w:tab/>
        <w:t>(a)</w:t>
      </w:r>
      <w:r w:rsidRPr="008B1975">
        <w:tab/>
        <w:t>a slip resistant walking surface that complies with clause 4.1 of AS 1428.1 (2021); and</w:t>
      </w:r>
    </w:p>
    <w:p w14:paraId="593ACB3E" w14:textId="77777777" w:rsidR="008F5628" w:rsidRPr="008B1975" w:rsidRDefault="008F5628" w:rsidP="008F5628">
      <w:pPr>
        <w:pStyle w:val="paragraph"/>
      </w:pPr>
      <w:r w:rsidRPr="008B1975">
        <w:lastRenderedPageBreak/>
        <w:tab/>
        <w:t>(b)</w:t>
      </w:r>
      <w:r w:rsidRPr="008B1975">
        <w:tab/>
        <w:t>a solid strip on the gangway’s leading edges that:</w:t>
      </w:r>
    </w:p>
    <w:p w14:paraId="3F93F665" w14:textId="77777777" w:rsidR="008F5628" w:rsidRPr="008B1975" w:rsidRDefault="008F5628" w:rsidP="008F5628">
      <w:pPr>
        <w:pStyle w:val="paragraphsub"/>
      </w:pPr>
      <w:r w:rsidRPr="008B1975">
        <w:tab/>
        <w:t>(i)</w:t>
      </w:r>
      <w:r w:rsidRPr="008B1975">
        <w:tab/>
        <w:t xml:space="preserve">is </w:t>
      </w:r>
      <w:r w:rsidR="00AA73E2" w:rsidRPr="008B1975">
        <w:t xml:space="preserve">no less than </w:t>
      </w:r>
      <w:r w:rsidRPr="008B1975">
        <w:t>50</w:t>
      </w:r>
      <w:r w:rsidR="00AA73E2" w:rsidRPr="008B1975">
        <w:t xml:space="preserve"> and no more than </w:t>
      </w:r>
      <w:r w:rsidRPr="008B1975">
        <w:t>75 mm wide; and</w:t>
      </w:r>
    </w:p>
    <w:p w14:paraId="2A60579C" w14:textId="77777777" w:rsidR="008F5628" w:rsidRPr="008B1975" w:rsidRDefault="008F5628" w:rsidP="008F5628">
      <w:pPr>
        <w:pStyle w:val="paragraphsub"/>
      </w:pPr>
      <w:r w:rsidRPr="008B1975">
        <w:tab/>
        <w:t>(ii)</w:t>
      </w:r>
      <w:r w:rsidRPr="008B1975">
        <w:tab/>
        <w:t>has a luminance contrast of not less than 30%, as tested in accordance with Appendix B of AS 1428.1 (2021), when viewed against the walkway surface and against any surfaces on which it is deployed.</w:t>
      </w:r>
    </w:p>
    <w:p w14:paraId="4D0DCA1F" w14:textId="77777777" w:rsidR="008F5628" w:rsidRPr="008B1975" w:rsidRDefault="008F5628" w:rsidP="008F5628">
      <w:pPr>
        <w:pStyle w:val="subsection"/>
      </w:pPr>
      <w:r w:rsidRPr="008B1975">
        <w:tab/>
        <w:t>(2)</w:t>
      </w:r>
      <w:r w:rsidRPr="008B1975">
        <w:tab/>
        <w:t>If a removeable gangway has gaps in its surface created by articulation or similar, these gaps must conform to the horizontal and vertical maximums specified in clause 4.2 of AS 1428.1 (2021).</w:t>
      </w:r>
    </w:p>
    <w:p w14:paraId="250FE7EC" w14:textId="77777777" w:rsidR="008F5628" w:rsidRPr="008B1975" w:rsidRDefault="008F5628" w:rsidP="008F5628">
      <w:pPr>
        <w:pStyle w:val="subsection"/>
      </w:pPr>
      <w:bookmarkStart w:id="103" w:name="_Hlk197251459"/>
      <w:r w:rsidRPr="008B1975">
        <w:tab/>
        <w:t>(3)</w:t>
      </w:r>
      <w:r w:rsidRPr="008B1975">
        <w:tab/>
        <w:t>The following table specifies conveyances, premises and infrastructure this section applies to.</w:t>
      </w:r>
    </w:p>
    <w:bookmarkEnd w:id="103"/>
    <w:p w14:paraId="6E410859" w14:textId="77777777" w:rsidR="008F5628" w:rsidRPr="008B1975" w:rsidRDefault="008F5628" w:rsidP="00374BB5">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63E7738F"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p w14:paraId="4FEA2056" w14:textId="77777777" w:rsidR="008F5628" w:rsidRPr="008B1975" w:rsidRDefault="008F5628" w:rsidP="00AB53F1">
            <w:pPr>
              <w:pStyle w:val="TableHeading"/>
            </w:pPr>
            <w:r w:rsidRPr="008B1975">
              <w:t>Application of this section</w:t>
            </w:r>
          </w:p>
        </w:tc>
      </w:tr>
      <w:tr w:rsidR="008F5628" w:rsidRPr="008B1975" w14:paraId="3047228B" w14:textId="77777777" w:rsidTr="004E6262">
        <w:trPr>
          <w:trHeight w:val="300"/>
          <w:tblHeader/>
        </w:trPr>
        <w:tc>
          <w:tcPr>
            <w:tcW w:w="1667" w:type="pct"/>
            <w:tcBorders>
              <w:top w:val="single" w:sz="6" w:space="0" w:color="auto"/>
              <w:bottom w:val="single" w:sz="12" w:space="0" w:color="auto"/>
            </w:tcBorders>
            <w:shd w:val="clear" w:color="auto" w:fill="auto"/>
            <w:hideMark/>
          </w:tcPr>
          <w:p w14:paraId="41491981"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C643A90"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1C2771D8" w14:textId="77777777" w:rsidR="008F5628" w:rsidRPr="008B1975" w:rsidRDefault="008F5628" w:rsidP="00AB53F1">
            <w:pPr>
              <w:pStyle w:val="TableHeading"/>
            </w:pPr>
            <w:r w:rsidRPr="008B1975">
              <w:t>Infrastructure</w:t>
            </w:r>
          </w:p>
        </w:tc>
      </w:tr>
      <w:tr w:rsidR="008F5628" w:rsidRPr="008B1975" w14:paraId="6D4051FA" w14:textId="77777777" w:rsidTr="004E6262">
        <w:trPr>
          <w:trHeight w:val="300"/>
        </w:trPr>
        <w:tc>
          <w:tcPr>
            <w:tcW w:w="1667" w:type="pct"/>
            <w:tcBorders>
              <w:top w:val="single" w:sz="12" w:space="0" w:color="auto"/>
              <w:bottom w:val="single" w:sz="12" w:space="0" w:color="auto"/>
            </w:tcBorders>
            <w:shd w:val="clear" w:color="auto" w:fill="auto"/>
            <w:hideMark/>
          </w:tcPr>
          <w:p w14:paraId="3404F561" w14:textId="77777777" w:rsidR="008F5628" w:rsidRPr="008B1975" w:rsidRDefault="008F5628" w:rsidP="00AB53F1">
            <w:pPr>
              <w:pStyle w:val="Tabletext"/>
            </w:pPr>
            <w:r w:rsidRPr="008B1975">
              <w:t>Ferries</w:t>
            </w:r>
          </w:p>
        </w:tc>
        <w:tc>
          <w:tcPr>
            <w:tcW w:w="1667" w:type="pct"/>
            <w:tcBorders>
              <w:top w:val="single" w:sz="12" w:space="0" w:color="auto"/>
              <w:bottom w:val="single" w:sz="12" w:space="0" w:color="auto"/>
            </w:tcBorders>
            <w:shd w:val="clear" w:color="auto" w:fill="auto"/>
            <w:hideMark/>
          </w:tcPr>
          <w:p w14:paraId="3D465DA2" w14:textId="77777777" w:rsidR="008F5628" w:rsidRPr="008B1975" w:rsidRDefault="008F5628" w:rsidP="00AB53F1">
            <w:pPr>
              <w:pStyle w:val="Tabletext"/>
            </w:pPr>
            <w:r w:rsidRPr="008B1975">
              <w:t>None</w:t>
            </w:r>
          </w:p>
        </w:tc>
        <w:tc>
          <w:tcPr>
            <w:tcW w:w="1667" w:type="pct"/>
            <w:tcBorders>
              <w:top w:val="single" w:sz="12" w:space="0" w:color="auto"/>
              <w:bottom w:val="single" w:sz="12" w:space="0" w:color="auto"/>
            </w:tcBorders>
            <w:shd w:val="clear" w:color="auto" w:fill="auto"/>
          </w:tcPr>
          <w:p w14:paraId="4F82F00F" w14:textId="77777777" w:rsidR="008F5628" w:rsidRPr="008B1975" w:rsidRDefault="008F5628" w:rsidP="00AB53F1">
            <w:pPr>
              <w:pStyle w:val="Tabletext"/>
            </w:pPr>
            <w:r w:rsidRPr="008B1975">
              <w:t>None</w:t>
            </w:r>
          </w:p>
        </w:tc>
      </w:tr>
    </w:tbl>
    <w:p w14:paraId="5795DE8D" w14:textId="77777777" w:rsidR="008F5628" w:rsidRPr="008B1975" w:rsidRDefault="008F5628" w:rsidP="008F5628">
      <w:pPr>
        <w:pStyle w:val="ActHead5"/>
        <w:outlineLvl w:val="9"/>
      </w:pPr>
      <w:r w:rsidRPr="008B1975">
        <w:t>8.6H  Strength requirements and testing of removeable gangways</w:t>
      </w:r>
    </w:p>
    <w:p w14:paraId="2B87B572" w14:textId="77777777" w:rsidR="008F5628" w:rsidRPr="008B1975" w:rsidRDefault="008F5628" w:rsidP="008F5628">
      <w:pPr>
        <w:pStyle w:val="subsection"/>
      </w:pPr>
      <w:r w:rsidRPr="008B1975">
        <w:tab/>
        <w:t>(1)</w:t>
      </w:r>
      <w:r w:rsidRPr="008B1975">
        <w:tab/>
        <w:t>A removeable gangway must be designed and constructed to withstand:</w:t>
      </w:r>
    </w:p>
    <w:p w14:paraId="10489150" w14:textId="77777777" w:rsidR="008F5628" w:rsidRPr="008B1975" w:rsidRDefault="008F5628" w:rsidP="008F5628">
      <w:pPr>
        <w:pStyle w:val="paragraph"/>
      </w:pPr>
      <w:r w:rsidRPr="008B1975">
        <w:tab/>
        <w:t>(a)</w:t>
      </w:r>
      <w:r w:rsidRPr="008B1975">
        <w:tab/>
        <w:t>a pressure of 5.5 kPa; and</w:t>
      </w:r>
    </w:p>
    <w:p w14:paraId="4AFB54B2" w14:textId="77777777" w:rsidR="008F5628" w:rsidRPr="008B1975" w:rsidRDefault="008F5628" w:rsidP="008F5628">
      <w:pPr>
        <w:pStyle w:val="paragraph"/>
      </w:pPr>
      <w:r w:rsidRPr="008B1975">
        <w:tab/>
        <w:t>(b)</w:t>
      </w:r>
      <w:r w:rsidRPr="008B1975">
        <w:tab/>
        <w:t>a concentrated load of 5000 N at any point along its length.</w:t>
      </w:r>
    </w:p>
    <w:p w14:paraId="26ED1811" w14:textId="77777777" w:rsidR="008F5628" w:rsidRPr="008B1975" w:rsidRDefault="008F5628" w:rsidP="008F5628">
      <w:pPr>
        <w:pStyle w:val="subsection"/>
      </w:pPr>
      <w:r w:rsidRPr="008B1975">
        <w:tab/>
        <w:t>(2)</w:t>
      </w:r>
      <w:r w:rsidRPr="008B1975">
        <w:tab/>
        <w:t>A removeable gangway must be tested for safe boarding and disembarkation by applying the loading specified in subsection (1).</w:t>
      </w:r>
    </w:p>
    <w:p w14:paraId="70C11120" w14:textId="77777777" w:rsidR="008F5628" w:rsidRPr="008B1975" w:rsidRDefault="008F5628" w:rsidP="008F5628">
      <w:pPr>
        <w:pStyle w:val="subsection"/>
      </w:pPr>
      <w:r w:rsidRPr="008B1975">
        <w:tab/>
        <w:t>(3)</w:t>
      </w:r>
      <w:r w:rsidRPr="008B1975">
        <w:tab/>
        <w:t>A removeable gangway will only pass the testing specified in subsection (2) above if the gangway does not fail or suffer permanent deformation once the load is removed.</w:t>
      </w:r>
    </w:p>
    <w:p w14:paraId="39BAE75F" w14:textId="0A5DC0F4" w:rsidR="0035537F" w:rsidRPr="008B1975" w:rsidRDefault="008F5628" w:rsidP="00A7194B">
      <w:pPr>
        <w:pStyle w:val="subsection"/>
        <w:rPr>
          <w:snapToGrid w:val="0"/>
          <w:lang w:eastAsia="en-US"/>
        </w:rPr>
      </w:pPr>
      <w:r w:rsidRPr="008B1975">
        <w:rPr>
          <w:snapToGrid w:val="0"/>
          <w:lang w:eastAsia="en-US"/>
        </w:rPr>
        <w:tab/>
        <w:t>(4)</w:t>
      </w:r>
      <w:r w:rsidRPr="008B1975">
        <w:rPr>
          <w:snapToGrid w:val="0"/>
          <w:lang w:eastAsia="en-US"/>
        </w:rPr>
        <w:tab/>
        <w:t>A removable gangway must be demonstrated to be safe by a practical trial of the arrangements for boarding and disembarkation, taking into account the variances likely in</w:t>
      </w:r>
      <w:r w:rsidR="006B2094" w:rsidRPr="008B1975">
        <w:rPr>
          <w:snapToGrid w:val="0"/>
          <w:lang w:eastAsia="en-US"/>
        </w:rPr>
        <w:t xml:space="preserve"> </w:t>
      </w:r>
      <w:r w:rsidR="0034200A" w:rsidRPr="008B1975">
        <w:rPr>
          <w:snapToGrid w:val="0"/>
          <w:lang w:eastAsia="en-US"/>
        </w:rPr>
        <w:t xml:space="preserve">a ferry’s </w:t>
      </w:r>
      <w:r w:rsidRPr="008B1975">
        <w:rPr>
          <w:snapToGrid w:val="0"/>
          <w:lang w:eastAsia="en-US"/>
        </w:rPr>
        <w:t>operations.</w:t>
      </w:r>
    </w:p>
    <w:p w14:paraId="49C00FE1" w14:textId="77949F73" w:rsidR="00034916" w:rsidRPr="008B1975" w:rsidRDefault="00034916" w:rsidP="00A7194B">
      <w:pPr>
        <w:pStyle w:val="subsection"/>
      </w:pPr>
      <w:r w:rsidRPr="008B1975">
        <w:tab/>
        <w:t>(5)</w:t>
      </w:r>
      <w:r w:rsidRPr="008B1975">
        <w:tab/>
        <w:t>The following table specifies conveyances, premises and infrastructure this section applies to.</w:t>
      </w:r>
    </w:p>
    <w:p w14:paraId="524AECF8" w14:textId="77777777" w:rsidR="008F5628" w:rsidRPr="008B1975" w:rsidRDefault="008F5628" w:rsidP="00034916">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6C0D8C46" w14:textId="77777777" w:rsidTr="00AB53F1">
        <w:trPr>
          <w:trHeight w:val="300"/>
          <w:tblHeader/>
        </w:trPr>
        <w:tc>
          <w:tcPr>
            <w:tcW w:w="5000" w:type="pct"/>
            <w:gridSpan w:val="3"/>
            <w:tcBorders>
              <w:top w:val="single" w:sz="12" w:space="0" w:color="auto"/>
              <w:bottom w:val="single" w:sz="6" w:space="0" w:color="auto"/>
            </w:tcBorders>
            <w:shd w:val="clear" w:color="auto" w:fill="auto"/>
            <w:hideMark/>
          </w:tcPr>
          <w:p w14:paraId="1F71CE8C" w14:textId="77777777" w:rsidR="008F5628" w:rsidRPr="008B1975" w:rsidRDefault="008F5628" w:rsidP="00AB53F1">
            <w:pPr>
              <w:pStyle w:val="TableHeading"/>
            </w:pPr>
            <w:r w:rsidRPr="008B1975">
              <w:t>Application of this section</w:t>
            </w:r>
          </w:p>
        </w:tc>
      </w:tr>
      <w:tr w:rsidR="008F5628" w:rsidRPr="008B1975" w14:paraId="4BF52006" w14:textId="77777777" w:rsidTr="004E6262">
        <w:trPr>
          <w:trHeight w:val="300"/>
          <w:tblHeader/>
        </w:trPr>
        <w:tc>
          <w:tcPr>
            <w:tcW w:w="1667" w:type="pct"/>
            <w:tcBorders>
              <w:top w:val="single" w:sz="6" w:space="0" w:color="auto"/>
              <w:bottom w:val="single" w:sz="12" w:space="0" w:color="auto"/>
            </w:tcBorders>
            <w:shd w:val="clear" w:color="auto" w:fill="auto"/>
            <w:hideMark/>
          </w:tcPr>
          <w:p w14:paraId="5ECB5B34" w14:textId="77777777" w:rsidR="008F5628" w:rsidRPr="008B1975" w:rsidRDefault="008F5628" w:rsidP="00AB53F1">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A76CACF" w14:textId="77777777" w:rsidR="008F5628" w:rsidRPr="008B1975" w:rsidRDefault="008F5628" w:rsidP="00AB53F1">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A4F36C5" w14:textId="77777777" w:rsidR="008F5628" w:rsidRPr="008B1975" w:rsidRDefault="008F5628" w:rsidP="00AB53F1">
            <w:pPr>
              <w:pStyle w:val="TableHeading"/>
            </w:pPr>
            <w:r w:rsidRPr="008B1975">
              <w:t>Infrastructure</w:t>
            </w:r>
          </w:p>
        </w:tc>
      </w:tr>
      <w:tr w:rsidR="008F5628" w:rsidRPr="008B1975" w14:paraId="4FDD055B" w14:textId="77777777" w:rsidTr="004E6262">
        <w:trPr>
          <w:trHeight w:val="300"/>
        </w:trPr>
        <w:tc>
          <w:tcPr>
            <w:tcW w:w="1667" w:type="pct"/>
            <w:tcBorders>
              <w:top w:val="single" w:sz="12" w:space="0" w:color="auto"/>
              <w:bottom w:val="single" w:sz="12" w:space="0" w:color="auto"/>
            </w:tcBorders>
            <w:shd w:val="clear" w:color="auto" w:fill="auto"/>
            <w:hideMark/>
          </w:tcPr>
          <w:p w14:paraId="15DA54C8" w14:textId="77777777" w:rsidR="008F5628" w:rsidRPr="008B1975" w:rsidRDefault="008F5628" w:rsidP="00AB53F1">
            <w:pPr>
              <w:pStyle w:val="Tabletext"/>
            </w:pPr>
            <w:r w:rsidRPr="008B1975">
              <w:t>Ferries</w:t>
            </w:r>
          </w:p>
        </w:tc>
        <w:tc>
          <w:tcPr>
            <w:tcW w:w="1667" w:type="pct"/>
            <w:tcBorders>
              <w:top w:val="single" w:sz="12" w:space="0" w:color="auto"/>
              <w:bottom w:val="single" w:sz="12" w:space="0" w:color="auto"/>
            </w:tcBorders>
            <w:shd w:val="clear" w:color="auto" w:fill="auto"/>
            <w:hideMark/>
          </w:tcPr>
          <w:p w14:paraId="73F344E2" w14:textId="77777777" w:rsidR="008F5628" w:rsidRPr="008B1975" w:rsidRDefault="008F5628" w:rsidP="00AB53F1">
            <w:pPr>
              <w:pStyle w:val="Tabletext"/>
            </w:pPr>
            <w:r w:rsidRPr="008B1975">
              <w:t>None</w:t>
            </w:r>
          </w:p>
        </w:tc>
        <w:tc>
          <w:tcPr>
            <w:tcW w:w="1667" w:type="pct"/>
            <w:tcBorders>
              <w:top w:val="single" w:sz="12" w:space="0" w:color="auto"/>
              <w:bottom w:val="single" w:sz="12" w:space="0" w:color="auto"/>
            </w:tcBorders>
            <w:shd w:val="clear" w:color="auto" w:fill="auto"/>
          </w:tcPr>
          <w:p w14:paraId="56A69633" w14:textId="77777777" w:rsidR="008F5628" w:rsidRPr="008B1975" w:rsidRDefault="008F5628" w:rsidP="00AB53F1">
            <w:pPr>
              <w:pStyle w:val="Tabletext"/>
            </w:pPr>
            <w:r w:rsidRPr="008B1975">
              <w:t>None</w:t>
            </w:r>
          </w:p>
        </w:tc>
      </w:tr>
    </w:tbl>
    <w:p w14:paraId="6D23644C" w14:textId="77777777" w:rsidR="00FB42CC" w:rsidRPr="008B1975" w:rsidRDefault="000A511B" w:rsidP="000A511B">
      <w:pPr>
        <w:pStyle w:val="ItemHead"/>
      </w:pPr>
      <w:bookmarkStart w:id="104" w:name="_Ref185510002"/>
      <w:r w:rsidRPr="008B1975">
        <w:t xml:space="preserve">14  </w:t>
      </w:r>
      <w:r w:rsidR="00FB42CC" w:rsidRPr="008B1975">
        <w:t>Section 8.7</w:t>
      </w:r>
      <w:bookmarkEnd w:id="98"/>
      <w:bookmarkEnd w:id="104"/>
    </w:p>
    <w:p w14:paraId="01CBBB90" w14:textId="77777777" w:rsidR="00FB42CC" w:rsidRPr="008B1975" w:rsidRDefault="00FB42CC" w:rsidP="00FB42CC">
      <w:pPr>
        <w:pStyle w:val="Item"/>
      </w:pPr>
      <w:r w:rsidRPr="008B1975">
        <w:t>Repeal the section, substitute:</w:t>
      </w:r>
    </w:p>
    <w:p w14:paraId="7FE731D7" w14:textId="77777777" w:rsidR="00FB42CC" w:rsidRPr="008B1975" w:rsidRDefault="00FB42CC" w:rsidP="006202EA">
      <w:pPr>
        <w:pStyle w:val="ActHead5"/>
        <w:outlineLvl w:val="9"/>
      </w:pPr>
      <w:r w:rsidRPr="008B1975">
        <w:t>8.7  Requesting use of boarding device to alight</w:t>
      </w:r>
    </w:p>
    <w:p w14:paraId="636FFD97" w14:textId="77777777" w:rsidR="00FB42CC" w:rsidRPr="008B1975" w:rsidRDefault="00FB42CC" w:rsidP="00FB42CC">
      <w:pPr>
        <w:pStyle w:val="subsection"/>
        <w:rPr>
          <w:color w:val="000000" w:themeColor="text1"/>
        </w:rPr>
      </w:pPr>
      <w:r w:rsidRPr="008B1975">
        <w:rPr>
          <w:color w:val="000000" w:themeColor="text1"/>
        </w:rPr>
        <w:tab/>
      </w:r>
      <w:r w:rsidR="00451CB1" w:rsidRPr="008B1975">
        <w:rPr>
          <w:color w:val="000000" w:themeColor="text1"/>
        </w:rPr>
        <w:t>(1)</w:t>
      </w:r>
      <w:r w:rsidRPr="008B1975">
        <w:rPr>
          <w:color w:val="000000" w:themeColor="text1"/>
        </w:rPr>
        <w:tab/>
        <w:t>A passenger must be provided a means of notifying the operator of a conveyance in real time that the passenger needs to use a boarding device to alight from the conveyance.</w:t>
      </w:r>
    </w:p>
    <w:p w14:paraId="5A607DC5" w14:textId="77777777" w:rsidR="00FB42CC" w:rsidRPr="008B1975" w:rsidRDefault="00FB42CC" w:rsidP="00FB42CC">
      <w:pPr>
        <w:pStyle w:val="subsection"/>
        <w:rPr>
          <w:color w:val="000000" w:themeColor="text1"/>
        </w:rPr>
      </w:pPr>
      <w:r w:rsidRPr="008B1975">
        <w:rPr>
          <w:color w:val="000000" w:themeColor="text1"/>
        </w:rPr>
        <w:lastRenderedPageBreak/>
        <w:tab/>
      </w:r>
      <w:r w:rsidR="00451CB1" w:rsidRPr="008B1975">
        <w:rPr>
          <w:color w:val="000000" w:themeColor="text1"/>
        </w:rPr>
        <w:t>(2)</w:t>
      </w:r>
      <w:r w:rsidR="00451CB1" w:rsidRPr="008B1975">
        <w:rPr>
          <w:color w:val="000000" w:themeColor="text1"/>
        </w:rPr>
        <w:tab/>
      </w:r>
      <w:r w:rsidRPr="008B1975">
        <w:rPr>
          <w:color w:val="000000" w:themeColor="text1"/>
        </w:rPr>
        <w:t>If the means to notify is a device that sends a signal to that operator, the device must:</w:t>
      </w:r>
    </w:p>
    <w:p w14:paraId="42C5C855" w14:textId="77777777" w:rsidR="00FB42CC" w:rsidRPr="008B1975" w:rsidRDefault="00FB42CC" w:rsidP="00FB42CC">
      <w:pPr>
        <w:pStyle w:val="paragraph"/>
        <w:rPr>
          <w:color w:val="000000" w:themeColor="text1"/>
        </w:rPr>
      </w:pPr>
      <w:r w:rsidRPr="008B1975">
        <w:rPr>
          <w:color w:val="000000" w:themeColor="text1"/>
        </w:rPr>
        <w:tab/>
      </w:r>
      <w:r w:rsidR="007C23B6" w:rsidRPr="008B1975">
        <w:rPr>
          <w:color w:val="000000" w:themeColor="text1"/>
        </w:rPr>
        <w:t>(a)</w:t>
      </w:r>
      <w:r w:rsidR="007C23B6" w:rsidRPr="008B1975">
        <w:rPr>
          <w:color w:val="000000" w:themeColor="text1"/>
        </w:rPr>
        <w:tab/>
      </w:r>
      <w:r w:rsidRPr="008B1975">
        <w:rPr>
          <w:color w:val="000000" w:themeColor="text1"/>
        </w:rPr>
        <w:t>be located in an allocated space; and</w:t>
      </w:r>
    </w:p>
    <w:p w14:paraId="38A32F95" w14:textId="77777777" w:rsidR="00FB42CC" w:rsidRPr="008B1975" w:rsidRDefault="00FB42CC" w:rsidP="00FB42CC">
      <w:pPr>
        <w:pStyle w:val="paragraph"/>
        <w:rPr>
          <w:color w:val="000000" w:themeColor="text1"/>
        </w:rPr>
      </w:pPr>
      <w:r w:rsidRPr="008B1975">
        <w:rPr>
          <w:color w:val="000000" w:themeColor="text1"/>
        </w:rPr>
        <w:tab/>
      </w:r>
      <w:r w:rsidR="007C23B6" w:rsidRPr="008B1975">
        <w:rPr>
          <w:color w:val="000000" w:themeColor="text1"/>
        </w:rPr>
        <w:t>(b)</w:t>
      </w:r>
      <w:r w:rsidR="007C23B6" w:rsidRPr="008B1975">
        <w:rPr>
          <w:color w:val="000000" w:themeColor="text1"/>
        </w:rPr>
        <w:tab/>
      </w:r>
      <w:r w:rsidRPr="008B1975">
        <w:rPr>
          <w:color w:val="000000" w:themeColor="text1"/>
        </w:rPr>
        <w:t>have a switch with one surface dimension of at least 25 mm; and</w:t>
      </w:r>
    </w:p>
    <w:p w14:paraId="676544A3" w14:textId="77777777" w:rsidR="00FB42CC" w:rsidRPr="008B1975" w:rsidRDefault="00FB42CC" w:rsidP="00FB42CC">
      <w:pPr>
        <w:pStyle w:val="paragraph"/>
        <w:rPr>
          <w:color w:val="000000" w:themeColor="text1"/>
        </w:rPr>
      </w:pPr>
      <w:r w:rsidRPr="008B1975">
        <w:rPr>
          <w:color w:val="000000" w:themeColor="text1"/>
        </w:rPr>
        <w:tab/>
      </w:r>
      <w:r w:rsidR="007C23B6" w:rsidRPr="008B1975">
        <w:rPr>
          <w:color w:val="000000" w:themeColor="text1"/>
        </w:rPr>
        <w:t>(c)</w:t>
      </w:r>
      <w:r w:rsidRPr="008B1975">
        <w:rPr>
          <w:color w:val="000000" w:themeColor="text1"/>
        </w:rPr>
        <w:tab/>
        <w:t>be operable with one open hand and not require tight grasping, pinching, or twisting of the wrist; and</w:t>
      </w:r>
    </w:p>
    <w:p w14:paraId="3307156E" w14:textId="77777777" w:rsidR="00FB42CC" w:rsidRPr="008B1975" w:rsidRDefault="00FB42CC" w:rsidP="00451CB1">
      <w:pPr>
        <w:pStyle w:val="paragraph"/>
        <w:rPr>
          <w:color w:val="000000" w:themeColor="text1"/>
        </w:rPr>
      </w:pPr>
      <w:r w:rsidRPr="008B1975">
        <w:rPr>
          <w:color w:val="000000" w:themeColor="text1"/>
        </w:rPr>
        <w:tab/>
      </w:r>
      <w:r w:rsidR="00451CB1" w:rsidRPr="008B1975">
        <w:rPr>
          <w:color w:val="000000" w:themeColor="text1"/>
        </w:rPr>
        <w:t>(d)</w:t>
      </w:r>
      <w:r w:rsidRPr="008B1975">
        <w:rPr>
          <w:color w:val="000000" w:themeColor="text1"/>
        </w:rPr>
        <w:tab/>
        <w:t>comply with clauses 10.4.3(c) and 10.4.4 of AS</w:t>
      </w:r>
      <w:r w:rsidR="00433417" w:rsidRPr="008B1975">
        <w:rPr>
          <w:color w:val="000000" w:themeColor="text1"/>
        </w:rPr>
        <w:t xml:space="preserve"> </w:t>
      </w:r>
      <w:r w:rsidRPr="008B1975">
        <w:rPr>
          <w:color w:val="000000" w:themeColor="text1"/>
        </w:rPr>
        <w:t>1428.1 (2021).</w:t>
      </w:r>
    </w:p>
    <w:p w14:paraId="31CDEC3C" w14:textId="77777777" w:rsidR="00FB42CC" w:rsidRPr="008B1975" w:rsidRDefault="00FB42CC" w:rsidP="00FB42CC">
      <w:pPr>
        <w:pStyle w:val="subsection"/>
        <w:rPr>
          <w:color w:val="000000" w:themeColor="text1"/>
        </w:rPr>
      </w:pPr>
      <w:r w:rsidRPr="008B1975">
        <w:rPr>
          <w:color w:val="000000" w:themeColor="text1"/>
        </w:rPr>
        <w:tab/>
      </w:r>
      <w:r w:rsidR="00451CB1" w:rsidRPr="008B1975">
        <w:rPr>
          <w:color w:val="000000" w:themeColor="text1"/>
        </w:rPr>
        <w:t>(3)</w:t>
      </w:r>
      <w:r w:rsidRPr="008B1975">
        <w:rPr>
          <w:color w:val="000000" w:themeColor="text1"/>
        </w:rPr>
        <w:tab/>
        <w:t>If the device includes an electronic notification system that has an audio system, the device must be linked to a hearing augmentation system.</w:t>
      </w:r>
    </w:p>
    <w:p w14:paraId="43EC9A61" w14:textId="77777777" w:rsidR="00FB42CC" w:rsidRPr="008B1975" w:rsidRDefault="00FB42CC" w:rsidP="00FB42CC">
      <w:pPr>
        <w:pStyle w:val="subsection"/>
        <w:rPr>
          <w:color w:val="000000" w:themeColor="text1"/>
        </w:rPr>
      </w:pPr>
      <w:r w:rsidRPr="008B1975">
        <w:rPr>
          <w:color w:val="000000" w:themeColor="text1"/>
        </w:rPr>
        <w:tab/>
      </w:r>
      <w:r w:rsidR="00451CB1" w:rsidRPr="008B1975">
        <w:rPr>
          <w:color w:val="000000" w:themeColor="text1"/>
        </w:rPr>
        <w:t>(4)</w:t>
      </w:r>
      <w:r w:rsidRPr="008B1975">
        <w:rPr>
          <w:color w:val="000000" w:themeColor="text1"/>
        </w:rPr>
        <w:tab/>
        <w:t>If the device includes one or more buttons, that button or those buttons must:</w:t>
      </w:r>
    </w:p>
    <w:p w14:paraId="66EB5A3F" w14:textId="77777777" w:rsidR="00FB42CC" w:rsidRPr="008B1975" w:rsidRDefault="00FB42CC" w:rsidP="00FB42CC">
      <w:pPr>
        <w:pStyle w:val="paragraph"/>
        <w:rPr>
          <w:color w:val="000000" w:themeColor="text1"/>
        </w:rPr>
      </w:pPr>
      <w:r w:rsidRPr="008B1975">
        <w:rPr>
          <w:color w:val="000000" w:themeColor="text1"/>
        </w:rPr>
        <w:tab/>
      </w:r>
      <w:r w:rsidR="00451CB1" w:rsidRPr="008B1975">
        <w:rPr>
          <w:color w:val="000000" w:themeColor="text1"/>
        </w:rPr>
        <w:t>(a)</w:t>
      </w:r>
      <w:r w:rsidRPr="008B1975">
        <w:rPr>
          <w:color w:val="000000" w:themeColor="text1"/>
        </w:rPr>
        <w:tab/>
        <w:t>require a force to press of no less than 2.5 newtons and no more than 5 newtons; and</w:t>
      </w:r>
    </w:p>
    <w:p w14:paraId="6DF20903" w14:textId="77777777" w:rsidR="00FB42CC" w:rsidRPr="008B1975" w:rsidRDefault="00FB42CC" w:rsidP="00FB42CC">
      <w:pPr>
        <w:pStyle w:val="paragraph"/>
        <w:rPr>
          <w:color w:val="000000" w:themeColor="text1"/>
        </w:rPr>
      </w:pPr>
      <w:r w:rsidRPr="008B1975">
        <w:rPr>
          <w:color w:val="000000" w:themeColor="text1"/>
        </w:rPr>
        <w:tab/>
      </w:r>
      <w:r w:rsidR="00451CB1" w:rsidRPr="008B1975">
        <w:rPr>
          <w:color w:val="000000" w:themeColor="text1"/>
        </w:rPr>
        <w:t>(b)</w:t>
      </w:r>
      <w:r w:rsidRPr="008B1975">
        <w:rPr>
          <w:color w:val="000000" w:themeColor="text1"/>
        </w:rPr>
        <w:tab/>
        <w:t>have an integral, continuously operating light.</w:t>
      </w:r>
    </w:p>
    <w:p w14:paraId="7950A808" w14:textId="77777777" w:rsidR="00FB42CC" w:rsidRPr="008B1975" w:rsidRDefault="00FB42CC" w:rsidP="00FB42CC">
      <w:pPr>
        <w:pStyle w:val="subsection"/>
      </w:pPr>
      <w:r w:rsidRPr="008B1975">
        <w:tab/>
        <w:t>(5)</w:t>
      </w:r>
      <w:r w:rsidRPr="008B1975">
        <w:tab/>
        <w:t>The following table specifies conveyances, premises and infrastructure this section applies to.</w:t>
      </w:r>
    </w:p>
    <w:p w14:paraId="264B2322"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3F6C24B8"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2B8F9C4E" w14:textId="77777777" w:rsidR="00FB42CC" w:rsidRPr="008B1975" w:rsidRDefault="00FB42CC" w:rsidP="00FB42CC">
            <w:pPr>
              <w:pStyle w:val="TableHeading"/>
            </w:pPr>
            <w:r w:rsidRPr="008B1975">
              <w:t>Application of this section</w:t>
            </w:r>
          </w:p>
        </w:tc>
      </w:tr>
      <w:tr w:rsidR="00FB42CC" w:rsidRPr="008B1975" w14:paraId="7D349F88" w14:textId="77777777" w:rsidTr="004E6262">
        <w:trPr>
          <w:trHeight w:val="300"/>
          <w:tblHeader/>
        </w:trPr>
        <w:tc>
          <w:tcPr>
            <w:tcW w:w="1667" w:type="pct"/>
            <w:tcBorders>
              <w:top w:val="single" w:sz="6" w:space="0" w:color="auto"/>
              <w:bottom w:val="single" w:sz="12" w:space="0" w:color="auto"/>
            </w:tcBorders>
            <w:shd w:val="clear" w:color="auto" w:fill="auto"/>
            <w:hideMark/>
          </w:tcPr>
          <w:p w14:paraId="32C96C27" w14:textId="77777777" w:rsidR="00FB42CC" w:rsidRPr="008B1975" w:rsidRDefault="00FB42CC" w:rsidP="00FB42C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7446EEAE" w14:textId="77777777" w:rsidR="00FB42CC" w:rsidRPr="008B1975" w:rsidRDefault="00FB42CC" w:rsidP="00FB42CC">
            <w:pPr>
              <w:pStyle w:val="TableHeading"/>
              <w:rPr>
                <w:color w:val="000000" w:themeColor="text1"/>
              </w:rPr>
            </w:pPr>
            <w:r w:rsidRPr="008B1975">
              <w:rPr>
                <w:color w:val="000000" w:themeColor="text1"/>
              </w:rPr>
              <w:t>Premises</w:t>
            </w:r>
          </w:p>
        </w:tc>
        <w:tc>
          <w:tcPr>
            <w:tcW w:w="1667" w:type="pct"/>
            <w:tcBorders>
              <w:top w:val="single" w:sz="6" w:space="0" w:color="auto"/>
              <w:bottom w:val="single" w:sz="12" w:space="0" w:color="auto"/>
            </w:tcBorders>
            <w:shd w:val="clear" w:color="auto" w:fill="auto"/>
            <w:hideMark/>
          </w:tcPr>
          <w:p w14:paraId="603F733C" w14:textId="77777777" w:rsidR="00FB42CC" w:rsidRPr="008B1975" w:rsidRDefault="00FB42CC" w:rsidP="00FB42CC">
            <w:pPr>
              <w:pStyle w:val="TableHeading"/>
            </w:pPr>
            <w:r w:rsidRPr="008B1975">
              <w:t>Infrastructure</w:t>
            </w:r>
          </w:p>
        </w:tc>
      </w:tr>
      <w:tr w:rsidR="00FB42CC" w:rsidRPr="008B1975" w14:paraId="2F1D4F45" w14:textId="77777777" w:rsidTr="004E6262">
        <w:trPr>
          <w:trHeight w:val="300"/>
        </w:trPr>
        <w:tc>
          <w:tcPr>
            <w:tcW w:w="1667" w:type="pct"/>
            <w:tcBorders>
              <w:top w:val="single" w:sz="12" w:space="0" w:color="auto"/>
              <w:bottom w:val="single" w:sz="12" w:space="0" w:color="auto"/>
            </w:tcBorders>
            <w:shd w:val="clear" w:color="auto" w:fill="auto"/>
            <w:hideMark/>
          </w:tcPr>
          <w:p w14:paraId="66D92355" w14:textId="77777777" w:rsidR="00FB42CC" w:rsidRPr="008B1975" w:rsidRDefault="007C23B6" w:rsidP="00FB42CC">
            <w:pPr>
              <w:pStyle w:val="Tabletext"/>
            </w:pPr>
            <w:r w:rsidRPr="008B1975">
              <w:t>T</w:t>
            </w:r>
            <w:r w:rsidR="00FB42CC" w:rsidRPr="008B1975">
              <w:t>he following:</w:t>
            </w:r>
          </w:p>
          <w:p w14:paraId="332D68B1" w14:textId="77777777" w:rsidR="00FB42CC" w:rsidRPr="008B1975" w:rsidRDefault="00FB42CC" w:rsidP="00FB42CC">
            <w:pPr>
              <w:pStyle w:val="Tablea"/>
            </w:pPr>
            <w:r w:rsidRPr="008B1975">
              <w:t>(a)</w:t>
            </w:r>
            <w:r w:rsidR="008150FF" w:rsidRPr="008B1975">
              <w:t xml:space="preserve"> </w:t>
            </w:r>
            <w:r w:rsidRPr="008B1975">
              <w:t>buses, except dedicated school buses;</w:t>
            </w:r>
          </w:p>
          <w:p w14:paraId="70162EF5" w14:textId="77777777" w:rsidR="00FB42CC" w:rsidRPr="008B1975" w:rsidRDefault="00FB42CC" w:rsidP="00FB42CC">
            <w:pPr>
              <w:pStyle w:val="Tablea"/>
            </w:pPr>
            <w:r w:rsidRPr="008B1975">
              <w:t>(b) coaches</w:t>
            </w:r>
            <w:r w:rsidR="00433417" w:rsidRPr="008B1975">
              <w:t>;</w:t>
            </w:r>
          </w:p>
          <w:p w14:paraId="1E1452FC" w14:textId="77777777" w:rsidR="00FB42CC" w:rsidRPr="008B1975" w:rsidRDefault="00FB42CC" w:rsidP="00FB42CC">
            <w:pPr>
              <w:pStyle w:val="Tablea"/>
            </w:pPr>
            <w:r w:rsidRPr="008B1975">
              <w:t>(c) ferries</w:t>
            </w:r>
            <w:r w:rsidR="00433417" w:rsidRPr="008B1975">
              <w:t>;</w:t>
            </w:r>
          </w:p>
          <w:p w14:paraId="0CC04945" w14:textId="77777777" w:rsidR="00FB42CC" w:rsidRPr="008B1975" w:rsidRDefault="00FB42CC" w:rsidP="00FB42CC">
            <w:pPr>
              <w:pStyle w:val="Tablea"/>
            </w:pPr>
            <w:r w:rsidRPr="008B1975">
              <w:t>(d) trains</w:t>
            </w:r>
            <w:r w:rsidR="00433417" w:rsidRPr="008B1975">
              <w:t>;</w:t>
            </w:r>
          </w:p>
          <w:p w14:paraId="47C786A0" w14:textId="77777777" w:rsidR="006256BB" w:rsidRPr="008B1975" w:rsidRDefault="006256BB" w:rsidP="00FB42CC">
            <w:pPr>
              <w:pStyle w:val="Tablea"/>
            </w:pPr>
            <w:r w:rsidRPr="008B1975">
              <w:t>(e) trams;</w:t>
            </w:r>
          </w:p>
          <w:p w14:paraId="4C84888F" w14:textId="77777777" w:rsidR="00FB42CC" w:rsidRPr="008B1975" w:rsidRDefault="00FB42CC" w:rsidP="00FB42CC">
            <w:pPr>
              <w:pStyle w:val="Tablea"/>
            </w:pPr>
            <w:r w:rsidRPr="008B1975">
              <w:t>(</w:t>
            </w:r>
            <w:r w:rsidR="006256BB" w:rsidRPr="008B1975">
              <w:t>f</w:t>
            </w:r>
            <w:r w:rsidRPr="008B1975">
              <w:t>) light rail</w:t>
            </w:r>
          </w:p>
        </w:tc>
        <w:tc>
          <w:tcPr>
            <w:tcW w:w="1667" w:type="pct"/>
            <w:tcBorders>
              <w:top w:val="single" w:sz="12" w:space="0" w:color="auto"/>
              <w:bottom w:val="single" w:sz="12" w:space="0" w:color="auto"/>
            </w:tcBorders>
            <w:shd w:val="clear" w:color="auto" w:fill="auto"/>
            <w:hideMark/>
          </w:tcPr>
          <w:p w14:paraId="1377A706" w14:textId="77777777" w:rsidR="00FB42CC" w:rsidRPr="008B1975" w:rsidRDefault="00FB42CC" w:rsidP="00FB42CC">
            <w:pPr>
              <w:pStyle w:val="Tabletext"/>
              <w:rPr>
                <w:color w:val="000000" w:themeColor="text1"/>
              </w:rPr>
            </w:pPr>
            <w:r w:rsidRPr="008B1975">
              <w:rPr>
                <w:color w:val="000000" w:themeColor="text1"/>
              </w:rPr>
              <w:t>None</w:t>
            </w:r>
          </w:p>
        </w:tc>
        <w:tc>
          <w:tcPr>
            <w:tcW w:w="1667" w:type="pct"/>
            <w:tcBorders>
              <w:top w:val="single" w:sz="12" w:space="0" w:color="auto"/>
              <w:bottom w:val="single" w:sz="12" w:space="0" w:color="auto"/>
            </w:tcBorders>
            <w:shd w:val="clear" w:color="auto" w:fill="auto"/>
          </w:tcPr>
          <w:p w14:paraId="704F592F" w14:textId="77777777" w:rsidR="00FB42CC" w:rsidRPr="008B1975" w:rsidRDefault="00FB42CC" w:rsidP="00FB42CC">
            <w:pPr>
              <w:pStyle w:val="Tabletext"/>
            </w:pPr>
            <w:r w:rsidRPr="008B1975">
              <w:t>None</w:t>
            </w:r>
          </w:p>
        </w:tc>
      </w:tr>
    </w:tbl>
    <w:p w14:paraId="1276D2D3" w14:textId="77777777" w:rsidR="00FB42CC" w:rsidRPr="008B1975" w:rsidRDefault="000A511B" w:rsidP="000A511B">
      <w:pPr>
        <w:pStyle w:val="ItemHead"/>
      </w:pPr>
      <w:bookmarkStart w:id="105" w:name="_Ref185329636"/>
      <w:r w:rsidRPr="008B1975">
        <w:t xml:space="preserve">15  </w:t>
      </w:r>
      <w:r w:rsidR="00FB42CC" w:rsidRPr="008B1975">
        <w:t>Section 8.8</w:t>
      </w:r>
      <w:bookmarkEnd w:id="105"/>
    </w:p>
    <w:p w14:paraId="7382AA70" w14:textId="77777777" w:rsidR="00FB42CC" w:rsidRPr="008B1975" w:rsidRDefault="00FB42CC" w:rsidP="00FB42CC">
      <w:pPr>
        <w:pStyle w:val="Item"/>
      </w:pPr>
      <w:r w:rsidRPr="008B1975">
        <w:t>Repeal the section, substitute:</w:t>
      </w:r>
    </w:p>
    <w:p w14:paraId="76D176F5" w14:textId="77777777" w:rsidR="00FB42CC" w:rsidRPr="008B1975" w:rsidRDefault="00FB42CC" w:rsidP="006202EA">
      <w:pPr>
        <w:pStyle w:val="ActHead5"/>
        <w:outlineLvl w:val="9"/>
      </w:pPr>
      <w:r w:rsidRPr="008B1975">
        <w:t>8.8  Requesting use of boarding device to board</w:t>
      </w:r>
    </w:p>
    <w:p w14:paraId="5CCD80F9" w14:textId="77777777" w:rsidR="00FB42CC" w:rsidRPr="008B1975" w:rsidRDefault="00FB42CC" w:rsidP="00FB42CC">
      <w:pPr>
        <w:pStyle w:val="subsection"/>
      </w:pPr>
      <w:r w:rsidRPr="008B1975">
        <w:tab/>
      </w:r>
      <w:r w:rsidR="00451CB1" w:rsidRPr="008B1975">
        <w:t>(1)</w:t>
      </w:r>
      <w:r w:rsidRPr="008B1975">
        <w:tab/>
        <w:t>A passenger must be provided a means of notifying the operator of a conveyance that the passenger needs to use a boarding device to board the conveyance.</w:t>
      </w:r>
    </w:p>
    <w:p w14:paraId="52D9C6EB" w14:textId="77777777" w:rsidR="00FB42CC" w:rsidRPr="008B1975" w:rsidRDefault="00FB42CC" w:rsidP="00451CB1">
      <w:pPr>
        <w:pStyle w:val="subsection"/>
        <w:rPr>
          <w:rFonts w:cstheme="minorHAnsi"/>
        </w:rPr>
      </w:pPr>
      <w:r w:rsidRPr="008B1975">
        <w:tab/>
      </w:r>
      <w:r w:rsidR="00451CB1" w:rsidRPr="008B1975">
        <w:t>(2)</w:t>
      </w:r>
      <w:r w:rsidRPr="008B1975">
        <w:tab/>
        <w:t xml:space="preserve">If the means to notify is a device that sends a signal to that operator, the device must </w:t>
      </w:r>
      <w:r w:rsidRPr="008B1975">
        <w:rPr>
          <w:color w:val="000000" w:themeColor="text1"/>
        </w:rPr>
        <w:t>be located at the boarding point according to the dimensions specified in clause 10.4.3 of AS 1428.1 (2021).</w:t>
      </w:r>
    </w:p>
    <w:p w14:paraId="07B105E2" w14:textId="77777777" w:rsidR="00FB42CC" w:rsidRPr="008B1975" w:rsidRDefault="00FB42CC" w:rsidP="00FB42CC">
      <w:pPr>
        <w:pStyle w:val="subsection"/>
        <w:rPr>
          <w:color w:val="000000" w:themeColor="text1"/>
        </w:rPr>
      </w:pPr>
      <w:r w:rsidRPr="008B1975">
        <w:rPr>
          <w:color w:val="000000" w:themeColor="text1"/>
        </w:rPr>
        <w:tab/>
        <w:t>(3)</w:t>
      </w:r>
      <w:r w:rsidRPr="008B1975">
        <w:rPr>
          <w:color w:val="000000" w:themeColor="text1"/>
        </w:rPr>
        <w:tab/>
        <w:t>The following table specifies conveyances, premises and infrastructure this section applies to.</w:t>
      </w:r>
    </w:p>
    <w:p w14:paraId="2D3B60C8" w14:textId="77777777" w:rsidR="00FB42CC" w:rsidRPr="008B1975" w:rsidRDefault="00FB42CC"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4B0E49B3" w14:textId="77777777" w:rsidTr="00FB42CC">
        <w:trPr>
          <w:trHeight w:val="300"/>
          <w:tblHeader/>
        </w:trPr>
        <w:tc>
          <w:tcPr>
            <w:tcW w:w="5000" w:type="pct"/>
            <w:gridSpan w:val="3"/>
            <w:tcBorders>
              <w:top w:val="single" w:sz="12" w:space="0" w:color="auto"/>
              <w:bottom w:val="single" w:sz="6" w:space="0" w:color="auto"/>
            </w:tcBorders>
            <w:shd w:val="clear" w:color="auto" w:fill="auto"/>
            <w:hideMark/>
          </w:tcPr>
          <w:p w14:paraId="59FC9C8A" w14:textId="77777777" w:rsidR="00FB42CC" w:rsidRPr="008B1975" w:rsidRDefault="00FB42CC" w:rsidP="00FB42CC">
            <w:pPr>
              <w:pStyle w:val="TableHeading"/>
              <w:rPr>
                <w:color w:val="000000" w:themeColor="text1"/>
              </w:rPr>
            </w:pPr>
            <w:r w:rsidRPr="008B1975">
              <w:rPr>
                <w:color w:val="000000" w:themeColor="text1"/>
              </w:rPr>
              <w:t>Application of this section</w:t>
            </w:r>
          </w:p>
        </w:tc>
      </w:tr>
      <w:tr w:rsidR="00FB42CC" w:rsidRPr="008B1975" w14:paraId="73ACC4DC" w14:textId="77777777" w:rsidTr="004E6262">
        <w:trPr>
          <w:trHeight w:val="300"/>
          <w:tblHeader/>
        </w:trPr>
        <w:tc>
          <w:tcPr>
            <w:tcW w:w="1667" w:type="pct"/>
            <w:tcBorders>
              <w:top w:val="single" w:sz="6" w:space="0" w:color="auto"/>
              <w:bottom w:val="single" w:sz="12" w:space="0" w:color="auto"/>
            </w:tcBorders>
            <w:shd w:val="clear" w:color="auto" w:fill="auto"/>
            <w:hideMark/>
          </w:tcPr>
          <w:p w14:paraId="7E2E439F" w14:textId="77777777" w:rsidR="00FB42CC" w:rsidRPr="008B1975" w:rsidRDefault="00FB42CC" w:rsidP="00FB42CC">
            <w:pPr>
              <w:pStyle w:val="TableHeading"/>
              <w:rPr>
                <w:color w:val="000000" w:themeColor="text1"/>
              </w:rPr>
            </w:pPr>
            <w:r w:rsidRPr="008B1975">
              <w:rPr>
                <w:color w:val="000000" w:themeColor="text1"/>
              </w:rPr>
              <w:t>Conveyances</w:t>
            </w:r>
          </w:p>
        </w:tc>
        <w:tc>
          <w:tcPr>
            <w:tcW w:w="1667" w:type="pct"/>
            <w:tcBorders>
              <w:top w:val="single" w:sz="6" w:space="0" w:color="auto"/>
              <w:bottom w:val="single" w:sz="12" w:space="0" w:color="auto"/>
            </w:tcBorders>
            <w:shd w:val="clear" w:color="auto" w:fill="auto"/>
            <w:hideMark/>
          </w:tcPr>
          <w:p w14:paraId="4FE524AB" w14:textId="77777777" w:rsidR="00FB42CC" w:rsidRPr="008B1975" w:rsidRDefault="00FB42CC" w:rsidP="00FB42CC">
            <w:pPr>
              <w:pStyle w:val="TableHeading"/>
              <w:rPr>
                <w:color w:val="000000" w:themeColor="text1"/>
              </w:rPr>
            </w:pPr>
            <w:r w:rsidRPr="008B1975">
              <w:rPr>
                <w:color w:val="000000" w:themeColor="text1"/>
              </w:rPr>
              <w:t>Premises</w:t>
            </w:r>
          </w:p>
        </w:tc>
        <w:tc>
          <w:tcPr>
            <w:tcW w:w="1667" w:type="pct"/>
            <w:tcBorders>
              <w:top w:val="single" w:sz="6" w:space="0" w:color="auto"/>
              <w:bottom w:val="single" w:sz="12" w:space="0" w:color="auto"/>
            </w:tcBorders>
            <w:shd w:val="clear" w:color="auto" w:fill="auto"/>
            <w:hideMark/>
          </w:tcPr>
          <w:p w14:paraId="24BCA258" w14:textId="77777777" w:rsidR="00FB42CC" w:rsidRPr="008B1975" w:rsidRDefault="00FB42CC" w:rsidP="00FB42CC">
            <w:pPr>
              <w:pStyle w:val="TableHeading"/>
              <w:rPr>
                <w:color w:val="000000" w:themeColor="text1"/>
              </w:rPr>
            </w:pPr>
            <w:r w:rsidRPr="008B1975">
              <w:rPr>
                <w:color w:val="000000" w:themeColor="text1"/>
              </w:rPr>
              <w:t>Infrastructure</w:t>
            </w:r>
          </w:p>
        </w:tc>
      </w:tr>
      <w:tr w:rsidR="00FB42CC" w:rsidRPr="008B1975" w14:paraId="264D8A31" w14:textId="77777777" w:rsidTr="004E6262">
        <w:trPr>
          <w:trHeight w:val="300"/>
        </w:trPr>
        <w:tc>
          <w:tcPr>
            <w:tcW w:w="1667" w:type="pct"/>
            <w:tcBorders>
              <w:top w:val="single" w:sz="12" w:space="0" w:color="auto"/>
              <w:bottom w:val="single" w:sz="12" w:space="0" w:color="auto"/>
            </w:tcBorders>
            <w:shd w:val="clear" w:color="auto" w:fill="auto"/>
            <w:hideMark/>
          </w:tcPr>
          <w:p w14:paraId="46092348" w14:textId="77777777" w:rsidR="00FB42CC" w:rsidRPr="008B1975" w:rsidRDefault="00FB42CC" w:rsidP="007C23B6">
            <w:pPr>
              <w:pStyle w:val="Tabletext"/>
              <w:rPr>
                <w:color w:val="000000" w:themeColor="text1"/>
              </w:rPr>
            </w:pPr>
            <w:r w:rsidRPr="008B1975">
              <w:rPr>
                <w:color w:val="000000" w:themeColor="text1"/>
              </w:rPr>
              <w:t>None</w:t>
            </w:r>
          </w:p>
        </w:tc>
        <w:tc>
          <w:tcPr>
            <w:tcW w:w="1667" w:type="pct"/>
            <w:tcBorders>
              <w:top w:val="single" w:sz="12" w:space="0" w:color="auto"/>
              <w:bottom w:val="single" w:sz="12" w:space="0" w:color="auto"/>
            </w:tcBorders>
            <w:shd w:val="clear" w:color="auto" w:fill="auto"/>
            <w:hideMark/>
          </w:tcPr>
          <w:p w14:paraId="679B68A1" w14:textId="77777777" w:rsidR="00FB42CC" w:rsidRPr="008B1975" w:rsidRDefault="00FB42CC" w:rsidP="007C23B6">
            <w:pPr>
              <w:pStyle w:val="Tabletext"/>
              <w:rPr>
                <w:color w:val="000000" w:themeColor="text1"/>
              </w:rPr>
            </w:pPr>
            <w:r w:rsidRPr="008B1975">
              <w:rPr>
                <w:color w:val="000000" w:themeColor="text1"/>
              </w:rPr>
              <w:t>All</w:t>
            </w:r>
          </w:p>
        </w:tc>
        <w:tc>
          <w:tcPr>
            <w:tcW w:w="1667" w:type="pct"/>
            <w:tcBorders>
              <w:top w:val="single" w:sz="12" w:space="0" w:color="auto"/>
              <w:bottom w:val="single" w:sz="12" w:space="0" w:color="auto"/>
            </w:tcBorders>
            <w:shd w:val="clear" w:color="auto" w:fill="auto"/>
          </w:tcPr>
          <w:p w14:paraId="5009E2C5" w14:textId="77777777" w:rsidR="00FB42CC" w:rsidRPr="008B1975" w:rsidRDefault="00FB42CC" w:rsidP="007C23B6">
            <w:pPr>
              <w:pStyle w:val="Tabletext"/>
              <w:rPr>
                <w:color w:val="000000" w:themeColor="text1"/>
              </w:rPr>
            </w:pPr>
            <w:r w:rsidRPr="008B1975">
              <w:rPr>
                <w:color w:val="000000" w:themeColor="text1"/>
              </w:rPr>
              <w:t>All</w:t>
            </w:r>
          </w:p>
        </w:tc>
      </w:tr>
    </w:tbl>
    <w:p w14:paraId="07BB3F7D" w14:textId="77777777" w:rsidR="00AB1BD2" w:rsidRPr="008B1975" w:rsidRDefault="000A511B" w:rsidP="000A511B">
      <w:pPr>
        <w:pStyle w:val="ItemHead"/>
      </w:pPr>
      <w:bookmarkStart w:id="106" w:name="_Ref185258320"/>
      <w:r w:rsidRPr="008B1975">
        <w:lastRenderedPageBreak/>
        <w:t xml:space="preserve">16  </w:t>
      </w:r>
      <w:r w:rsidR="00AB1BD2" w:rsidRPr="008B1975">
        <w:t>At the end of Part 8</w:t>
      </w:r>
      <w:bookmarkEnd w:id="106"/>
    </w:p>
    <w:p w14:paraId="357F4F0A" w14:textId="77777777" w:rsidR="00AB1BD2" w:rsidRPr="008B1975" w:rsidRDefault="00AB1BD2" w:rsidP="00AB1BD2">
      <w:pPr>
        <w:pStyle w:val="Item"/>
      </w:pPr>
      <w:r w:rsidRPr="008B1975">
        <w:t>Add:</w:t>
      </w:r>
    </w:p>
    <w:p w14:paraId="7008080C" w14:textId="77777777" w:rsidR="00AB1BD2" w:rsidRPr="008B1975" w:rsidRDefault="00AB1BD2" w:rsidP="001715D4">
      <w:pPr>
        <w:pStyle w:val="ActHead5"/>
        <w:outlineLvl w:val="9"/>
      </w:pPr>
      <w:r w:rsidRPr="008B1975">
        <w:t>8.9  Identification of lead stops</w:t>
      </w:r>
    </w:p>
    <w:p w14:paraId="7F29B741" w14:textId="77777777" w:rsidR="00AB1BD2" w:rsidRPr="008B1975" w:rsidRDefault="00AB1BD2" w:rsidP="00AB1BD2">
      <w:pPr>
        <w:pStyle w:val="subsection"/>
      </w:pPr>
      <w:r w:rsidRPr="008B1975">
        <w:tab/>
        <w:t>(1)</w:t>
      </w:r>
      <w:r w:rsidRPr="008B1975">
        <w:tab/>
        <w:t xml:space="preserve">A lead stop must be identifiable to persons with </w:t>
      </w:r>
      <w:bookmarkStart w:id="107" w:name="_Hlk189668303"/>
      <w:r w:rsidR="006256BB" w:rsidRPr="008B1975">
        <w:t>a disability</w:t>
      </w:r>
      <w:bookmarkEnd w:id="107"/>
      <w:r w:rsidRPr="008B1975">
        <w:t xml:space="preserve">. </w:t>
      </w:r>
    </w:p>
    <w:p w14:paraId="7E684566" w14:textId="77777777" w:rsidR="00AB1BD2" w:rsidRPr="008B1975" w:rsidRDefault="00AB1BD2" w:rsidP="00AB1BD2">
      <w:pPr>
        <w:pStyle w:val="subsection"/>
      </w:pPr>
      <w:r w:rsidRPr="008B1975">
        <w:tab/>
        <w:t>(2)</w:t>
      </w:r>
      <w:r w:rsidRPr="008B1975">
        <w:tab/>
        <w:t xml:space="preserve">If premises or infrastructure have multiple lead stops, the lead stops must be identifiable and distinguishable from each other to persons with </w:t>
      </w:r>
      <w:r w:rsidR="006256BB" w:rsidRPr="008B1975">
        <w:t>a disability</w:t>
      </w:r>
      <w:r w:rsidRPr="008B1975">
        <w:t>.</w:t>
      </w:r>
    </w:p>
    <w:p w14:paraId="013B65F3" w14:textId="6AECD0D1" w:rsidR="00D96ED8" w:rsidRPr="008B1975" w:rsidRDefault="00E9484C" w:rsidP="00AB1BD2">
      <w:pPr>
        <w:pStyle w:val="subsection"/>
      </w:pPr>
      <w:r w:rsidRPr="008B1975">
        <w:tab/>
        <w:t>(3)</w:t>
      </w:r>
      <w:r w:rsidRPr="008B1975">
        <w:tab/>
      </w:r>
      <w:r w:rsidR="006C6058" w:rsidRPr="008B1975">
        <w:rPr>
          <w:color w:val="000000" w:themeColor="text1"/>
        </w:rPr>
        <w:t>For the purposes of this section, a</w:t>
      </w:r>
      <w:r w:rsidRPr="008B1975">
        <w:rPr>
          <w:color w:val="000000" w:themeColor="text1"/>
        </w:rPr>
        <w:t xml:space="preserve"> </w:t>
      </w:r>
      <w:r w:rsidRPr="008B1975">
        <w:rPr>
          <w:b/>
          <w:i/>
        </w:rPr>
        <w:t>lead stop</w:t>
      </w:r>
      <w:r w:rsidRPr="008B1975">
        <w:t xml:space="preserve"> is a bus stop </w:t>
      </w:r>
      <w:r w:rsidR="00E546D8" w:rsidRPr="008B1975">
        <w:t xml:space="preserve">that </w:t>
      </w:r>
      <w:r w:rsidRPr="008B1975">
        <w:t xml:space="preserve">is designed to have a single platform boarding point for passengers where buses queue behind each other. </w:t>
      </w:r>
    </w:p>
    <w:p w14:paraId="5EC2D38C" w14:textId="77777777" w:rsidR="00E9484C" w:rsidRPr="008B1975" w:rsidRDefault="00D96ED8" w:rsidP="00D96ED8">
      <w:pPr>
        <w:pStyle w:val="notetext"/>
      </w:pPr>
      <w:r w:rsidRPr="008B1975">
        <w:t>Note:</w:t>
      </w:r>
      <w:r w:rsidRPr="008B1975">
        <w:tab/>
      </w:r>
      <w:r w:rsidR="00E9484C" w:rsidRPr="008B1975">
        <w:t xml:space="preserve">This is in contrast to a </w:t>
      </w:r>
      <w:r w:rsidRPr="008B1975">
        <w:t>bus</w:t>
      </w:r>
      <w:r w:rsidR="00E9484C" w:rsidRPr="008B1975">
        <w:t xml:space="preserve"> stop </w:t>
      </w:r>
      <w:r w:rsidRPr="008B1975">
        <w:t xml:space="preserve">which is </w:t>
      </w:r>
      <w:r w:rsidR="00E9484C" w:rsidRPr="008B1975">
        <w:t>designed for a particular set of pre-designated services</w:t>
      </w:r>
      <w:r w:rsidRPr="008B1975">
        <w:t>, and which has</w:t>
      </w:r>
      <w:r w:rsidR="00E9484C" w:rsidRPr="008B1975">
        <w:t xml:space="preserve"> designated stopping areas for </w:t>
      </w:r>
      <w:r w:rsidRPr="008B1975">
        <w:t xml:space="preserve">each of those </w:t>
      </w:r>
      <w:r w:rsidR="00E9484C" w:rsidRPr="008B1975">
        <w:t>different services</w:t>
      </w:r>
      <w:r w:rsidRPr="008B1975">
        <w:t>.</w:t>
      </w:r>
    </w:p>
    <w:p w14:paraId="733A8B82" w14:textId="77777777" w:rsidR="00AB1BD2" w:rsidRPr="008B1975" w:rsidRDefault="00AB1BD2" w:rsidP="00AB1BD2">
      <w:pPr>
        <w:pStyle w:val="subsection"/>
      </w:pPr>
      <w:r w:rsidRPr="008B1975">
        <w:tab/>
        <w:t>(4)</w:t>
      </w:r>
      <w:r w:rsidRPr="008B1975">
        <w:tab/>
        <w:t>The following table specifies conveyances, premises and infrastructure this section applies to.</w:t>
      </w:r>
    </w:p>
    <w:p w14:paraId="2806E3E1" w14:textId="77777777" w:rsidR="00AB1BD2" w:rsidRPr="008B1975" w:rsidRDefault="00AB1BD2" w:rsidP="00AB1B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B1BD2" w:rsidRPr="008B1975" w14:paraId="3F7FA1E5"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2B60E6B6" w14:textId="77777777" w:rsidR="00AB1BD2" w:rsidRPr="008B1975" w:rsidRDefault="00AB1BD2" w:rsidP="007951F9">
            <w:pPr>
              <w:pStyle w:val="TableHeading"/>
            </w:pPr>
            <w:r w:rsidRPr="008B1975">
              <w:t>Application of this section</w:t>
            </w:r>
          </w:p>
        </w:tc>
      </w:tr>
      <w:tr w:rsidR="00AB1BD2" w:rsidRPr="008B1975" w14:paraId="5C87744F" w14:textId="77777777" w:rsidTr="004E6262">
        <w:trPr>
          <w:trHeight w:val="300"/>
          <w:tblHeader/>
        </w:trPr>
        <w:tc>
          <w:tcPr>
            <w:tcW w:w="1667" w:type="pct"/>
            <w:tcBorders>
              <w:top w:val="single" w:sz="6" w:space="0" w:color="auto"/>
              <w:left w:val="nil"/>
              <w:bottom w:val="single" w:sz="12" w:space="0" w:color="auto"/>
              <w:right w:val="nil"/>
            </w:tcBorders>
            <w:hideMark/>
          </w:tcPr>
          <w:p w14:paraId="1E729680" w14:textId="77777777" w:rsidR="00AB1BD2" w:rsidRPr="008B1975" w:rsidRDefault="00AB1BD2"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2D046AD8" w14:textId="77777777" w:rsidR="00AB1BD2" w:rsidRPr="008B1975" w:rsidRDefault="00AB1BD2"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1D8398BE" w14:textId="77777777" w:rsidR="00AB1BD2" w:rsidRPr="008B1975" w:rsidRDefault="00AB1BD2" w:rsidP="007951F9">
            <w:pPr>
              <w:pStyle w:val="TableHeading"/>
            </w:pPr>
            <w:r w:rsidRPr="008B1975">
              <w:t>Infrastructure</w:t>
            </w:r>
          </w:p>
        </w:tc>
      </w:tr>
      <w:tr w:rsidR="00AB1BD2" w:rsidRPr="008B1975" w14:paraId="5F53F927" w14:textId="77777777" w:rsidTr="004E6262">
        <w:trPr>
          <w:trHeight w:val="300"/>
        </w:trPr>
        <w:tc>
          <w:tcPr>
            <w:tcW w:w="1667" w:type="pct"/>
            <w:tcBorders>
              <w:top w:val="single" w:sz="12" w:space="0" w:color="auto"/>
              <w:left w:val="nil"/>
              <w:bottom w:val="single" w:sz="12" w:space="0" w:color="auto"/>
              <w:right w:val="nil"/>
            </w:tcBorders>
            <w:hideMark/>
          </w:tcPr>
          <w:p w14:paraId="5385D8E2" w14:textId="77777777" w:rsidR="00AB1BD2" w:rsidRPr="008B1975" w:rsidRDefault="00AB1BD2"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50DE3C4E" w14:textId="77777777" w:rsidR="00AB1BD2" w:rsidRPr="008B1975" w:rsidRDefault="00AB1BD2" w:rsidP="007951F9">
            <w:pPr>
              <w:pStyle w:val="Tabletext"/>
            </w:pPr>
            <w:r w:rsidRPr="008B1975">
              <w:t>Bus stations</w:t>
            </w:r>
          </w:p>
        </w:tc>
        <w:tc>
          <w:tcPr>
            <w:tcW w:w="1667" w:type="pct"/>
            <w:tcBorders>
              <w:top w:val="single" w:sz="12" w:space="0" w:color="auto"/>
              <w:left w:val="nil"/>
              <w:bottom w:val="single" w:sz="12" w:space="0" w:color="auto"/>
              <w:right w:val="nil"/>
            </w:tcBorders>
            <w:hideMark/>
          </w:tcPr>
          <w:p w14:paraId="78BC4CE1" w14:textId="77777777" w:rsidR="00AB1BD2" w:rsidRPr="008B1975" w:rsidRDefault="00AB1BD2" w:rsidP="007951F9">
            <w:pPr>
              <w:pStyle w:val="Tabletext"/>
            </w:pPr>
            <w:r w:rsidRPr="008B1975">
              <w:t>The following:</w:t>
            </w:r>
          </w:p>
          <w:p w14:paraId="6ADE5E0E" w14:textId="77777777" w:rsidR="00AB1BD2" w:rsidRPr="008B1975" w:rsidRDefault="00AB1BD2" w:rsidP="00462DD1">
            <w:pPr>
              <w:pStyle w:val="Tablea"/>
            </w:pPr>
            <w:r w:rsidRPr="008B1975">
              <w:t>(a) bus zones</w:t>
            </w:r>
            <w:r w:rsidR="001448CE" w:rsidRPr="008B1975">
              <w:t>;</w:t>
            </w:r>
          </w:p>
          <w:p w14:paraId="6FCB24E9" w14:textId="77777777" w:rsidR="00AB1BD2" w:rsidRPr="008B1975" w:rsidRDefault="00AB1BD2" w:rsidP="00462DD1">
            <w:pPr>
              <w:pStyle w:val="Tablea"/>
            </w:pPr>
            <w:r w:rsidRPr="008B1975">
              <w:t>(b) bus interchanges</w:t>
            </w:r>
          </w:p>
        </w:tc>
      </w:tr>
    </w:tbl>
    <w:p w14:paraId="338A2669" w14:textId="29E3DF28" w:rsidR="00764253" w:rsidRPr="008B1975" w:rsidRDefault="00764253" w:rsidP="00764253">
      <w:pPr>
        <w:pStyle w:val="notetext"/>
      </w:pPr>
      <w:r w:rsidRPr="008B1975">
        <w:t>Note:</w:t>
      </w:r>
      <w:r w:rsidRPr="008B1975">
        <w:tab/>
        <w:t xml:space="preserve">This section applies after the end of the </w:t>
      </w:r>
      <w:r w:rsidR="001061F7" w:rsidRPr="008B1975">
        <w:t>5</w:t>
      </w:r>
      <w:r w:rsidRPr="008B1975">
        <w:t xml:space="preserve">-year transitional period to existing lead stops: see section 35.10. </w:t>
      </w:r>
    </w:p>
    <w:p w14:paraId="6A9D0D04" w14:textId="533EC42E" w:rsidR="00AB1BD2" w:rsidRPr="008B1975" w:rsidRDefault="00AB1BD2" w:rsidP="001715D4">
      <w:pPr>
        <w:pStyle w:val="ActHead5"/>
        <w:outlineLvl w:val="9"/>
      </w:pPr>
      <w:r w:rsidRPr="008B1975">
        <w:t xml:space="preserve">8.10  Passenger loading zones </w:t>
      </w:r>
      <w:r w:rsidR="001061F7" w:rsidRPr="008B1975">
        <w:t xml:space="preserve">and taxi ranks </w:t>
      </w:r>
      <w:r w:rsidRPr="008B1975">
        <w:t>within premises and infrastructure</w:t>
      </w:r>
    </w:p>
    <w:p w14:paraId="4B11729B" w14:textId="77777777" w:rsidR="00AB1BD2" w:rsidRPr="008B1975" w:rsidRDefault="00AB1BD2" w:rsidP="00AB1BD2">
      <w:pPr>
        <w:pStyle w:val="subsection"/>
      </w:pPr>
      <w:r w:rsidRPr="008B1975">
        <w:tab/>
        <w:t>(1)</w:t>
      </w:r>
      <w:r w:rsidRPr="008B1975">
        <w:tab/>
        <w:t>If a passenger loading zone within premises or infrastructure has one space for</w:t>
      </w:r>
      <w:r w:rsidR="003422F3" w:rsidRPr="008B1975">
        <w:t xml:space="preserve"> a</w:t>
      </w:r>
      <w:r w:rsidRPr="008B1975">
        <w:t xml:space="preserve"> vehicle, </w:t>
      </w:r>
      <w:r w:rsidR="003422F3" w:rsidRPr="008B1975">
        <w:t xml:space="preserve">that space </w:t>
      </w:r>
      <w:r w:rsidRPr="008B1975">
        <w:t xml:space="preserve">must be </w:t>
      </w:r>
      <w:r w:rsidR="00B259E2" w:rsidRPr="008B1975">
        <w:t xml:space="preserve">an </w:t>
      </w:r>
      <w:r w:rsidRPr="008B1975">
        <w:t>accessible</w:t>
      </w:r>
      <w:r w:rsidR="00B259E2" w:rsidRPr="008B1975">
        <w:t xml:space="preserve"> space</w:t>
      </w:r>
      <w:r w:rsidRPr="008B1975">
        <w:t>.</w:t>
      </w:r>
    </w:p>
    <w:p w14:paraId="77667634" w14:textId="77777777" w:rsidR="00AB1BD2" w:rsidRPr="008B1975" w:rsidRDefault="00AB1BD2" w:rsidP="00AB1BD2">
      <w:pPr>
        <w:pStyle w:val="subsection"/>
      </w:pPr>
      <w:r w:rsidRPr="008B1975">
        <w:tab/>
        <w:t>(2)</w:t>
      </w:r>
      <w:r w:rsidRPr="008B1975">
        <w:tab/>
        <w:t xml:space="preserve">If a passenger loading zone within premises or infrastructure has more than </w:t>
      </w:r>
      <w:r w:rsidR="003422F3" w:rsidRPr="008B1975">
        <w:t xml:space="preserve">one </w:t>
      </w:r>
      <w:r w:rsidRPr="008B1975">
        <w:t xml:space="preserve">space for </w:t>
      </w:r>
      <w:r w:rsidR="003422F3" w:rsidRPr="008B1975">
        <w:t xml:space="preserve">a </w:t>
      </w:r>
      <w:r w:rsidRPr="008B1975">
        <w:t>vehicle, the first and last space in that zone must be</w:t>
      </w:r>
      <w:r w:rsidR="00B259E2" w:rsidRPr="008B1975">
        <w:t xml:space="preserve"> an</w:t>
      </w:r>
      <w:r w:rsidRPr="008B1975">
        <w:t xml:space="preserve"> accessible</w:t>
      </w:r>
      <w:r w:rsidR="00B259E2" w:rsidRPr="008B1975">
        <w:t xml:space="preserve"> space</w:t>
      </w:r>
      <w:r w:rsidRPr="008B1975">
        <w:t>.</w:t>
      </w:r>
    </w:p>
    <w:p w14:paraId="30D19730" w14:textId="77777777" w:rsidR="003422F3" w:rsidRPr="008B1975" w:rsidRDefault="003422F3" w:rsidP="003422F3">
      <w:pPr>
        <w:pStyle w:val="notetext"/>
      </w:pPr>
      <w:r w:rsidRPr="008B1975">
        <w:t>Note:</w:t>
      </w:r>
      <w:r w:rsidRPr="008B1975">
        <w:tab/>
        <w:t>If a passenger loading zone within premises or infrastructure has 2 spaces for vehicles, both of those spaces must be accessible spaces.</w:t>
      </w:r>
    </w:p>
    <w:p w14:paraId="73A1CE4C" w14:textId="77777777" w:rsidR="00AB1BD2" w:rsidRPr="008B1975" w:rsidRDefault="00AB1BD2" w:rsidP="00AB1BD2">
      <w:pPr>
        <w:pStyle w:val="subsection"/>
      </w:pPr>
      <w:r w:rsidRPr="008B1975">
        <w:tab/>
        <w:t>(3)</w:t>
      </w:r>
      <w:r w:rsidRPr="008B1975">
        <w:tab/>
        <w:t>A passenger loading zone within premises or infrastructure must comply with the following:</w:t>
      </w:r>
    </w:p>
    <w:p w14:paraId="21742CDA" w14:textId="77777777" w:rsidR="00AB1BD2" w:rsidRPr="008B1975" w:rsidRDefault="00AB1BD2" w:rsidP="00AB1BD2">
      <w:pPr>
        <w:pStyle w:val="paragraph"/>
      </w:pPr>
      <w:r w:rsidRPr="008B1975">
        <w:tab/>
        <w:t>(a)</w:t>
      </w:r>
      <w:r w:rsidRPr="008B1975">
        <w:tab/>
        <w:t>the zone must be located adjacent to a firm and level boarding area that is connected to</w:t>
      </w:r>
      <w:r w:rsidR="00B259E2" w:rsidRPr="008B1975">
        <w:t xml:space="preserve"> an access path that is connected to</w:t>
      </w:r>
      <w:r w:rsidRPr="008B1975">
        <w:t>:</w:t>
      </w:r>
    </w:p>
    <w:p w14:paraId="00E968C3" w14:textId="77777777" w:rsidR="00AB1BD2" w:rsidRPr="008B1975" w:rsidRDefault="00AB1BD2" w:rsidP="00AB1BD2">
      <w:pPr>
        <w:pStyle w:val="paragraphsub"/>
      </w:pPr>
      <w:r w:rsidRPr="008B1975">
        <w:tab/>
        <w:t>(i)</w:t>
      </w:r>
      <w:r w:rsidRPr="008B1975">
        <w:tab/>
        <w:t>a main pedestrian entry point of the premises or infrastructure; and</w:t>
      </w:r>
    </w:p>
    <w:p w14:paraId="1564B1D9" w14:textId="77777777" w:rsidR="00AB1BD2" w:rsidRPr="008B1975" w:rsidRDefault="00AB1BD2" w:rsidP="00AB1BD2">
      <w:pPr>
        <w:pStyle w:val="paragraphsub"/>
      </w:pPr>
      <w:r w:rsidRPr="008B1975">
        <w:tab/>
        <w:t>(ii)</w:t>
      </w:r>
      <w:r w:rsidRPr="008B1975">
        <w:tab/>
        <w:t>any other public transport boarding area;</w:t>
      </w:r>
    </w:p>
    <w:p w14:paraId="53077D5E" w14:textId="77777777" w:rsidR="00AB1BD2" w:rsidRPr="008B1975" w:rsidRDefault="00AB1BD2" w:rsidP="00AB1BD2">
      <w:pPr>
        <w:pStyle w:val="paragraph"/>
      </w:pPr>
      <w:r w:rsidRPr="008B1975">
        <w:tab/>
        <w:t>(</w:t>
      </w:r>
      <w:r w:rsidR="008F7FF0" w:rsidRPr="008B1975">
        <w:t>b</w:t>
      </w:r>
      <w:r w:rsidRPr="008B1975">
        <w:t>)</w:t>
      </w:r>
      <w:r w:rsidRPr="008B1975">
        <w:tab/>
        <w:t xml:space="preserve">if the zone joins a carriageway at grade (within the meaning of AS/NZS 1428.4.1 (2009))—the zone has </w:t>
      </w:r>
      <w:r w:rsidR="00641519" w:rsidRPr="008B1975">
        <w:t xml:space="preserve">warning </w:t>
      </w:r>
      <w:r w:rsidRPr="008B1975">
        <w:t xml:space="preserve">tactile ground surface indicators in accordance with clause </w:t>
      </w:r>
      <w:r w:rsidR="00641519" w:rsidRPr="008B1975">
        <w:t xml:space="preserve">2.5 </w:t>
      </w:r>
      <w:r w:rsidRPr="008B1975">
        <w:t>of AS/NZS 1428.4.1 (2009);</w:t>
      </w:r>
    </w:p>
    <w:p w14:paraId="61615294" w14:textId="77777777" w:rsidR="00AB1BD2" w:rsidRPr="008B1975" w:rsidRDefault="00AB1BD2" w:rsidP="00AB1BD2">
      <w:pPr>
        <w:pStyle w:val="paragraph"/>
      </w:pPr>
      <w:r w:rsidRPr="008B1975">
        <w:tab/>
        <w:t>(</w:t>
      </w:r>
      <w:r w:rsidR="008F7FF0" w:rsidRPr="008B1975">
        <w:t>c</w:t>
      </w:r>
      <w:r w:rsidRPr="008B1975">
        <w:t>)</w:t>
      </w:r>
      <w:r w:rsidRPr="008B1975">
        <w:tab/>
        <w:t>if the zone is bordered by a kerb—the zone must include a kerb ramp in accordance with clause 10.7 of AS 1428.1 (2009).</w:t>
      </w:r>
    </w:p>
    <w:p w14:paraId="6DA9EE99" w14:textId="77777777" w:rsidR="00545800" w:rsidRPr="008B1975" w:rsidRDefault="00B259E2" w:rsidP="00B259E2">
      <w:pPr>
        <w:pStyle w:val="subsection"/>
      </w:pPr>
      <w:r w:rsidRPr="008B1975">
        <w:lastRenderedPageBreak/>
        <w:tab/>
      </w:r>
      <w:r w:rsidR="00545800" w:rsidRPr="008B1975">
        <w:t>(4)</w:t>
      </w:r>
      <w:r w:rsidR="00545800" w:rsidRPr="008B1975">
        <w:tab/>
        <w:t>If a taxi rank is provided within a public transport facility, the taxi rank must comply with subsections (1) to (3) as if it were a passenger loading zone.</w:t>
      </w:r>
    </w:p>
    <w:p w14:paraId="2B3366EF" w14:textId="77777777" w:rsidR="00B259E2" w:rsidRPr="008B1975" w:rsidRDefault="00545800" w:rsidP="00B259E2">
      <w:pPr>
        <w:pStyle w:val="subsection"/>
      </w:pPr>
      <w:r w:rsidRPr="008B1975">
        <w:tab/>
      </w:r>
      <w:r w:rsidR="00B259E2" w:rsidRPr="008B1975">
        <w:t>(</w:t>
      </w:r>
      <w:r w:rsidRPr="008B1975">
        <w:t>5</w:t>
      </w:r>
      <w:r w:rsidR="00B259E2" w:rsidRPr="008B1975">
        <w:t>)</w:t>
      </w:r>
      <w:r w:rsidR="00B259E2" w:rsidRPr="008B1975">
        <w:tab/>
        <w:t xml:space="preserve">In this section, </w:t>
      </w:r>
      <w:r w:rsidR="00B259E2" w:rsidRPr="008B1975">
        <w:rPr>
          <w:b/>
          <w:i/>
        </w:rPr>
        <w:t>accessible space</w:t>
      </w:r>
      <w:r w:rsidR="00B259E2" w:rsidRPr="008B1975">
        <w:t xml:space="preserve"> means a space for a vehicle that </w:t>
      </w:r>
      <w:r w:rsidR="00562BDA" w:rsidRPr="008B1975">
        <w:t>conforms (as applicable) with clauses 2.2 to 2.5 of ASNZS 2890.6 (2009)</w:t>
      </w:r>
      <w:r w:rsidR="00B259E2" w:rsidRPr="008B1975">
        <w:t>.</w:t>
      </w:r>
    </w:p>
    <w:p w14:paraId="6E00A255" w14:textId="77777777" w:rsidR="00AB1BD2" w:rsidRPr="008B1975" w:rsidRDefault="00AB1BD2" w:rsidP="00AB1BD2">
      <w:pPr>
        <w:pStyle w:val="subsection"/>
      </w:pPr>
      <w:r w:rsidRPr="008B1975">
        <w:tab/>
        <w:t>(</w:t>
      </w:r>
      <w:r w:rsidR="00545800" w:rsidRPr="008B1975">
        <w:t>6</w:t>
      </w:r>
      <w:r w:rsidRPr="008B1975">
        <w:t>)</w:t>
      </w:r>
      <w:r w:rsidRPr="008B1975">
        <w:tab/>
      </w:r>
      <w:bookmarkStart w:id="108" w:name="_Hlk190075427"/>
      <w:r w:rsidRPr="008B1975">
        <w:t>The following table specifies conveyances, premises and infrastructure this section applies to.</w:t>
      </w:r>
    </w:p>
    <w:p w14:paraId="296089F8" w14:textId="77777777" w:rsidR="00AB1BD2" w:rsidRPr="008B1975" w:rsidRDefault="00AB1BD2" w:rsidP="00AB1B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B1BD2" w:rsidRPr="008B1975" w14:paraId="61BE4A7F"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7799C8EE" w14:textId="77777777" w:rsidR="00AB1BD2" w:rsidRPr="008B1975" w:rsidRDefault="00AB1BD2" w:rsidP="007951F9">
            <w:pPr>
              <w:pStyle w:val="TableHeading"/>
            </w:pPr>
            <w:r w:rsidRPr="008B1975">
              <w:t>Application of this section</w:t>
            </w:r>
          </w:p>
        </w:tc>
      </w:tr>
      <w:tr w:rsidR="00AB1BD2" w:rsidRPr="008B1975" w14:paraId="4E551EAC" w14:textId="77777777" w:rsidTr="004E6262">
        <w:trPr>
          <w:trHeight w:val="300"/>
          <w:tblHeader/>
        </w:trPr>
        <w:tc>
          <w:tcPr>
            <w:tcW w:w="1667" w:type="pct"/>
            <w:tcBorders>
              <w:top w:val="single" w:sz="6" w:space="0" w:color="auto"/>
              <w:left w:val="nil"/>
              <w:bottom w:val="single" w:sz="12" w:space="0" w:color="auto"/>
              <w:right w:val="nil"/>
            </w:tcBorders>
            <w:hideMark/>
          </w:tcPr>
          <w:p w14:paraId="5C3CC3AD" w14:textId="77777777" w:rsidR="00AB1BD2" w:rsidRPr="008B1975" w:rsidRDefault="00AB1BD2"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222BA003" w14:textId="77777777" w:rsidR="00AB1BD2" w:rsidRPr="008B1975" w:rsidRDefault="00AB1BD2"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7EA65699" w14:textId="77777777" w:rsidR="00AB1BD2" w:rsidRPr="008B1975" w:rsidRDefault="00AB1BD2" w:rsidP="007951F9">
            <w:pPr>
              <w:pStyle w:val="TableHeading"/>
            </w:pPr>
            <w:r w:rsidRPr="008B1975">
              <w:t>Infrastructure</w:t>
            </w:r>
          </w:p>
        </w:tc>
      </w:tr>
      <w:tr w:rsidR="00AB1BD2" w:rsidRPr="008B1975" w14:paraId="0627B34D" w14:textId="77777777" w:rsidTr="004E6262">
        <w:trPr>
          <w:trHeight w:val="385"/>
        </w:trPr>
        <w:tc>
          <w:tcPr>
            <w:tcW w:w="1667" w:type="pct"/>
            <w:tcBorders>
              <w:top w:val="single" w:sz="12" w:space="0" w:color="auto"/>
              <w:left w:val="nil"/>
              <w:bottom w:val="single" w:sz="12" w:space="0" w:color="auto"/>
              <w:right w:val="nil"/>
            </w:tcBorders>
            <w:hideMark/>
          </w:tcPr>
          <w:p w14:paraId="32868653" w14:textId="77777777" w:rsidR="00AB1BD2" w:rsidRPr="008B1975" w:rsidRDefault="00AB1BD2" w:rsidP="007951F9">
            <w:pPr>
              <w:pStyle w:val="Tablea"/>
            </w:pPr>
            <w:r w:rsidRPr="008B1975">
              <w:t>None</w:t>
            </w:r>
          </w:p>
        </w:tc>
        <w:tc>
          <w:tcPr>
            <w:tcW w:w="1667" w:type="pct"/>
            <w:tcBorders>
              <w:top w:val="single" w:sz="12" w:space="0" w:color="auto"/>
              <w:left w:val="nil"/>
              <w:bottom w:val="single" w:sz="12" w:space="0" w:color="auto"/>
              <w:right w:val="nil"/>
            </w:tcBorders>
            <w:hideMark/>
          </w:tcPr>
          <w:p w14:paraId="6DDBEFD2" w14:textId="77777777" w:rsidR="00AB1BD2" w:rsidRPr="008B1975" w:rsidRDefault="00AB1BD2" w:rsidP="007951F9">
            <w:pPr>
              <w:pStyle w:val="Tabletext"/>
            </w:pPr>
            <w:r w:rsidRPr="008B1975">
              <w:t>All</w:t>
            </w:r>
          </w:p>
        </w:tc>
        <w:tc>
          <w:tcPr>
            <w:tcW w:w="1667" w:type="pct"/>
            <w:tcBorders>
              <w:top w:val="single" w:sz="12" w:space="0" w:color="auto"/>
              <w:left w:val="nil"/>
              <w:bottom w:val="single" w:sz="12" w:space="0" w:color="auto"/>
              <w:right w:val="nil"/>
            </w:tcBorders>
            <w:hideMark/>
          </w:tcPr>
          <w:p w14:paraId="298C4B0B" w14:textId="77777777" w:rsidR="00AB1BD2" w:rsidRPr="008B1975" w:rsidRDefault="00AB1BD2" w:rsidP="007951F9">
            <w:pPr>
              <w:pStyle w:val="Tabletext"/>
            </w:pPr>
            <w:r w:rsidRPr="008B1975">
              <w:t>All</w:t>
            </w:r>
          </w:p>
        </w:tc>
      </w:tr>
    </w:tbl>
    <w:bookmarkEnd w:id="108"/>
    <w:p w14:paraId="3C163D55" w14:textId="37136114" w:rsidR="00764253" w:rsidRPr="008B1975" w:rsidRDefault="00764253" w:rsidP="00764253">
      <w:pPr>
        <w:pStyle w:val="notetext"/>
      </w:pPr>
      <w:r w:rsidRPr="008B1975">
        <w:t>Note:</w:t>
      </w:r>
      <w:r w:rsidRPr="008B1975">
        <w:tab/>
        <w:t>This section applies after the end of the 10-year transitional period to existing passenger loading zones</w:t>
      </w:r>
      <w:r w:rsidR="001061F7" w:rsidRPr="008B1975">
        <w:t xml:space="preserve"> and taxi ranks</w:t>
      </w:r>
      <w:r w:rsidRPr="008B1975">
        <w:t>: see section 35.10.</w:t>
      </w:r>
    </w:p>
    <w:p w14:paraId="5884E68D" w14:textId="77777777" w:rsidR="001D3708" w:rsidRPr="008B1975" w:rsidRDefault="001D3708" w:rsidP="001715D4">
      <w:pPr>
        <w:pStyle w:val="ActHead5"/>
        <w:outlineLvl w:val="9"/>
      </w:pPr>
      <w:r w:rsidRPr="008B1975">
        <w:t>8.1</w:t>
      </w:r>
      <w:r w:rsidR="00797CC8" w:rsidRPr="008B1975">
        <w:t>1</w:t>
      </w:r>
      <w:r w:rsidRPr="008B1975">
        <w:t xml:space="preserve">  Passenger loading zones on public streets</w:t>
      </w:r>
    </w:p>
    <w:p w14:paraId="7D8DA694" w14:textId="77777777" w:rsidR="0018745A" w:rsidRPr="008B1975" w:rsidRDefault="0018745A" w:rsidP="0018745A">
      <w:pPr>
        <w:pStyle w:val="subsection"/>
      </w:pPr>
      <w:r w:rsidRPr="008B1975">
        <w:tab/>
        <w:t>(</w:t>
      </w:r>
      <w:r w:rsidR="003A1114" w:rsidRPr="008B1975">
        <w:rPr>
          <w:color w:val="000000" w:themeColor="text1"/>
        </w:rPr>
        <w:t>1</w:t>
      </w:r>
      <w:r w:rsidRPr="008B1975">
        <w:t>)</w:t>
      </w:r>
      <w:r w:rsidRPr="008B1975">
        <w:tab/>
        <w:t>If a passenger loading zone on a public street has more than one space for a vehicle, the first and last space in that zone must be an accessible space</w:t>
      </w:r>
      <w:r w:rsidRPr="008B1975">
        <w:rPr>
          <w:i/>
        </w:rPr>
        <w:t>.</w:t>
      </w:r>
    </w:p>
    <w:p w14:paraId="3E3C8988" w14:textId="77777777" w:rsidR="0018745A" w:rsidRPr="008B1975" w:rsidRDefault="0018745A" w:rsidP="0018745A">
      <w:pPr>
        <w:pStyle w:val="notetext"/>
      </w:pPr>
      <w:r w:rsidRPr="008B1975">
        <w:t>Note:</w:t>
      </w:r>
      <w:r w:rsidRPr="008B1975">
        <w:tab/>
        <w:t>If a passenger loading zone on a public street has 2 spaces for vehicles, both of those spaces must be accessible spaces.</w:t>
      </w:r>
    </w:p>
    <w:p w14:paraId="3374F35C" w14:textId="77777777" w:rsidR="003A1114" w:rsidRPr="008B1975" w:rsidRDefault="003A1114" w:rsidP="003A1114">
      <w:pPr>
        <w:pStyle w:val="subsection"/>
        <w:rPr>
          <w:color w:val="000000" w:themeColor="text1"/>
        </w:rPr>
      </w:pPr>
      <w:r w:rsidRPr="008B1975">
        <w:rPr>
          <w:color w:val="000000" w:themeColor="text1"/>
        </w:rPr>
        <w:tab/>
        <w:t>(2)</w:t>
      </w:r>
      <w:r w:rsidRPr="008B1975">
        <w:rPr>
          <w:color w:val="000000" w:themeColor="text1"/>
        </w:rPr>
        <w:tab/>
        <w:t>A passenger loading zone on a public street must comply with the following:</w:t>
      </w:r>
    </w:p>
    <w:p w14:paraId="28A8D8CE" w14:textId="77777777" w:rsidR="002740F2" w:rsidRPr="008B1975" w:rsidRDefault="003A1114" w:rsidP="003A1114">
      <w:pPr>
        <w:pStyle w:val="paragraph"/>
        <w:rPr>
          <w:color w:val="000000" w:themeColor="text1"/>
        </w:rPr>
      </w:pPr>
      <w:r w:rsidRPr="008B1975">
        <w:rPr>
          <w:color w:val="000000" w:themeColor="text1"/>
        </w:rPr>
        <w:tab/>
        <w:t>(a)</w:t>
      </w:r>
      <w:r w:rsidRPr="008B1975">
        <w:rPr>
          <w:color w:val="000000" w:themeColor="text1"/>
        </w:rPr>
        <w:tab/>
        <w:t>if the zone joins a carriageway at grade (within the meaning of AS/NZS 1428.4.1 (2009))—the zone has</w:t>
      </w:r>
      <w:r w:rsidR="002740F2" w:rsidRPr="008B1975">
        <w:rPr>
          <w:color w:val="000000" w:themeColor="text1"/>
        </w:rPr>
        <w:t>:</w:t>
      </w:r>
    </w:p>
    <w:p w14:paraId="70921C24" w14:textId="77777777" w:rsidR="003A1114" w:rsidRPr="008B1975" w:rsidRDefault="002740F2" w:rsidP="002740F2">
      <w:pPr>
        <w:pStyle w:val="paragraphsub"/>
        <w:rPr>
          <w:color w:val="000000" w:themeColor="text1"/>
        </w:rPr>
      </w:pPr>
      <w:r w:rsidRPr="008B1975">
        <w:rPr>
          <w:color w:val="000000" w:themeColor="text1"/>
        </w:rPr>
        <w:tab/>
        <w:t>(i)</w:t>
      </w:r>
      <w:r w:rsidRPr="008B1975">
        <w:rPr>
          <w:color w:val="000000" w:themeColor="text1"/>
        </w:rPr>
        <w:tab/>
      </w:r>
      <w:r w:rsidR="003A1114" w:rsidRPr="008B1975">
        <w:rPr>
          <w:color w:val="000000" w:themeColor="text1"/>
        </w:rPr>
        <w:t>warning tactile ground surface indicators in accordance with clause 2.5 of AS/NZS 1428.4.1 (2009);</w:t>
      </w:r>
      <w:r w:rsidRPr="008B1975">
        <w:rPr>
          <w:color w:val="000000" w:themeColor="text1"/>
        </w:rPr>
        <w:t xml:space="preserve"> and</w:t>
      </w:r>
    </w:p>
    <w:p w14:paraId="304E91F5" w14:textId="77777777" w:rsidR="002740F2" w:rsidRPr="008B1975" w:rsidRDefault="002740F2" w:rsidP="002740F2">
      <w:pPr>
        <w:pStyle w:val="paragraphsub"/>
        <w:rPr>
          <w:color w:val="000000" w:themeColor="text1"/>
        </w:rPr>
      </w:pPr>
      <w:r w:rsidRPr="008B1975">
        <w:rPr>
          <w:color w:val="000000" w:themeColor="text1"/>
        </w:rPr>
        <w:tab/>
        <w:t>(ii)</w:t>
      </w:r>
      <w:r w:rsidRPr="008B1975">
        <w:rPr>
          <w:color w:val="000000" w:themeColor="text1"/>
        </w:rPr>
        <w:tab/>
        <w:t>bollards in accordance with Figure 2.5(B) of AS/NZS 1428.4.1 (2009);</w:t>
      </w:r>
    </w:p>
    <w:p w14:paraId="514227AA" w14:textId="09C646E4" w:rsidR="003A1114" w:rsidRPr="008B1975" w:rsidRDefault="003A1114" w:rsidP="003A1114">
      <w:pPr>
        <w:pStyle w:val="paragraph"/>
        <w:rPr>
          <w:color w:val="000000" w:themeColor="text1"/>
        </w:rPr>
      </w:pPr>
      <w:r w:rsidRPr="008B1975">
        <w:rPr>
          <w:color w:val="000000" w:themeColor="text1"/>
        </w:rPr>
        <w:tab/>
        <w:t>(b)</w:t>
      </w:r>
      <w:r w:rsidRPr="008B1975">
        <w:rPr>
          <w:color w:val="000000" w:themeColor="text1"/>
        </w:rPr>
        <w:tab/>
      </w:r>
      <w:r w:rsidR="00B44656" w:rsidRPr="008B1975">
        <w:rPr>
          <w:color w:val="000000" w:themeColor="text1"/>
        </w:rPr>
        <w:t>if a kerb ramp is installed in an accessible space in the zone—the kerb ramp must be placed to the rear of the accessible space.</w:t>
      </w:r>
    </w:p>
    <w:p w14:paraId="653D23D4" w14:textId="77777777" w:rsidR="001D3708" w:rsidRPr="008B1975" w:rsidRDefault="0018745A" w:rsidP="001D3708">
      <w:pPr>
        <w:pStyle w:val="subsection"/>
      </w:pPr>
      <w:r w:rsidRPr="008B1975">
        <w:tab/>
        <w:t>(</w:t>
      </w:r>
      <w:r w:rsidR="007174EA" w:rsidRPr="008B1975">
        <w:t>3</w:t>
      </w:r>
      <w:r w:rsidRPr="008B1975">
        <w:t>)</w:t>
      </w:r>
      <w:r w:rsidRPr="008B1975">
        <w:tab/>
        <w:t xml:space="preserve">In this section, </w:t>
      </w:r>
      <w:r w:rsidRPr="008B1975">
        <w:rPr>
          <w:b/>
          <w:i/>
        </w:rPr>
        <w:t>accessible space</w:t>
      </w:r>
      <w:r w:rsidRPr="008B1975">
        <w:t xml:space="preserve"> means a space for a vehicle that conforms (as applicable) with clauses 4.5.2 (a), (b), (c) and (f) of AS2890.5 (2020).</w:t>
      </w:r>
    </w:p>
    <w:p w14:paraId="759474DF" w14:textId="77777777" w:rsidR="00A77878" w:rsidRPr="008B1975" w:rsidRDefault="00A77878" w:rsidP="00A77878">
      <w:pPr>
        <w:pStyle w:val="subsection"/>
      </w:pPr>
      <w:r w:rsidRPr="008B1975">
        <w:tab/>
      </w:r>
      <w:bookmarkStart w:id="109" w:name="_Hlk190878811"/>
      <w:r w:rsidRPr="008B1975">
        <w:t>(</w:t>
      </w:r>
      <w:r w:rsidR="007174EA" w:rsidRPr="008B1975">
        <w:t>4</w:t>
      </w:r>
      <w:r w:rsidRPr="008B1975">
        <w:t>)</w:t>
      </w:r>
      <w:r w:rsidRPr="008B1975">
        <w:tab/>
        <w:t>This section does not apply to a</w:t>
      </w:r>
      <w:r w:rsidR="00647753" w:rsidRPr="008B1975">
        <w:t xml:space="preserve"> passenger</w:t>
      </w:r>
      <w:r w:rsidRPr="008B1975">
        <w:t xml:space="preserve"> loading zone that is brought into existence temporarily for a short-term purpose.</w:t>
      </w:r>
    </w:p>
    <w:p w14:paraId="5B548EB0" w14:textId="77777777" w:rsidR="00BB0CC3" w:rsidRPr="008B1975" w:rsidRDefault="00A77878" w:rsidP="00BB0CC3">
      <w:pPr>
        <w:pStyle w:val="notetext"/>
      </w:pPr>
      <w:r w:rsidRPr="008B1975">
        <w:t>Example:</w:t>
      </w:r>
      <w:r w:rsidRPr="008B1975">
        <w:tab/>
        <w:t xml:space="preserve">A </w:t>
      </w:r>
      <w:r w:rsidR="00326018" w:rsidRPr="008B1975">
        <w:t xml:space="preserve">passenger </w:t>
      </w:r>
      <w:r w:rsidRPr="008B1975">
        <w:t>loading zone that is brought into existence temporarily for an event.</w:t>
      </w:r>
    </w:p>
    <w:bookmarkEnd w:id="109"/>
    <w:p w14:paraId="55F2E38E" w14:textId="77777777" w:rsidR="0000046C" w:rsidRPr="008B1975" w:rsidRDefault="0000046C" w:rsidP="0000046C">
      <w:pPr>
        <w:pStyle w:val="subsection"/>
      </w:pPr>
      <w:r w:rsidRPr="008B1975">
        <w:tab/>
        <w:t>(</w:t>
      </w:r>
      <w:r w:rsidR="007174EA" w:rsidRPr="008B1975">
        <w:t>5</w:t>
      </w:r>
      <w:r w:rsidRPr="008B1975">
        <w:t>)</w:t>
      </w:r>
      <w:r w:rsidRPr="008B1975">
        <w:tab/>
        <w:t>The following table specifies conveyances, premises and infrastructure this section applies to.</w:t>
      </w:r>
    </w:p>
    <w:p w14:paraId="6210B4D2" w14:textId="77777777" w:rsidR="0000046C" w:rsidRPr="008B1975" w:rsidRDefault="0000046C" w:rsidP="0000046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0046C" w:rsidRPr="008B1975" w14:paraId="31F67805" w14:textId="77777777" w:rsidTr="001B5F8E">
        <w:trPr>
          <w:trHeight w:val="300"/>
          <w:tblHeader/>
        </w:trPr>
        <w:tc>
          <w:tcPr>
            <w:tcW w:w="5000" w:type="pct"/>
            <w:gridSpan w:val="3"/>
            <w:tcBorders>
              <w:top w:val="single" w:sz="12" w:space="0" w:color="auto"/>
              <w:left w:val="nil"/>
              <w:bottom w:val="single" w:sz="6" w:space="0" w:color="auto"/>
              <w:right w:val="nil"/>
            </w:tcBorders>
            <w:hideMark/>
          </w:tcPr>
          <w:p w14:paraId="35F5CE42" w14:textId="77777777" w:rsidR="0000046C" w:rsidRPr="008B1975" w:rsidRDefault="0000046C" w:rsidP="001B5F8E">
            <w:pPr>
              <w:pStyle w:val="TableHeading"/>
            </w:pPr>
            <w:r w:rsidRPr="008B1975">
              <w:t>Application of this section</w:t>
            </w:r>
          </w:p>
        </w:tc>
      </w:tr>
      <w:tr w:rsidR="0000046C" w:rsidRPr="008B1975" w14:paraId="7FA3F56D" w14:textId="77777777" w:rsidTr="004E6262">
        <w:trPr>
          <w:trHeight w:val="300"/>
          <w:tblHeader/>
        </w:trPr>
        <w:tc>
          <w:tcPr>
            <w:tcW w:w="1667" w:type="pct"/>
            <w:tcBorders>
              <w:top w:val="single" w:sz="6" w:space="0" w:color="auto"/>
              <w:left w:val="nil"/>
              <w:bottom w:val="single" w:sz="12" w:space="0" w:color="auto"/>
              <w:right w:val="nil"/>
            </w:tcBorders>
            <w:hideMark/>
          </w:tcPr>
          <w:p w14:paraId="57671A94" w14:textId="77777777" w:rsidR="0000046C" w:rsidRPr="008B1975" w:rsidRDefault="0000046C" w:rsidP="001B5F8E">
            <w:pPr>
              <w:pStyle w:val="TableHeading"/>
            </w:pPr>
            <w:r w:rsidRPr="008B1975">
              <w:t>Conveyances</w:t>
            </w:r>
          </w:p>
        </w:tc>
        <w:tc>
          <w:tcPr>
            <w:tcW w:w="1667" w:type="pct"/>
            <w:tcBorders>
              <w:top w:val="single" w:sz="6" w:space="0" w:color="auto"/>
              <w:left w:val="nil"/>
              <w:bottom w:val="single" w:sz="12" w:space="0" w:color="auto"/>
              <w:right w:val="nil"/>
            </w:tcBorders>
            <w:hideMark/>
          </w:tcPr>
          <w:p w14:paraId="2973738A" w14:textId="77777777" w:rsidR="0000046C" w:rsidRPr="008B1975" w:rsidRDefault="0000046C" w:rsidP="001B5F8E">
            <w:pPr>
              <w:pStyle w:val="TableHeading"/>
            </w:pPr>
            <w:r w:rsidRPr="008B1975">
              <w:t>Premises</w:t>
            </w:r>
          </w:p>
        </w:tc>
        <w:tc>
          <w:tcPr>
            <w:tcW w:w="1667" w:type="pct"/>
            <w:tcBorders>
              <w:top w:val="single" w:sz="6" w:space="0" w:color="auto"/>
              <w:left w:val="nil"/>
              <w:bottom w:val="single" w:sz="12" w:space="0" w:color="auto"/>
              <w:right w:val="nil"/>
            </w:tcBorders>
            <w:hideMark/>
          </w:tcPr>
          <w:p w14:paraId="4D242B75" w14:textId="77777777" w:rsidR="0000046C" w:rsidRPr="008B1975" w:rsidRDefault="0000046C" w:rsidP="001B5F8E">
            <w:pPr>
              <w:pStyle w:val="TableHeading"/>
            </w:pPr>
            <w:r w:rsidRPr="008B1975">
              <w:t>Infrastructure</w:t>
            </w:r>
          </w:p>
        </w:tc>
      </w:tr>
      <w:tr w:rsidR="0000046C" w:rsidRPr="008B1975" w14:paraId="392475C3" w14:textId="77777777" w:rsidTr="004E6262">
        <w:trPr>
          <w:trHeight w:val="385"/>
        </w:trPr>
        <w:tc>
          <w:tcPr>
            <w:tcW w:w="1667" w:type="pct"/>
            <w:tcBorders>
              <w:top w:val="single" w:sz="12" w:space="0" w:color="auto"/>
              <w:left w:val="nil"/>
              <w:bottom w:val="single" w:sz="12" w:space="0" w:color="auto"/>
              <w:right w:val="nil"/>
            </w:tcBorders>
            <w:hideMark/>
          </w:tcPr>
          <w:p w14:paraId="500B5334" w14:textId="77777777" w:rsidR="0000046C" w:rsidRPr="008B1975" w:rsidRDefault="0000046C"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5D83CE6D" w14:textId="77777777" w:rsidR="0000046C" w:rsidRPr="008B1975" w:rsidRDefault="0000046C" w:rsidP="001B5F8E">
            <w:pPr>
              <w:pStyle w:val="Tabletext"/>
            </w:pPr>
            <w:r w:rsidRPr="008B1975">
              <w:t>None</w:t>
            </w:r>
          </w:p>
        </w:tc>
        <w:tc>
          <w:tcPr>
            <w:tcW w:w="1667" w:type="pct"/>
            <w:tcBorders>
              <w:top w:val="single" w:sz="12" w:space="0" w:color="auto"/>
              <w:left w:val="nil"/>
              <w:bottom w:val="single" w:sz="12" w:space="0" w:color="auto"/>
              <w:right w:val="nil"/>
            </w:tcBorders>
            <w:hideMark/>
          </w:tcPr>
          <w:p w14:paraId="249311F4" w14:textId="77777777" w:rsidR="0000046C" w:rsidRPr="008B1975" w:rsidRDefault="0000046C" w:rsidP="001B5F8E">
            <w:pPr>
              <w:pStyle w:val="Tabletext"/>
            </w:pPr>
            <w:r w:rsidRPr="008B1975">
              <w:t>All</w:t>
            </w:r>
          </w:p>
        </w:tc>
      </w:tr>
    </w:tbl>
    <w:p w14:paraId="46C6958D" w14:textId="77777777" w:rsidR="00764253" w:rsidRPr="008B1975" w:rsidRDefault="00764253" w:rsidP="00764253">
      <w:pPr>
        <w:pStyle w:val="notetext"/>
      </w:pPr>
      <w:r w:rsidRPr="008B1975">
        <w:t>Note:</w:t>
      </w:r>
      <w:r w:rsidRPr="008B1975">
        <w:tab/>
        <w:t>This section applies after the end of the 10-year transitional period to existing passenger loading zones: see section 35.10.</w:t>
      </w:r>
    </w:p>
    <w:p w14:paraId="4B6428A6" w14:textId="77777777" w:rsidR="001D3708" w:rsidRPr="008B1975" w:rsidRDefault="00797CC8" w:rsidP="001715D4">
      <w:pPr>
        <w:pStyle w:val="ActHead5"/>
        <w:outlineLvl w:val="9"/>
      </w:pPr>
      <w:r w:rsidRPr="008B1975">
        <w:lastRenderedPageBreak/>
        <w:t>8.12</w:t>
      </w:r>
      <w:r w:rsidR="001D3708" w:rsidRPr="008B1975">
        <w:t xml:space="preserve">  Taxi ranks on public streets</w:t>
      </w:r>
    </w:p>
    <w:p w14:paraId="5C784DC2" w14:textId="77777777" w:rsidR="00CC4A70" w:rsidRPr="008B1975" w:rsidRDefault="00CC4A70" w:rsidP="001D3708">
      <w:pPr>
        <w:pStyle w:val="subsection"/>
        <w:rPr>
          <w:color w:val="000000" w:themeColor="text1"/>
        </w:rPr>
      </w:pPr>
      <w:r w:rsidRPr="008B1975">
        <w:tab/>
      </w:r>
      <w:r w:rsidRPr="008B1975">
        <w:rPr>
          <w:color w:val="000000" w:themeColor="text1"/>
        </w:rPr>
        <w:t>(</w:t>
      </w:r>
      <w:r w:rsidR="0003152D" w:rsidRPr="008B1975">
        <w:rPr>
          <w:color w:val="000000" w:themeColor="text1"/>
        </w:rPr>
        <w:t>1</w:t>
      </w:r>
      <w:r w:rsidRPr="008B1975">
        <w:rPr>
          <w:color w:val="000000" w:themeColor="text1"/>
        </w:rPr>
        <w:t>)</w:t>
      </w:r>
      <w:r w:rsidRPr="008B1975">
        <w:rPr>
          <w:color w:val="000000" w:themeColor="text1"/>
        </w:rPr>
        <w:tab/>
        <w:t>A taxi rank</w:t>
      </w:r>
      <w:r w:rsidR="00D039B7" w:rsidRPr="008B1975">
        <w:rPr>
          <w:color w:val="000000" w:themeColor="text1"/>
        </w:rPr>
        <w:t xml:space="preserve"> on a public street</w:t>
      </w:r>
      <w:r w:rsidRPr="008B1975">
        <w:rPr>
          <w:color w:val="000000" w:themeColor="text1"/>
        </w:rPr>
        <w:t xml:space="preserve"> must connect to an access path.</w:t>
      </w:r>
    </w:p>
    <w:p w14:paraId="0E4BE312" w14:textId="77777777" w:rsidR="003D27D0" w:rsidRPr="008B1975" w:rsidRDefault="0003152D" w:rsidP="00185054">
      <w:pPr>
        <w:pStyle w:val="subsection"/>
        <w:rPr>
          <w:color w:val="000000" w:themeColor="text1"/>
        </w:rPr>
      </w:pPr>
      <w:r w:rsidRPr="008B1975">
        <w:rPr>
          <w:color w:val="000000" w:themeColor="text1"/>
        </w:rPr>
        <w:tab/>
        <w:t>(2)</w:t>
      </w:r>
      <w:r w:rsidRPr="008B1975">
        <w:rPr>
          <w:color w:val="000000" w:themeColor="text1"/>
        </w:rPr>
        <w:tab/>
      </w:r>
      <w:r w:rsidR="003D27D0" w:rsidRPr="008B1975">
        <w:rPr>
          <w:color w:val="000000" w:themeColor="text1"/>
        </w:rPr>
        <w:t xml:space="preserve">A taxi rank on a public street must comply with </w:t>
      </w:r>
      <w:r w:rsidR="00185054" w:rsidRPr="008B1975">
        <w:rPr>
          <w:color w:val="000000" w:themeColor="text1"/>
        </w:rPr>
        <w:t xml:space="preserve">subsections 8.1(1) and (1A) </w:t>
      </w:r>
      <w:r w:rsidR="003D27D0" w:rsidRPr="008B1975">
        <w:rPr>
          <w:color w:val="000000" w:themeColor="text1"/>
        </w:rPr>
        <w:t>as if it were a boarding point</w:t>
      </w:r>
      <w:r w:rsidR="00185054" w:rsidRPr="008B1975">
        <w:rPr>
          <w:color w:val="000000" w:themeColor="text1"/>
        </w:rPr>
        <w:t>.</w:t>
      </w:r>
    </w:p>
    <w:p w14:paraId="1052E9FB" w14:textId="77777777" w:rsidR="00CC4A70" w:rsidRPr="008B1975" w:rsidRDefault="00CC4A70" w:rsidP="001D3708">
      <w:pPr>
        <w:pStyle w:val="subsection"/>
      </w:pPr>
      <w:r w:rsidRPr="008B1975">
        <w:tab/>
        <w:t>(3)</w:t>
      </w:r>
      <w:r w:rsidRPr="008B1975">
        <w:tab/>
      </w:r>
      <w:r w:rsidR="00D039B7" w:rsidRPr="008B1975">
        <w:t>If a taxi rank on a public street has one space for a vehicle, that space must be an accessible space.</w:t>
      </w:r>
    </w:p>
    <w:p w14:paraId="57E6FDC0" w14:textId="77777777" w:rsidR="00D039B7" w:rsidRPr="008B1975" w:rsidRDefault="00D039B7" w:rsidP="00D039B7">
      <w:pPr>
        <w:pStyle w:val="subsection"/>
      </w:pPr>
      <w:r w:rsidRPr="008B1975">
        <w:tab/>
        <w:t>(4)</w:t>
      </w:r>
      <w:r w:rsidRPr="008B1975">
        <w:tab/>
        <w:t>If a taxi rank on a public street has more than one space for a vehicle, the first and last space in that rank must be an accessible space</w:t>
      </w:r>
      <w:r w:rsidRPr="008B1975">
        <w:rPr>
          <w:i/>
        </w:rPr>
        <w:t>.</w:t>
      </w:r>
    </w:p>
    <w:p w14:paraId="53A19819" w14:textId="77777777" w:rsidR="00D039B7" w:rsidRPr="008B1975" w:rsidRDefault="00D039B7" w:rsidP="00D039B7">
      <w:pPr>
        <w:pStyle w:val="notetext"/>
      </w:pPr>
      <w:r w:rsidRPr="008B1975">
        <w:t>Note:</w:t>
      </w:r>
      <w:r w:rsidRPr="008B1975">
        <w:tab/>
        <w:t>If a taxi rank on a public street has 2 spaces for vehicles, both of those spaces must be accessible spaces.</w:t>
      </w:r>
    </w:p>
    <w:p w14:paraId="7954DFC1" w14:textId="77777777" w:rsidR="00185054" w:rsidRPr="008B1975" w:rsidRDefault="00185054" w:rsidP="00185054">
      <w:pPr>
        <w:pStyle w:val="subsection"/>
        <w:rPr>
          <w:color w:val="000000" w:themeColor="text1"/>
        </w:rPr>
      </w:pPr>
      <w:r w:rsidRPr="008B1975">
        <w:rPr>
          <w:color w:val="000000" w:themeColor="text1"/>
        </w:rPr>
        <w:tab/>
        <w:t>(5)</w:t>
      </w:r>
      <w:r w:rsidRPr="008B1975">
        <w:rPr>
          <w:color w:val="000000" w:themeColor="text1"/>
        </w:rPr>
        <w:tab/>
        <w:t>A taxi rank on a public street must comply with the following:</w:t>
      </w:r>
    </w:p>
    <w:p w14:paraId="4818E5CD" w14:textId="77777777" w:rsidR="00185054" w:rsidRPr="008B1975" w:rsidRDefault="00185054" w:rsidP="00185054">
      <w:pPr>
        <w:pStyle w:val="paragraph"/>
        <w:rPr>
          <w:color w:val="000000" w:themeColor="text1"/>
        </w:rPr>
      </w:pPr>
      <w:r w:rsidRPr="008B1975">
        <w:rPr>
          <w:color w:val="000000" w:themeColor="text1"/>
        </w:rPr>
        <w:tab/>
        <w:t>(a)</w:t>
      </w:r>
      <w:r w:rsidRPr="008B1975">
        <w:rPr>
          <w:color w:val="000000" w:themeColor="text1"/>
        </w:rPr>
        <w:tab/>
        <w:t>if the taxi rank joins a carriageway at grade (within the meaning of AS/NZS 1428.4.1 (2009))—the taxi rank has:</w:t>
      </w:r>
    </w:p>
    <w:p w14:paraId="7E34B885" w14:textId="77777777" w:rsidR="00185054" w:rsidRPr="008B1975" w:rsidRDefault="00185054" w:rsidP="00185054">
      <w:pPr>
        <w:pStyle w:val="paragraphsub"/>
        <w:rPr>
          <w:color w:val="000000" w:themeColor="text1"/>
        </w:rPr>
      </w:pPr>
      <w:r w:rsidRPr="008B1975">
        <w:rPr>
          <w:color w:val="000000" w:themeColor="text1"/>
        </w:rPr>
        <w:tab/>
        <w:t>(i)</w:t>
      </w:r>
      <w:r w:rsidRPr="008B1975">
        <w:rPr>
          <w:color w:val="000000" w:themeColor="text1"/>
        </w:rPr>
        <w:tab/>
        <w:t>warning tactile ground surface indicators in accordance with clause 2.5 of AS/NZS 1428.4.1 (2009); and</w:t>
      </w:r>
    </w:p>
    <w:p w14:paraId="4797B85B" w14:textId="77777777" w:rsidR="00185054" w:rsidRPr="008B1975" w:rsidRDefault="00185054" w:rsidP="00185054">
      <w:pPr>
        <w:pStyle w:val="paragraphsub"/>
        <w:rPr>
          <w:color w:val="000000" w:themeColor="text1"/>
        </w:rPr>
      </w:pPr>
      <w:r w:rsidRPr="008B1975">
        <w:rPr>
          <w:color w:val="000000" w:themeColor="text1"/>
        </w:rPr>
        <w:tab/>
        <w:t>(ii)</w:t>
      </w:r>
      <w:r w:rsidRPr="008B1975">
        <w:rPr>
          <w:color w:val="000000" w:themeColor="text1"/>
        </w:rPr>
        <w:tab/>
        <w:t>bollards in accordance with Figure 2.5(B) of AS/NZS 1428.4.1 (2009);</w:t>
      </w:r>
    </w:p>
    <w:p w14:paraId="1810A1A9" w14:textId="7965439B" w:rsidR="006B5A0B" w:rsidRPr="008B1975" w:rsidRDefault="00185054" w:rsidP="00D93658">
      <w:pPr>
        <w:pStyle w:val="paragraph"/>
        <w:rPr>
          <w:color w:val="000000" w:themeColor="text1"/>
        </w:rPr>
      </w:pPr>
      <w:r w:rsidRPr="008B1975">
        <w:rPr>
          <w:color w:val="000000" w:themeColor="text1"/>
        </w:rPr>
        <w:tab/>
        <w:t>(b)</w:t>
      </w:r>
      <w:r w:rsidRPr="008B1975">
        <w:rPr>
          <w:color w:val="000000" w:themeColor="text1"/>
        </w:rPr>
        <w:tab/>
        <w:t xml:space="preserve">if </w:t>
      </w:r>
      <w:r w:rsidR="00B44656" w:rsidRPr="008B1975">
        <w:rPr>
          <w:color w:val="000000" w:themeColor="text1"/>
        </w:rPr>
        <w:t>a kerb ramp is installed in an accessible space in the rank—the kerb ramp must be placed to the rear of the accessible space</w:t>
      </w:r>
      <w:r w:rsidRPr="008B1975">
        <w:rPr>
          <w:color w:val="000000" w:themeColor="text1"/>
        </w:rPr>
        <w:t>.</w:t>
      </w:r>
    </w:p>
    <w:p w14:paraId="511683F2" w14:textId="77777777" w:rsidR="00D039B7" w:rsidRPr="008B1975" w:rsidRDefault="00D039B7" w:rsidP="001D3708">
      <w:pPr>
        <w:pStyle w:val="subsection"/>
      </w:pPr>
      <w:r w:rsidRPr="008B1975">
        <w:tab/>
        <w:t>(</w:t>
      </w:r>
      <w:r w:rsidR="007174EA" w:rsidRPr="008B1975">
        <w:t>6</w:t>
      </w:r>
      <w:r w:rsidRPr="008B1975">
        <w:t>)</w:t>
      </w:r>
      <w:r w:rsidRPr="008B1975">
        <w:tab/>
        <w:t xml:space="preserve">In this section, </w:t>
      </w:r>
      <w:r w:rsidRPr="008B1975">
        <w:rPr>
          <w:b/>
          <w:i/>
        </w:rPr>
        <w:t>accessible space</w:t>
      </w:r>
      <w:r w:rsidRPr="008B1975">
        <w:t xml:space="preserve"> means a space for a vehicle that conforms (as applicable) with clauses 4.5.2 (a), (b), (c) and (f) of AS2890.5 (2020).</w:t>
      </w:r>
    </w:p>
    <w:p w14:paraId="67D0B38D" w14:textId="77777777" w:rsidR="00DF24AD" w:rsidRPr="008B1975" w:rsidRDefault="00DF24AD" w:rsidP="001D3708">
      <w:pPr>
        <w:pStyle w:val="subsection"/>
      </w:pPr>
      <w:r w:rsidRPr="008B1975">
        <w:tab/>
        <w:t>(</w:t>
      </w:r>
      <w:r w:rsidR="007174EA" w:rsidRPr="008B1975">
        <w:t>7</w:t>
      </w:r>
      <w:r w:rsidRPr="008B1975">
        <w:t>)</w:t>
      </w:r>
      <w:r w:rsidRPr="008B1975">
        <w:tab/>
        <w:t xml:space="preserve">This section does not apply to a taxi rank that is </w:t>
      </w:r>
      <w:r w:rsidR="00A77878" w:rsidRPr="008B1975">
        <w:t xml:space="preserve">brought into existence </w:t>
      </w:r>
      <w:r w:rsidRPr="008B1975">
        <w:t>temporarily for a short-term purpose.</w:t>
      </w:r>
    </w:p>
    <w:p w14:paraId="4C8523DB" w14:textId="77777777" w:rsidR="006941D3" w:rsidRPr="008B1975" w:rsidRDefault="00DF24AD" w:rsidP="006941D3">
      <w:pPr>
        <w:pStyle w:val="notetext"/>
        <w:tabs>
          <w:tab w:val="left" w:pos="720"/>
          <w:tab w:val="left" w:pos="1440"/>
          <w:tab w:val="left" w:pos="2160"/>
          <w:tab w:val="left" w:pos="2880"/>
          <w:tab w:val="left" w:pos="3600"/>
          <w:tab w:val="left" w:pos="4320"/>
          <w:tab w:val="left" w:pos="5040"/>
          <w:tab w:val="left" w:pos="5760"/>
          <w:tab w:val="left" w:pos="6480"/>
          <w:tab w:val="left" w:pos="7499"/>
        </w:tabs>
      </w:pPr>
      <w:r w:rsidRPr="008B1975">
        <w:t>Example:</w:t>
      </w:r>
      <w:r w:rsidRPr="008B1975">
        <w:tab/>
        <w:t xml:space="preserve">A taxi rank </w:t>
      </w:r>
      <w:r w:rsidR="00A77878" w:rsidRPr="008B1975">
        <w:t xml:space="preserve">that is brought into existence </w:t>
      </w:r>
      <w:r w:rsidRPr="008B1975">
        <w:t>temporarily for an event.</w:t>
      </w:r>
    </w:p>
    <w:p w14:paraId="2ABD5729" w14:textId="77777777" w:rsidR="0000046C" w:rsidRPr="008B1975" w:rsidRDefault="0000046C" w:rsidP="0000046C">
      <w:pPr>
        <w:pStyle w:val="subsection"/>
      </w:pPr>
      <w:r w:rsidRPr="008B1975">
        <w:tab/>
        <w:t>(</w:t>
      </w:r>
      <w:r w:rsidR="007174EA" w:rsidRPr="008B1975">
        <w:t>8</w:t>
      </w:r>
      <w:r w:rsidRPr="008B1975">
        <w:t>)</w:t>
      </w:r>
      <w:r w:rsidRPr="008B1975">
        <w:tab/>
        <w:t>The following table specifies conveyances, premises and infrastructure this section applies to.</w:t>
      </w:r>
    </w:p>
    <w:p w14:paraId="3CC58820" w14:textId="77777777" w:rsidR="0000046C" w:rsidRPr="008B1975" w:rsidRDefault="0000046C" w:rsidP="0000046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0046C" w:rsidRPr="008B1975" w14:paraId="141AD92E" w14:textId="77777777" w:rsidTr="001B5F8E">
        <w:trPr>
          <w:trHeight w:val="300"/>
          <w:tblHeader/>
        </w:trPr>
        <w:tc>
          <w:tcPr>
            <w:tcW w:w="5000" w:type="pct"/>
            <w:gridSpan w:val="3"/>
            <w:tcBorders>
              <w:top w:val="single" w:sz="12" w:space="0" w:color="auto"/>
              <w:left w:val="nil"/>
              <w:bottom w:val="single" w:sz="6" w:space="0" w:color="auto"/>
              <w:right w:val="nil"/>
            </w:tcBorders>
            <w:hideMark/>
          </w:tcPr>
          <w:p w14:paraId="0104115D" w14:textId="77777777" w:rsidR="0000046C" w:rsidRPr="008B1975" w:rsidRDefault="0000046C" w:rsidP="001B5F8E">
            <w:pPr>
              <w:pStyle w:val="TableHeading"/>
            </w:pPr>
            <w:r w:rsidRPr="008B1975">
              <w:t>Application of this section</w:t>
            </w:r>
          </w:p>
        </w:tc>
      </w:tr>
      <w:tr w:rsidR="0000046C" w:rsidRPr="008B1975" w14:paraId="79DE7596" w14:textId="77777777" w:rsidTr="004E6262">
        <w:trPr>
          <w:trHeight w:val="300"/>
          <w:tblHeader/>
        </w:trPr>
        <w:tc>
          <w:tcPr>
            <w:tcW w:w="1667" w:type="pct"/>
            <w:tcBorders>
              <w:top w:val="single" w:sz="6" w:space="0" w:color="auto"/>
              <w:left w:val="nil"/>
              <w:bottom w:val="single" w:sz="12" w:space="0" w:color="auto"/>
              <w:right w:val="nil"/>
            </w:tcBorders>
            <w:hideMark/>
          </w:tcPr>
          <w:p w14:paraId="650A7C9F" w14:textId="77777777" w:rsidR="0000046C" w:rsidRPr="008B1975" w:rsidRDefault="0000046C" w:rsidP="001B5F8E">
            <w:pPr>
              <w:pStyle w:val="TableHeading"/>
            </w:pPr>
            <w:r w:rsidRPr="008B1975">
              <w:t>Conveyances</w:t>
            </w:r>
          </w:p>
        </w:tc>
        <w:tc>
          <w:tcPr>
            <w:tcW w:w="1667" w:type="pct"/>
            <w:tcBorders>
              <w:top w:val="single" w:sz="6" w:space="0" w:color="auto"/>
              <w:left w:val="nil"/>
              <w:bottom w:val="single" w:sz="12" w:space="0" w:color="auto"/>
              <w:right w:val="nil"/>
            </w:tcBorders>
            <w:hideMark/>
          </w:tcPr>
          <w:p w14:paraId="5E5BCCF8" w14:textId="77777777" w:rsidR="0000046C" w:rsidRPr="008B1975" w:rsidRDefault="0000046C" w:rsidP="001B5F8E">
            <w:pPr>
              <w:pStyle w:val="TableHeading"/>
            </w:pPr>
            <w:r w:rsidRPr="008B1975">
              <w:t>Premises</w:t>
            </w:r>
          </w:p>
        </w:tc>
        <w:tc>
          <w:tcPr>
            <w:tcW w:w="1667" w:type="pct"/>
            <w:tcBorders>
              <w:top w:val="single" w:sz="6" w:space="0" w:color="auto"/>
              <w:left w:val="nil"/>
              <w:bottom w:val="single" w:sz="12" w:space="0" w:color="auto"/>
              <w:right w:val="nil"/>
            </w:tcBorders>
            <w:hideMark/>
          </w:tcPr>
          <w:p w14:paraId="02D32927" w14:textId="77777777" w:rsidR="0000046C" w:rsidRPr="008B1975" w:rsidRDefault="0000046C" w:rsidP="001B5F8E">
            <w:pPr>
              <w:pStyle w:val="TableHeading"/>
            </w:pPr>
            <w:r w:rsidRPr="008B1975">
              <w:t>Infrastructure</w:t>
            </w:r>
          </w:p>
        </w:tc>
      </w:tr>
      <w:tr w:rsidR="0000046C" w:rsidRPr="008B1975" w14:paraId="5F8F953B" w14:textId="77777777" w:rsidTr="004E6262">
        <w:trPr>
          <w:trHeight w:val="385"/>
        </w:trPr>
        <w:tc>
          <w:tcPr>
            <w:tcW w:w="1667" w:type="pct"/>
            <w:tcBorders>
              <w:top w:val="single" w:sz="12" w:space="0" w:color="auto"/>
              <w:left w:val="nil"/>
              <w:bottom w:val="single" w:sz="12" w:space="0" w:color="auto"/>
              <w:right w:val="nil"/>
            </w:tcBorders>
            <w:hideMark/>
          </w:tcPr>
          <w:p w14:paraId="6651F314" w14:textId="77777777" w:rsidR="0000046C" w:rsidRPr="008B1975" w:rsidRDefault="0000046C" w:rsidP="00AB5026">
            <w:pPr>
              <w:pStyle w:val="Tabletext"/>
            </w:pPr>
            <w:r w:rsidRPr="008B1975">
              <w:t>None</w:t>
            </w:r>
          </w:p>
        </w:tc>
        <w:tc>
          <w:tcPr>
            <w:tcW w:w="1667" w:type="pct"/>
            <w:tcBorders>
              <w:top w:val="single" w:sz="12" w:space="0" w:color="auto"/>
              <w:left w:val="nil"/>
              <w:bottom w:val="single" w:sz="12" w:space="0" w:color="auto"/>
              <w:right w:val="nil"/>
            </w:tcBorders>
            <w:hideMark/>
          </w:tcPr>
          <w:p w14:paraId="70E73349" w14:textId="77777777" w:rsidR="0000046C" w:rsidRPr="008B1975" w:rsidRDefault="0000046C" w:rsidP="001B5F8E">
            <w:pPr>
              <w:pStyle w:val="Tabletext"/>
            </w:pPr>
            <w:r w:rsidRPr="008B1975">
              <w:t>None</w:t>
            </w:r>
          </w:p>
        </w:tc>
        <w:tc>
          <w:tcPr>
            <w:tcW w:w="1667" w:type="pct"/>
            <w:tcBorders>
              <w:top w:val="single" w:sz="12" w:space="0" w:color="auto"/>
              <w:left w:val="nil"/>
              <w:bottom w:val="single" w:sz="12" w:space="0" w:color="auto"/>
              <w:right w:val="nil"/>
            </w:tcBorders>
            <w:hideMark/>
          </w:tcPr>
          <w:p w14:paraId="70A75C5F" w14:textId="77777777" w:rsidR="0000046C" w:rsidRPr="008B1975" w:rsidRDefault="0000046C" w:rsidP="001B5F8E">
            <w:pPr>
              <w:pStyle w:val="Tabletext"/>
            </w:pPr>
            <w:r w:rsidRPr="008B1975">
              <w:t>All</w:t>
            </w:r>
          </w:p>
        </w:tc>
      </w:tr>
    </w:tbl>
    <w:p w14:paraId="225CE7DB" w14:textId="77777777" w:rsidR="00764253" w:rsidRPr="008B1975" w:rsidRDefault="00764253" w:rsidP="00764253">
      <w:pPr>
        <w:pStyle w:val="notetext"/>
      </w:pPr>
      <w:r w:rsidRPr="008B1975">
        <w:t>Note:</w:t>
      </w:r>
      <w:r w:rsidRPr="008B1975">
        <w:tab/>
        <w:t>This section applies after the end of the 10-year transitional period to existing taxi ranks: see section 35.10.</w:t>
      </w:r>
    </w:p>
    <w:p w14:paraId="613773DB" w14:textId="77777777" w:rsidR="00AB1BD2" w:rsidRPr="008B1975" w:rsidRDefault="00797CC8" w:rsidP="001715D4">
      <w:pPr>
        <w:pStyle w:val="ActHead5"/>
        <w:outlineLvl w:val="9"/>
      </w:pPr>
      <w:r w:rsidRPr="008B1975">
        <w:t>8.13</w:t>
      </w:r>
      <w:r w:rsidR="00AB1BD2" w:rsidRPr="008B1975">
        <w:t xml:space="preserve">  Public parking areas within premises and infrastructure</w:t>
      </w:r>
    </w:p>
    <w:p w14:paraId="27647459" w14:textId="77777777" w:rsidR="009066FF" w:rsidRPr="008B1975" w:rsidRDefault="00D11FB8" w:rsidP="00113B61">
      <w:pPr>
        <w:pStyle w:val="subsection"/>
      </w:pPr>
      <w:r w:rsidRPr="008B1975">
        <w:tab/>
        <w:t>(1)</w:t>
      </w:r>
      <w:r w:rsidRPr="008B1975">
        <w:tab/>
      </w:r>
      <w:r w:rsidR="00113B61" w:rsidRPr="008B1975">
        <w:t>If there are 6 or more non-accessible parking spaces in a</w:t>
      </w:r>
      <w:r w:rsidRPr="008B1975">
        <w:t xml:space="preserve"> public parking area that forms part of</w:t>
      </w:r>
      <w:r w:rsidR="00606F1C" w:rsidRPr="008B1975">
        <w:rPr>
          <w:color w:val="000000" w:themeColor="text1"/>
        </w:rPr>
        <w:t>,</w:t>
      </w:r>
      <w:r w:rsidRPr="008B1975">
        <w:rPr>
          <w:color w:val="000000" w:themeColor="text1"/>
        </w:rPr>
        <w:t xml:space="preserve"> or is directly associated with</w:t>
      </w:r>
      <w:r w:rsidR="00606F1C" w:rsidRPr="008B1975">
        <w:rPr>
          <w:color w:val="000000" w:themeColor="text1"/>
        </w:rPr>
        <w:t>,</w:t>
      </w:r>
      <w:r w:rsidRPr="008B1975">
        <w:t xml:space="preserve"> public transport premises and infrastructure</w:t>
      </w:r>
      <w:r w:rsidR="00113B61" w:rsidRPr="008B1975">
        <w:t>,</w:t>
      </w:r>
      <w:r w:rsidR="00606F1C" w:rsidRPr="008B1975">
        <w:t xml:space="preserve"> </w:t>
      </w:r>
      <w:r w:rsidR="00113B61" w:rsidRPr="008B1975">
        <w:t>a minimum of one accessible parking space must be provided.</w:t>
      </w:r>
    </w:p>
    <w:p w14:paraId="53D0415D" w14:textId="77777777" w:rsidR="009066FF" w:rsidRPr="008B1975" w:rsidRDefault="009066FF" w:rsidP="00113B61">
      <w:pPr>
        <w:pStyle w:val="subsection"/>
      </w:pPr>
      <w:r w:rsidRPr="008B1975">
        <w:tab/>
        <w:t>(</w:t>
      </w:r>
      <w:r w:rsidR="00113B61" w:rsidRPr="008B1975">
        <w:t>2</w:t>
      </w:r>
      <w:r w:rsidRPr="008B1975">
        <w:t>)</w:t>
      </w:r>
      <w:r w:rsidRPr="008B1975">
        <w:tab/>
      </w:r>
      <w:r w:rsidR="00113B61" w:rsidRPr="008B1975">
        <w:t>I</w:t>
      </w:r>
      <w:r w:rsidRPr="008B1975">
        <w:t xml:space="preserve">f there are 51 or more </w:t>
      </w:r>
      <w:r w:rsidR="00113B61" w:rsidRPr="008B1975">
        <w:t xml:space="preserve">non-accessible </w:t>
      </w:r>
      <w:r w:rsidRPr="008B1975">
        <w:t>parking spaces, the following must occur:</w:t>
      </w:r>
    </w:p>
    <w:p w14:paraId="77686E1D" w14:textId="77777777" w:rsidR="009066FF" w:rsidRPr="008B1975" w:rsidRDefault="009066FF" w:rsidP="00113B61">
      <w:pPr>
        <w:pStyle w:val="paragraph"/>
      </w:pPr>
      <w:r w:rsidRPr="008B1975">
        <w:tab/>
        <w:t>(</w:t>
      </w:r>
      <w:r w:rsidR="00113B61" w:rsidRPr="008B1975">
        <w:t>a</w:t>
      </w:r>
      <w:r w:rsidRPr="008B1975">
        <w:t>)</w:t>
      </w:r>
      <w:r w:rsidRPr="008B1975">
        <w:tab/>
        <w:t>a</w:t>
      </w:r>
      <w:r w:rsidR="00113B61" w:rsidRPr="008B1975">
        <w:t>n additional accessible space beyond what is required by subsection (1) must be provided;</w:t>
      </w:r>
    </w:p>
    <w:p w14:paraId="7C554CDC" w14:textId="77777777" w:rsidR="00113B61" w:rsidRPr="008B1975" w:rsidRDefault="00113B61" w:rsidP="00113B61">
      <w:pPr>
        <w:pStyle w:val="paragraph"/>
      </w:pPr>
      <w:r w:rsidRPr="008B1975">
        <w:lastRenderedPageBreak/>
        <w:tab/>
        <w:t>(b)</w:t>
      </w:r>
      <w:r w:rsidRPr="008B1975">
        <w:tab/>
        <w:t>for every 50 spaces after the 51</w:t>
      </w:r>
      <w:r w:rsidRPr="008B1975">
        <w:rPr>
          <w:vertAlign w:val="superscript"/>
        </w:rPr>
        <w:t>st</w:t>
      </w:r>
      <w:r w:rsidRPr="008B1975">
        <w:t xml:space="preserve"> space—a further accessible space must be provided.</w:t>
      </w:r>
    </w:p>
    <w:p w14:paraId="6F729DB6" w14:textId="77777777" w:rsidR="00113B61" w:rsidRPr="008B1975" w:rsidRDefault="00C92C97" w:rsidP="00113B61">
      <w:pPr>
        <w:pStyle w:val="notetext"/>
      </w:pPr>
      <w:r w:rsidRPr="008B1975">
        <w:t>Note</w:t>
      </w:r>
      <w:r w:rsidR="00113B61" w:rsidRPr="008B1975">
        <w:t>:</w:t>
      </w:r>
      <w:r w:rsidR="00113B61" w:rsidRPr="008B1975">
        <w:tab/>
        <w:t>If there are less than 6 non-accessible parking spaces, there is no requirement for an accessible parking space to be provided.</w:t>
      </w:r>
    </w:p>
    <w:p w14:paraId="1B1950D2" w14:textId="77777777" w:rsidR="00C92C97" w:rsidRPr="008B1975" w:rsidRDefault="00C92C97" w:rsidP="00113B61">
      <w:pPr>
        <w:pStyle w:val="notetext"/>
      </w:pPr>
      <w:r w:rsidRPr="008B1975">
        <w:t>Example:</w:t>
      </w:r>
      <w:r w:rsidRPr="008B1975">
        <w:tab/>
        <w:t>If there are between 6 and 50 non-accessible parking spaces, there must be at least one accessible parking space. If there are between 51 and 100 non-accessible parking spaces, there must be at least 2 accessible parking spaces. If there are between 101 and 150 non-accessible parking spaces, there must be at least 3 accessible parking spaces.</w:t>
      </w:r>
    </w:p>
    <w:p w14:paraId="353E4BF3" w14:textId="77777777" w:rsidR="00440714" w:rsidRPr="008B1975" w:rsidRDefault="00440714" w:rsidP="00440714">
      <w:pPr>
        <w:pStyle w:val="subsection"/>
      </w:pPr>
      <w:r w:rsidRPr="008B1975">
        <w:tab/>
        <w:t>(3)</w:t>
      </w:r>
      <w:r w:rsidRPr="008B1975">
        <w:tab/>
        <w:t>Accessible parking spaces must be located as close as practicable to accessible entrances of the premises or infrastructure, and must be connected to those entrances by an access path.</w:t>
      </w:r>
    </w:p>
    <w:p w14:paraId="31F483F1" w14:textId="77777777" w:rsidR="00440714" w:rsidRPr="008B1975" w:rsidRDefault="00440714" w:rsidP="00440714">
      <w:pPr>
        <w:pStyle w:val="subsection"/>
      </w:pPr>
      <w:r w:rsidRPr="008B1975">
        <w:tab/>
        <w:t>(4)</w:t>
      </w:r>
      <w:r w:rsidRPr="008B1975">
        <w:tab/>
      </w:r>
      <w:r w:rsidR="002E0FCE" w:rsidRPr="008B1975">
        <w:t xml:space="preserve">In this section, </w:t>
      </w:r>
      <w:r w:rsidR="002E0FCE" w:rsidRPr="008B1975">
        <w:rPr>
          <w:b/>
          <w:i/>
        </w:rPr>
        <w:t>accessible parking space</w:t>
      </w:r>
      <w:r w:rsidR="002E0FCE" w:rsidRPr="008B1975">
        <w:t xml:space="preserve"> means a space for a vehicle that conforms (as applicable) with clauses 2.2 to 2.5 of ASNZS 2890.6 (2009).</w:t>
      </w:r>
    </w:p>
    <w:p w14:paraId="0C768627" w14:textId="77777777" w:rsidR="00606F1C" w:rsidRPr="008B1975" w:rsidRDefault="00606F1C" w:rsidP="00606F1C">
      <w:pPr>
        <w:pStyle w:val="subsection"/>
      </w:pPr>
      <w:r w:rsidRPr="008B1975">
        <w:tab/>
        <w:t>(</w:t>
      </w:r>
      <w:r w:rsidR="002E0FCE" w:rsidRPr="008B1975">
        <w:t>5</w:t>
      </w:r>
      <w:r w:rsidRPr="008B1975">
        <w:t>)</w:t>
      </w:r>
      <w:r w:rsidRPr="008B1975">
        <w:tab/>
        <w:t>The following table specifies conveyances, premises and infrastructure this section applies to.</w:t>
      </w:r>
    </w:p>
    <w:p w14:paraId="3A05323A" w14:textId="77777777" w:rsidR="00606F1C" w:rsidRPr="008B1975" w:rsidRDefault="00606F1C" w:rsidP="00606F1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06F1C" w:rsidRPr="008B1975" w14:paraId="555DAD3F" w14:textId="77777777" w:rsidTr="00440714">
        <w:trPr>
          <w:trHeight w:val="300"/>
          <w:tblHeader/>
        </w:trPr>
        <w:tc>
          <w:tcPr>
            <w:tcW w:w="5000" w:type="pct"/>
            <w:gridSpan w:val="3"/>
            <w:tcBorders>
              <w:top w:val="single" w:sz="12" w:space="0" w:color="auto"/>
              <w:left w:val="nil"/>
              <w:bottom w:val="single" w:sz="6" w:space="0" w:color="auto"/>
              <w:right w:val="nil"/>
            </w:tcBorders>
            <w:hideMark/>
          </w:tcPr>
          <w:p w14:paraId="7464AD6A" w14:textId="77777777" w:rsidR="00606F1C" w:rsidRPr="008B1975" w:rsidRDefault="00606F1C" w:rsidP="00440714">
            <w:pPr>
              <w:pStyle w:val="TableHeading"/>
            </w:pPr>
            <w:r w:rsidRPr="008B1975">
              <w:t>Application of this section</w:t>
            </w:r>
          </w:p>
        </w:tc>
      </w:tr>
      <w:tr w:rsidR="00606F1C" w:rsidRPr="008B1975" w14:paraId="71770A78" w14:textId="77777777" w:rsidTr="004E6262">
        <w:trPr>
          <w:trHeight w:val="300"/>
          <w:tblHeader/>
        </w:trPr>
        <w:tc>
          <w:tcPr>
            <w:tcW w:w="1667" w:type="pct"/>
            <w:tcBorders>
              <w:top w:val="single" w:sz="6" w:space="0" w:color="auto"/>
              <w:left w:val="nil"/>
              <w:bottom w:val="single" w:sz="12" w:space="0" w:color="auto"/>
              <w:right w:val="nil"/>
            </w:tcBorders>
            <w:hideMark/>
          </w:tcPr>
          <w:p w14:paraId="05CC3FE7" w14:textId="77777777" w:rsidR="00606F1C" w:rsidRPr="008B1975" w:rsidRDefault="00606F1C" w:rsidP="00440714">
            <w:pPr>
              <w:pStyle w:val="TableHeading"/>
            </w:pPr>
            <w:r w:rsidRPr="008B1975">
              <w:t>Conveyances</w:t>
            </w:r>
          </w:p>
        </w:tc>
        <w:tc>
          <w:tcPr>
            <w:tcW w:w="1667" w:type="pct"/>
            <w:tcBorders>
              <w:top w:val="single" w:sz="6" w:space="0" w:color="auto"/>
              <w:left w:val="nil"/>
              <w:bottom w:val="single" w:sz="12" w:space="0" w:color="auto"/>
              <w:right w:val="nil"/>
            </w:tcBorders>
            <w:hideMark/>
          </w:tcPr>
          <w:p w14:paraId="07BC379F" w14:textId="77777777" w:rsidR="00606F1C" w:rsidRPr="008B1975" w:rsidRDefault="00606F1C" w:rsidP="00440714">
            <w:pPr>
              <w:pStyle w:val="TableHeading"/>
            </w:pPr>
            <w:r w:rsidRPr="008B1975">
              <w:t>Premises</w:t>
            </w:r>
          </w:p>
        </w:tc>
        <w:tc>
          <w:tcPr>
            <w:tcW w:w="1667" w:type="pct"/>
            <w:tcBorders>
              <w:top w:val="single" w:sz="6" w:space="0" w:color="auto"/>
              <w:left w:val="nil"/>
              <w:bottom w:val="single" w:sz="12" w:space="0" w:color="auto"/>
              <w:right w:val="nil"/>
            </w:tcBorders>
            <w:hideMark/>
          </w:tcPr>
          <w:p w14:paraId="5AAE72CD" w14:textId="77777777" w:rsidR="00606F1C" w:rsidRPr="008B1975" w:rsidRDefault="00606F1C" w:rsidP="00440714">
            <w:pPr>
              <w:pStyle w:val="TableHeading"/>
            </w:pPr>
            <w:r w:rsidRPr="008B1975">
              <w:t>Infrastructure</w:t>
            </w:r>
          </w:p>
        </w:tc>
      </w:tr>
      <w:tr w:rsidR="008C3151" w:rsidRPr="008B1975" w14:paraId="2704C697" w14:textId="77777777" w:rsidTr="004E6262">
        <w:trPr>
          <w:trHeight w:val="385"/>
        </w:trPr>
        <w:tc>
          <w:tcPr>
            <w:tcW w:w="1667" w:type="pct"/>
            <w:tcBorders>
              <w:top w:val="single" w:sz="12" w:space="0" w:color="auto"/>
              <w:left w:val="nil"/>
              <w:bottom w:val="single" w:sz="12" w:space="0" w:color="auto"/>
              <w:right w:val="nil"/>
            </w:tcBorders>
            <w:hideMark/>
          </w:tcPr>
          <w:p w14:paraId="7ED9A24A" w14:textId="77777777" w:rsidR="00606F1C" w:rsidRPr="008B1975" w:rsidRDefault="00606F1C" w:rsidP="00A35350">
            <w:pPr>
              <w:pStyle w:val="Tabletext"/>
            </w:pPr>
            <w:r w:rsidRPr="008B1975">
              <w:t>None</w:t>
            </w:r>
          </w:p>
        </w:tc>
        <w:tc>
          <w:tcPr>
            <w:tcW w:w="1667" w:type="pct"/>
            <w:tcBorders>
              <w:top w:val="single" w:sz="12" w:space="0" w:color="auto"/>
              <w:left w:val="nil"/>
              <w:bottom w:val="single" w:sz="12" w:space="0" w:color="auto"/>
              <w:right w:val="nil"/>
            </w:tcBorders>
            <w:hideMark/>
          </w:tcPr>
          <w:p w14:paraId="7E33E518" w14:textId="77777777" w:rsidR="00606F1C" w:rsidRPr="008B1975" w:rsidRDefault="00606F1C" w:rsidP="00440714">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27E8BF6F" w14:textId="77777777" w:rsidR="00606F1C" w:rsidRPr="008B1975" w:rsidRDefault="00606F1C" w:rsidP="00440714">
            <w:pPr>
              <w:pStyle w:val="Tabletext"/>
            </w:pPr>
            <w:r w:rsidRPr="008B1975">
              <w:t>All</w:t>
            </w:r>
          </w:p>
        </w:tc>
      </w:tr>
    </w:tbl>
    <w:p w14:paraId="7D434A58" w14:textId="77777777" w:rsidR="00764253" w:rsidRPr="008B1975" w:rsidRDefault="00764253" w:rsidP="00764253">
      <w:pPr>
        <w:pStyle w:val="notetext"/>
      </w:pPr>
      <w:r w:rsidRPr="008B1975">
        <w:t>Note:</w:t>
      </w:r>
      <w:r w:rsidRPr="008B1975">
        <w:tab/>
        <w:t>This section applies after the end of the 10-year transitional period to existing public parking areas: see section 35.10.</w:t>
      </w:r>
    </w:p>
    <w:p w14:paraId="19881AB7" w14:textId="77777777" w:rsidR="00824838" w:rsidRPr="008B1975" w:rsidRDefault="00824838" w:rsidP="00824838">
      <w:pPr>
        <w:pStyle w:val="ActHead6"/>
        <w:pageBreakBefore/>
        <w:rPr>
          <w:rStyle w:val="CharAmSchText"/>
        </w:rPr>
      </w:pPr>
      <w:bookmarkStart w:id="110" w:name="_Toc197178946"/>
      <w:r w:rsidRPr="008B1975">
        <w:lastRenderedPageBreak/>
        <w:t>Schedule 9—Part 9 (Allocated space) Amendments</w:t>
      </w:r>
      <w:bookmarkEnd w:id="110"/>
    </w:p>
    <w:p w14:paraId="1575A4FE" w14:textId="77777777" w:rsidR="00824838" w:rsidRPr="008B1975" w:rsidRDefault="00824838" w:rsidP="00824838">
      <w:pPr>
        <w:pStyle w:val="ActHead9"/>
      </w:pPr>
      <w:bookmarkStart w:id="111" w:name="_Toc197178947"/>
      <w:r w:rsidRPr="008B1975">
        <w:t>Disability Standards for Accessible Public Transport 2002</w:t>
      </w:r>
      <w:bookmarkEnd w:id="111"/>
    </w:p>
    <w:p w14:paraId="5D4754D3" w14:textId="77777777" w:rsidR="005606F7" w:rsidRPr="008B1975" w:rsidRDefault="000A511B" w:rsidP="000A511B">
      <w:pPr>
        <w:pStyle w:val="ItemHead"/>
      </w:pPr>
      <w:bookmarkStart w:id="112" w:name="_Ref185329949"/>
      <w:r w:rsidRPr="008B1975">
        <w:t xml:space="preserve">1  </w:t>
      </w:r>
      <w:r w:rsidR="005606F7" w:rsidRPr="008B1975">
        <w:t>Section 9.1</w:t>
      </w:r>
      <w:bookmarkEnd w:id="112"/>
    </w:p>
    <w:p w14:paraId="148E1778" w14:textId="77777777" w:rsidR="005606F7" w:rsidRPr="008B1975" w:rsidRDefault="005606F7" w:rsidP="005606F7">
      <w:pPr>
        <w:pStyle w:val="Item"/>
      </w:pPr>
      <w:r w:rsidRPr="008B1975">
        <w:t>Before “The”, insert “(1)”.</w:t>
      </w:r>
    </w:p>
    <w:p w14:paraId="2A2710E4" w14:textId="77777777" w:rsidR="005606F7" w:rsidRPr="008B1975" w:rsidRDefault="000A511B" w:rsidP="000A511B">
      <w:pPr>
        <w:pStyle w:val="ItemHead"/>
      </w:pPr>
      <w:bookmarkStart w:id="113" w:name="_Ref185329952"/>
      <w:r w:rsidRPr="008B1975">
        <w:t xml:space="preserve">2  </w:t>
      </w:r>
      <w:r w:rsidR="005606F7" w:rsidRPr="008B1975">
        <w:t>Section 9.1 (table)</w:t>
      </w:r>
      <w:bookmarkEnd w:id="113"/>
    </w:p>
    <w:p w14:paraId="37BFBA71" w14:textId="77777777" w:rsidR="005606F7" w:rsidRPr="008B1975" w:rsidRDefault="005606F7" w:rsidP="005606F7">
      <w:pPr>
        <w:pStyle w:val="Item"/>
      </w:pPr>
      <w:r w:rsidRPr="008B1975">
        <w:t>Repeal the table, substitute:</w:t>
      </w:r>
    </w:p>
    <w:p w14:paraId="5160630E" w14:textId="77777777" w:rsidR="005606F7" w:rsidRPr="008B1975" w:rsidRDefault="005606F7" w:rsidP="005606F7">
      <w:pPr>
        <w:pStyle w:val="subsection"/>
      </w:pPr>
      <w:r w:rsidRPr="008B1975">
        <w:tab/>
        <w:t>(2)</w:t>
      </w:r>
      <w:r w:rsidRPr="008B1975">
        <w:tab/>
        <w:t>The following table specifies conveyances, premises and infrastructure this section applies to.</w:t>
      </w:r>
    </w:p>
    <w:p w14:paraId="79C50066" w14:textId="77777777" w:rsidR="005606F7" w:rsidRPr="008B1975" w:rsidRDefault="005606F7" w:rsidP="005606F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606F7" w:rsidRPr="008B1975" w14:paraId="357B484E" w14:textId="77777777" w:rsidTr="005606F7">
        <w:trPr>
          <w:trHeight w:val="300"/>
          <w:tblHeader/>
        </w:trPr>
        <w:tc>
          <w:tcPr>
            <w:tcW w:w="5000" w:type="pct"/>
            <w:gridSpan w:val="3"/>
            <w:tcBorders>
              <w:top w:val="single" w:sz="12" w:space="0" w:color="auto"/>
              <w:left w:val="nil"/>
              <w:bottom w:val="single" w:sz="6" w:space="0" w:color="auto"/>
              <w:right w:val="nil"/>
            </w:tcBorders>
            <w:hideMark/>
          </w:tcPr>
          <w:p w14:paraId="15AD53FA" w14:textId="77777777" w:rsidR="005606F7" w:rsidRPr="008B1975" w:rsidRDefault="005606F7" w:rsidP="005606F7">
            <w:pPr>
              <w:pStyle w:val="TableHeading"/>
            </w:pPr>
            <w:r w:rsidRPr="008B1975">
              <w:t>Application of this section</w:t>
            </w:r>
          </w:p>
        </w:tc>
      </w:tr>
      <w:tr w:rsidR="005606F7" w:rsidRPr="008B1975" w14:paraId="3BD24D77" w14:textId="77777777" w:rsidTr="004E6262">
        <w:trPr>
          <w:trHeight w:val="300"/>
          <w:tblHeader/>
        </w:trPr>
        <w:tc>
          <w:tcPr>
            <w:tcW w:w="1667" w:type="pct"/>
            <w:tcBorders>
              <w:top w:val="single" w:sz="6" w:space="0" w:color="auto"/>
              <w:left w:val="nil"/>
              <w:bottom w:val="single" w:sz="12" w:space="0" w:color="auto"/>
              <w:right w:val="nil"/>
            </w:tcBorders>
            <w:hideMark/>
          </w:tcPr>
          <w:p w14:paraId="5591B1CD" w14:textId="77777777" w:rsidR="005606F7" w:rsidRPr="008B1975" w:rsidRDefault="005606F7" w:rsidP="005606F7">
            <w:pPr>
              <w:pStyle w:val="TableHeading"/>
            </w:pPr>
            <w:r w:rsidRPr="008B1975">
              <w:t>Conveyances</w:t>
            </w:r>
          </w:p>
        </w:tc>
        <w:tc>
          <w:tcPr>
            <w:tcW w:w="1667" w:type="pct"/>
            <w:tcBorders>
              <w:top w:val="single" w:sz="6" w:space="0" w:color="auto"/>
              <w:left w:val="nil"/>
              <w:bottom w:val="single" w:sz="12" w:space="0" w:color="auto"/>
              <w:right w:val="nil"/>
            </w:tcBorders>
            <w:hideMark/>
          </w:tcPr>
          <w:p w14:paraId="515EDAAA" w14:textId="77777777" w:rsidR="005606F7" w:rsidRPr="008B1975" w:rsidRDefault="005606F7" w:rsidP="005606F7">
            <w:pPr>
              <w:pStyle w:val="TableHeading"/>
            </w:pPr>
            <w:r w:rsidRPr="008B1975">
              <w:t>Premises</w:t>
            </w:r>
          </w:p>
        </w:tc>
        <w:tc>
          <w:tcPr>
            <w:tcW w:w="1667" w:type="pct"/>
            <w:tcBorders>
              <w:top w:val="single" w:sz="6" w:space="0" w:color="auto"/>
              <w:left w:val="nil"/>
              <w:bottom w:val="single" w:sz="12" w:space="0" w:color="auto"/>
              <w:right w:val="nil"/>
            </w:tcBorders>
            <w:hideMark/>
          </w:tcPr>
          <w:p w14:paraId="3EF799C1" w14:textId="77777777" w:rsidR="005606F7" w:rsidRPr="008B1975" w:rsidRDefault="005606F7" w:rsidP="005606F7">
            <w:pPr>
              <w:pStyle w:val="TableHeading"/>
            </w:pPr>
            <w:r w:rsidRPr="008B1975">
              <w:t>Infrastructure</w:t>
            </w:r>
          </w:p>
        </w:tc>
      </w:tr>
      <w:tr w:rsidR="005606F7" w:rsidRPr="008B1975" w14:paraId="29114D7C" w14:textId="77777777" w:rsidTr="004E6262">
        <w:trPr>
          <w:trHeight w:val="300"/>
        </w:trPr>
        <w:tc>
          <w:tcPr>
            <w:tcW w:w="1667" w:type="pct"/>
            <w:tcBorders>
              <w:top w:val="single" w:sz="12" w:space="0" w:color="auto"/>
              <w:left w:val="nil"/>
              <w:bottom w:val="single" w:sz="12" w:space="0" w:color="auto"/>
              <w:right w:val="nil"/>
            </w:tcBorders>
            <w:hideMark/>
          </w:tcPr>
          <w:p w14:paraId="0DF2AB98" w14:textId="77777777" w:rsidR="005606F7" w:rsidRPr="008B1975" w:rsidRDefault="005606F7" w:rsidP="007C23B6">
            <w:pPr>
              <w:pStyle w:val="Tabletext"/>
            </w:pPr>
            <w:r w:rsidRPr="008B1975">
              <w:t>All</w:t>
            </w:r>
            <w:r w:rsidR="007C23B6" w:rsidRPr="008B1975">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31ADA622" w14:textId="77777777" w:rsidR="005606F7" w:rsidRPr="008B1975" w:rsidRDefault="00FF0A44" w:rsidP="007C23B6">
            <w:pPr>
              <w:pStyle w:val="Tabletext"/>
            </w:pPr>
            <w:r w:rsidRPr="008B1975">
              <w:t>All</w:t>
            </w:r>
          </w:p>
        </w:tc>
        <w:tc>
          <w:tcPr>
            <w:tcW w:w="1667" w:type="pct"/>
            <w:tcBorders>
              <w:top w:val="single" w:sz="12" w:space="0" w:color="auto"/>
              <w:left w:val="nil"/>
              <w:bottom w:val="single" w:sz="12" w:space="0" w:color="auto"/>
              <w:right w:val="nil"/>
            </w:tcBorders>
            <w:hideMark/>
          </w:tcPr>
          <w:p w14:paraId="6DCB3DDE" w14:textId="77777777" w:rsidR="005606F7" w:rsidRPr="008B1975" w:rsidRDefault="006F5E23" w:rsidP="007C23B6">
            <w:pPr>
              <w:pStyle w:val="Tabletext"/>
            </w:pPr>
            <w:r w:rsidRPr="008B1975">
              <w:t>All</w:t>
            </w:r>
          </w:p>
        </w:tc>
      </w:tr>
    </w:tbl>
    <w:p w14:paraId="17D64DD0" w14:textId="77777777" w:rsidR="00AB1BD2" w:rsidRPr="008B1975" w:rsidRDefault="000A511B" w:rsidP="000A511B">
      <w:pPr>
        <w:pStyle w:val="ItemHead"/>
      </w:pPr>
      <w:bookmarkStart w:id="114" w:name="_Ref185258562"/>
      <w:bookmarkStart w:id="115" w:name="_Ref189843667"/>
      <w:r w:rsidRPr="008B1975">
        <w:t xml:space="preserve">3  </w:t>
      </w:r>
      <w:r w:rsidR="00AB1BD2" w:rsidRPr="008B1975">
        <w:t>After section 9.1</w:t>
      </w:r>
      <w:bookmarkEnd w:id="114"/>
      <w:bookmarkEnd w:id="115"/>
    </w:p>
    <w:p w14:paraId="1373EE25" w14:textId="77777777" w:rsidR="00AB1BD2" w:rsidRPr="008B1975" w:rsidRDefault="00AB1BD2" w:rsidP="00AB1BD2">
      <w:pPr>
        <w:pStyle w:val="Item"/>
      </w:pPr>
      <w:r w:rsidRPr="008B1975">
        <w:t>Insert:</w:t>
      </w:r>
    </w:p>
    <w:p w14:paraId="6183C327" w14:textId="77777777" w:rsidR="00AB1BD2" w:rsidRPr="008B1975" w:rsidRDefault="00AB1BD2" w:rsidP="001715D4">
      <w:pPr>
        <w:pStyle w:val="ActHead5"/>
        <w:outlineLvl w:val="9"/>
      </w:pPr>
      <w:r w:rsidRPr="008B1975">
        <w:t>9.1A  Unobstructed vertical dimension of an allocated space</w:t>
      </w:r>
    </w:p>
    <w:p w14:paraId="16E29479" w14:textId="77777777" w:rsidR="00AB1BD2" w:rsidRPr="008B1975" w:rsidRDefault="00AB1BD2" w:rsidP="00AB1BD2">
      <w:pPr>
        <w:pStyle w:val="subsection"/>
      </w:pPr>
      <w:r w:rsidRPr="008B1975">
        <w:tab/>
        <w:t>(1)</w:t>
      </w:r>
      <w:r w:rsidRPr="008B1975">
        <w:tab/>
        <w:t>The vertical dimension of an allocated space must extend unobstructed for at least 1,500 mm starting from the floor of that space.</w:t>
      </w:r>
    </w:p>
    <w:p w14:paraId="0D66AF9D" w14:textId="77777777" w:rsidR="00AB1BD2" w:rsidRPr="008B1975" w:rsidRDefault="00AB1BD2" w:rsidP="00AB1BD2">
      <w:pPr>
        <w:pStyle w:val="subsection"/>
      </w:pPr>
      <w:r w:rsidRPr="008B1975">
        <w:tab/>
        <w:t>(2)</w:t>
      </w:r>
      <w:r w:rsidRPr="008B1975">
        <w:tab/>
        <w:t xml:space="preserve">No objects or fixtures are to </w:t>
      </w:r>
      <w:r w:rsidR="00A46743" w:rsidRPr="008B1975">
        <w:t>project</w:t>
      </w:r>
      <w:r w:rsidRPr="008B1975">
        <w:rPr>
          <w:i/>
        </w:rPr>
        <w:t xml:space="preserve"> </w:t>
      </w:r>
      <w:r w:rsidRPr="008B1975">
        <w:t>into the allocated space</w:t>
      </w:r>
      <w:r w:rsidRPr="008B1975">
        <w:rPr>
          <w:i/>
        </w:rPr>
        <w:t xml:space="preserve"> </w:t>
      </w:r>
      <w:r w:rsidRPr="008B1975">
        <w:t>unless the object or fixture is:</w:t>
      </w:r>
    </w:p>
    <w:p w14:paraId="376BE2B7" w14:textId="77777777" w:rsidR="00AB1BD2" w:rsidRPr="008B1975" w:rsidRDefault="00AB1BD2" w:rsidP="00AB1BD2">
      <w:pPr>
        <w:pStyle w:val="paragraph"/>
      </w:pPr>
      <w:r w:rsidRPr="008B1975">
        <w:tab/>
        <w:t>(a)</w:t>
      </w:r>
      <w:r w:rsidRPr="008B1975">
        <w:tab/>
        <w:t>a grabrail; or</w:t>
      </w:r>
    </w:p>
    <w:p w14:paraId="40E567AA" w14:textId="77777777" w:rsidR="00AB1BD2" w:rsidRPr="008B1975" w:rsidRDefault="00AB1BD2" w:rsidP="00AB1BD2">
      <w:pPr>
        <w:pStyle w:val="paragraph"/>
      </w:pPr>
      <w:r w:rsidRPr="008B1975">
        <w:tab/>
        <w:t>(b)</w:t>
      </w:r>
      <w:r w:rsidRPr="008B1975">
        <w:tab/>
        <w:t>a device to signal to request the use of a boarding device; or</w:t>
      </w:r>
    </w:p>
    <w:p w14:paraId="3BC6AECA" w14:textId="77777777" w:rsidR="00AB1BD2" w:rsidRPr="008B1975" w:rsidRDefault="00AB1BD2" w:rsidP="00AB1BD2">
      <w:pPr>
        <w:pStyle w:val="paragraph"/>
      </w:pPr>
      <w:r w:rsidRPr="008B1975">
        <w:tab/>
        <w:t>(c)</w:t>
      </w:r>
      <w:r w:rsidRPr="008B1975">
        <w:tab/>
        <w:t>overhead handrails or handgrips; or</w:t>
      </w:r>
    </w:p>
    <w:p w14:paraId="502C408A" w14:textId="6A246ABE" w:rsidR="00AB1BD2" w:rsidRPr="008B1975" w:rsidRDefault="00AB1BD2" w:rsidP="00AB1BD2">
      <w:pPr>
        <w:pStyle w:val="paragraph"/>
      </w:pPr>
      <w:r w:rsidRPr="008B1975">
        <w:tab/>
        <w:t>(d)</w:t>
      </w:r>
      <w:r w:rsidRPr="008B1975">
        <w:tab/>
        <w:t>a forward excursion barrier, or a lateral excursion barrier, that complies with AS/NZS ISO 10865.1-2015</w:t>
      </w:r>
      <w:r w:rsidRPr="008B1975">
        <w:rPr>
          <w:i/>
        </w:rPr>
        <w:t>.</w:t>
      </w:r>
    </w:p>
    <w:p w14:paraId="522B61CE" w14:textId="77777777" w:rsidR="00AB1BD2" w:rsidRPr="008B1975" w:rsidRDefault="00AB1BD2" w:rsidP="00AB1BD2">
      <w:pPr>
        <w:pStyle w:val="subsection"/>
      </w:pPr>
      <w:r w:rsidRPr="008B1975">
        <w:tab/>
        <w:t>(3)</w:t>
      </w:r>
      <w:r w:rsidRPr="008B1975">
        <w:tab/>
        <w:t>The following table specifies conveyances, premises and infrastructure this section applies to.</w:t>
      </w:r>
    </w:p>
    <w:p w14:paraId="6553F5BF" w14:textId="77777777" w:rsidR="00AB1BD2" w:rsidRPr="008B1975" w:rsidRDefault="00AB1BD2" w:rsidP="00AB1B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B1BD2" w:rsidRPr="008B1975" w14:paraId="7C7A9498"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61079F63" w14:textId="77777777" w:rsidR="00AB1BD2" w:rsidRPr="008B1975" w:rsidRDefault="00AB1BD2" w:rsidP="007951F9">
            <w:pPr>
              <w:pStyle w:val="TableHeading"/>
            </w:pPr>
            <w:r w:rsidRPr="008B1975">
              <w:t>Application of this section</w:t>
            </w:r>
          </w:p>
        </w:tc>
      </w:tr>
      <w:tr w:rsidR="00AB1BD2" w:rsidRPr="008B1975" w14:paraId="30DEC030" w14:textId="77777777" w:rsidTr="004E6262">
        <w:trPr>
          <w:trHeight w:val="300"/>
          <w:tblHeader/>
        </w:trPr>
        <w:tc>
          <w:tcPr>
            <w:tcW w:w="1667" w:type="pct"/>
            <w:tcBorders>
              <w:top w:val="single" w:sz="6" w:space="0" w:color="auto"/>
              <w:left w:val="nil"/>
              <w:bottom w:val="single" w:sz="12" w:space="0" w:color="auto"/>
              <w:right w:val="nil"/>
            </w:tcBorders>
            <w:hideMark/>
          </w:tcPr>
          <w:p w14:paraId="05A38030" w14:textId="77777777" w:rsidR="00AB1BD2" w:rsidRPr="008B1975" w:rsidRDefault="00AB1BD2"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6C795361" w14:textId="77777777" w:rsidR="00AB1BD2" w:rsidRPr="008B1975" w:rsidRDefault="00AB1BD2"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058094F2" w14:textId="77777777" w:rsidR="00AB1BD2" w:rsidRPr="008B1975" w:rsidRDefault="00AB1BD2" w:rsidP="007951F9">
            <w:pPr>
              <w:pStyle w:val="TableHeading"/>
            </w:pPr>
            <w:r w:rsidRPr="008B1975">
              <w:t>Infrastructure</w:t>
            </w:r>
          </w:p>
        </w:tc>
      </w:tr>
      <w:tr w:rsidR="00AB1BD2" w:rsidRPr="008B1975" w14:paraId="1BE1CB56" w14:textId="77777777" w:rsidTr="004E6262">
        <w:trPr>
          <w:trHeight w:val="300"/>
        </w:trPr>
        <w:tc>
          <w:tcPr>
            <w:tcW w:w="1667" w:type="pct"/>
            <w:tcBorders>
              <w:top w:val="single" w:sz="12" w:space="0" w:color="auto"/>
              <w:left w:val="nil"/>
              <w:bottom w:val="single" w:sz="12" w:space="0" w:color="auto"/>
              <w:right w:val="nil"/>
            </w:tcBorders>
            <w:hideMark/>
          </w:tcPr>
          <w:p w14:paraId="6C7FB4B9" w14:textId="77777777" w:rsidR="00AB1BD2" w:rsidRPr="008B1975" w:rsidRDefault="00AB1BD2" w:rsidP="007951F9">
            <w:pPr>
              <w:pStyle w:val="Tablea"/>
            </w:pPr>
            <w:r w:rsidRPr="008B1975">
              <w:t>All, except</w:t>
            </w:r>
            <w:r w:rsidR="00433417" w:rsidRPr="008B1975">
              <w:t xml:space="preserve"> the following:</w:t>
            </w:r>
          </w:p>
          <w:p w14:paraId="7A44FB63" w14:textId="0173CE02" w:rsidR="00AB1BD2" w:rsidRPr="008B1975" w:rsidRDefault="00AB1BD2" w:rsidP="007951F9">
            <w:pPr>
              <w:pStyle w:val="Tablea"/>
            </w:pPr>
            <w:r w:rsidRPr="008B1975">
              <w:t>(a) dedicated school buses;</w:t>
            </w:r>
          </w:p>
          <w:p w14:paraId="436D119B" w14:textId="52B2E08B" w:rsidR="00AB1BD2" w:rsidRPr="008B1975" w:rsidRDefault="00AB1BD2" w:rsidP="007951F9">
            <w:pPr>
              <w:pStyle w:val="Tablea"/>
            </w:pPr>
            <w:r w:rsidRPr="008B1975">
              <w:t>(b) small aircraft</w:t>
            </w:r>
            <w:r w:rsidR="001B5F8E" w:rsidRPr="008B1975">
              <w:t>;</w:t>
            </w:r>
          </w:p>
          <w:p w14:paraId="4A493EE6" w14:textId="335D08B8" w:rsidR="00AB1BD2" w:rsidRPr="008B1975" w:rsidRDefault="00AB1BD2" w:rsidP="007951F9">
            <w:pPr>
              <w:pStyle w:val="Tablea"/>
            </w:pPr>
            <w:r w:rsidRPr="008B1975">
              <w:t>(c) taxis</w:t>
            </w:r>
          </w:p>
        </w:tc>
        <w:tc>
          <w:tcPr>
            <w:tcW w:w="1667" w:type="pct"/>
            <w:tcBorders>
              <w:top w:val="single" w:sz="12" w:space="0" w:color="auto"/>
              <w:left w:val="nil"/>
              <w:bottom w:val="single" w:sz="12" w:space="0" w:color="auto"/>
              <w:right w:val="nil"/>
            </w:tcBorders>
            <w:hideMark/>
          </w:tcPr>
          <w:p w14:paraId="76FEE45A" w14:textId="77777777" w:rsidR="00AB1BD2" w:rsidRPr="008B1975" w:rsidRDefault="00AB1BD2" w:rsidP="007951F9">
            <w:pPr>
              <w:pStyle w:val="Tabletext"/>
            </w:pPr>
            <w:r w:rsidRPr="008B1975">
              <w:t>None</w:t>
            </w:r>
          </w:p>
        </w:tc>
        <w:tc>
          <w:tcPr>
            <w:tcW w:w="1667" w:type="pct"/>
            <w:tcBorders>
              <w:top w:val="single" w:sz="12" w:space="0" w:color="auto"/>
              <w:left w:val="nil"/>
              <w:bottom w:val="single" w:sz="12" w:space="0" w:color="auto"/>
              <w:right w:val="nil"/>
            </w:tcBorders>
            <w:hideMark/>
          </w:tcPr>
          <w:p w14:paraId="2B8B58FE" w14:textId="77777777" w:rsidR="00AB1BD2" w:rsidRPr="008B1975" w:rsidRDefault="00AB1BD2" w:rsidP="007951F9">
            <w:pPr>
              <w:pStyle w:val="Tabletext"/>
            </w:pPr>
            <w:r w:rsidRPr="008B1975">
              <w:t>None</w:t>
            </w:r>
          </w:p>
        </w:tc>
      </w:tr>
    </w:tbl>
    <w:p w14:paraId="40426B86" w14:textId="77777777" w:rsidR="00AB1BD2" w:rsidRPr="008B1975" w:rsidRDefault="00AB1BD2" w:rsidP="001715D4">
      <w:pPr>
        <w:pStyle w:val="ActHead5"/>
        <w:outlineLvl w:val="9"/>
      </w:pPr>
      <w:r w:rsidRPr="008B1975">
        <w:lastRenderedPageBreak/>
        <w:t>9.1B  Information must be provided</w:t>
      </w:r>
      <w:r w:rsidR="00AD360C" w:rsidRPr="008B1975">
        <w:t>—</w:t>
      </w:r>
      <w:r w:rsidRPr="008B1975">
        <w:t>priority access of allocated spaces</w:t>
      </w:r>
    </w:p>
    <w:p w14:paraId="4F23BFE2" w14:textId="77777777" w:rsidR="00C83EEB" w:rsidRPr="008B1975" w:rsidRDefault="00AB1BD2" w:rsidP="00F24202">
      <w:pPr>
        <w:pStyle w:val="subsection"/>
        <w:rPr>
          <w:i/>
        </w:rPr>
      </w:pPr>
      <w:r w:rsidRPr="008B1975">
        <w:tab/>
        <w:t>(1)</w:t>
      </w:r>
      <w:r w:rsidRPr="008B1975">
        <w:tab/>
        <w:t>A sign in relation to an allocated space must be provided that makes clear to passengers that the space is provided as a priority to a person with a mobility aid</w:t>
      </w:r>
      <w:r w:rsidR="00F24202" w:rsidRPr="008B1975">
        <w:t xml:space="preserve"> </w:t>
      </w:r>
      <w:r w:rsidRPr="008B1975">
        <w:t>and must be vacated if such a person requires that space.</w:t>
      </w:r>
    </w:p>
    <w:p w14:paraId="29851087" w14:textId="77777777" w:rsidR="00AB1BD2" w:rsidRPr="008B1975" w:rsidRDefault="00AB1BD2" w:rsidP="00AB1BD2">
      <w:pPr>
        <w:pStyle w:val="subsection"/>
      </w:pPr>
      <w:r w:rsidRPr="008B1975">
        <w:tab/>
        <w:t>(2)</w:t>
      </w:r>
      <w:r w:rsidRPr="008B1975">
        <w:tab/>
        <w:t>The sign must:</w:t>
      </w:r>
    </w:p>
    <w:p w14:paraId="70D7D332" w14:textId="77777777" w:rsidR="00AB1BD2" w:rsidRPr="008B1975" w:rsidRDefault="00AB1BD2" w:rsidP="00AB1BD2">
      <w:pPr>
        <w:pStyle w:val="paragraph"/>
      </w:pPr>
      <w:r w:rsidRPr="008B1975">
        <w:tab/>
        <w:t>(a)</w:t>
      </w:r>
      <w:r w:rsidRPr="008B1975">
        <w:tab/>
        <w:t>be provided immediately adjacent, or as close as possible, to the allocated space; and</w:t>
      </w:r>
    </w:p>
    <w:p w14:paraId="22CE224C" w14:textId="3797657F" w:rsidR="00AB1BD2" w:rsidRPr="008B1975" w:rsidRDefault="00AB1BD2" w:rsidP="00AB1BD2">
      <w:pPr>
        <w:pStyle w:val="paragraph"/>
      </w:pPr>
      <w:r w:rsidRPr="008B1975">
        <w:tab/>
        <w:t>(b)</w:t>
      </w:r>
      <w:r w:rsidRPr="008B1975">
        <w:tab/>
        <w:t>have colour and luminance contra</w:t>
      </w:r>
      <w:r w:rsidR="00F24202" w:rsidRPr="008B1975">
        <w:t xml:space="preserve">st </w:t>
      </w:r>
      <w:r w:rsidRPr="008B1975">
        <w:t>of no less than 30%</w:t>
      </w:r>
      <w:r w:rsidRPr="008B1975">
        <w:rPr>
          <w:i/>
        </w:rPr>
        <w:t xml:space="preserve"> </w:t>
      </w:r>
      <w:r w:rsidRPr="008B1975">
        <w:t>with its background surfaces.</w:t>
      </w:r>
    </w:p>
    <w:p w14:paraId="59067E45" w14:textId="77777777" w:rsidR="00AB1BD2" w:rsidRPr="008B1975" w:rsidRDefault="00AB1BD2" w:rsidP="00AB1BD2">
      <w:pPr>
        <w:pStyle w:val="subsection"/>
      </w:pPr>
      <w:r w:rsidRPr="008B1975">
        <w:tab/>
        <w:t>(3)</w:t>
      </w:r>
      <w:r w:rsidRPr="008B1975">
        <w:tab/>
        <w:t>The following table specifies conveyances, premises and infrastructure this section applies to.</w:t>
      </w:r>
    </w:p>
    <w:p w14:paraId="692713E7" w14:textId="77777777" w:rsidR="00AB1BD2" w:rsidRPr="008B1975" w:rsidRDefault="00AB1BD2" w:rsidP="00AB1B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B1BD2" w:rsidRPr="008B1975" w14:paraId="1D3FC4B8" w14:textId="77777777" w:rsidTr="007951F9">
        <w:trPr>
          <w:trHeight w:val="300"/>
          <w:tblHeader/>
        </w:trPr>
        <w:tc>
          <w:tcPr>
            <w:tcW w:w="5000" w:type="pct"/>
            <w:gridSpan w:val="3"/>
            <w:tcBorders>
              <w:top w:val="single" w:sz="12" w:space="0" w:color="auto"/>
              <w:left w:val="nil"/>
              <w:bottom w:val="single" w:sz="6" w:space="0" w:color="auto"/>
              <w:right w:val="nil"/>
            </w:tcBorders>
            <w:hideMark/>
          </w:tcPr>
          <w:p w14:paraId="1B3361E8" w14:textId="77777777" w:rsidR="00AB1BD2" w:rsidRPr="008B1975" w:rsidRDefault="00AB1BD2" w:rsidP="007951F9">
            <w:pPr>
              <w:pStyle w:val="TableHeading"/>
            </w:pPr>
            <w:r w:rsidRPr="008B1975">
              <w:t>Application of this section</w:t>
            </w:r>
          </w:p>
        </w:tc>
      </w:tr>
      <w:tr w:rsidR="00AB1BD2" w:rsidRPr="008B1975" w14:paraId="502420AD" w14:textId="77777777" w:rsidTr="004E6262">
        <w:trPr>
          <w:trHeight w:val="300"/>
          <w:tblHeader/>
        </w:trPr>
        <w:tc>
          <w:tcPr>
            <w:tcW w:w="1667" w:type="pct"/>
            <w:tcBorders>
              <w:top w:val="single" w:sz="6" w:space="0" w:color="auto"/>
              <w:left w:val="nil"/>
              <w:bottom w:val="single" w:sz="12" w:space="0" w:color="auto"/>
              <w:right w:val="nil"/>
            </w:tcBorders>
            <w:hideMark/>
          </w:tcPr>
          <w:p w14:paraId="326A8C9A" w14:textId="77777777" w:rsidR="00AB1BD2" w:rsidRPr="008B1975" w:rsidRDefault="00AB1BD2" w:rsidP="007951F9">
            <w:pPr>
              <w:pStyle w:val="TableHeading"/>
            </w:pPr>
            <w:r w:rsidRPr="008B1975">
              <w:t>Conveyances</w:t>
            </w:r>
          </w:p>
        </w:tc>
        <w:tc>
          <w:tcPr>
            <w:tcW w:w="1667" w:type="pct"/>
            <w:tcBorders>
              <w:top w:val="single" w:sz="6" w:space="0" w:color="auto"/>
              <w:left w:val="nil"/>
              <w:bottom w:val="single" w:sz="12" w:space="0" w:color="auto"/>
              <w:right w:val="nil"/>
            </w:tcBorders>
            <w:hideMark/>
          </w:tcPr>
          <w:p w14:paraId="3CA0CDE8" w14:textId="77777777" w:rsidR="00AB1BD2" w:rsidRPr="008B1975" w:rsidRDefault="00AB1BD2" w:rsidP="007951F9">
            <w:pPr>
              <w:pStyle w:val="TableHeading"/>
            </w:pPr>
            <w:r w:rsidRPr="008B1975">
              <w:t>Premises</w:t>
            </w:r>
          </w:p>
        </w:tc>
        <w:tc>
          <w:tcPr>
            <w:tcW w:w="1667" w:type="pct"/>
            <w:tcBorders>
              <w:top w:val="single" w:sz="6" w:space="0" w:color="auto"/>
              <w:left w:val="nil"/>
              <w:bottom w:val="single" w:sz="12" w:space="0" w:color="auto"/>
              <w:right w:val="nil"/>
            </w:tcBorders>
            <w:hideMark/>
          </w:tcPr>
          <w:p w14:paraId="00080E95" w14:textId="77777777" w:rsidR="00AB1BD2" w:rsidRPr="008B1975" w:rsidRDefault="00AB1BD2" w:rsidP="007951F9">
            <w:pPr>
              <w:pStyle w:val="TableHeading"/>
            </w:pPr>
            <w:r w:rsidRPr="008B1975">
              <w:t>Infrastructure</w:t>
            </w:r>
          </w:p>
        </w:tc>
      </w:tr>
      <w:tr w:rsidR="00AB1BD2" w:rsidRPr="008B1975" w14:paraId="599680DB" w14:textId="77777777" w:rsidTr="004E6262">
        <w:trPr>
          <w:trHeight w:val="300"/>
        </w:trPr>
        <w:tc>
          <w:tcPr>
            <w:tcW w:w="1667" w:type="pct"/>
            <w:tcBorders>
              <w:top w:val="single" w:sz="12" w:space="0" w:color="auto"/>
              <w:left w:val="nil"/>
              <w:bottom w:val="single" w:sz="12" w:space="0" w:color="auto"/>
              <w:right w:val="nil"/>
            </w:tcBorders>
            <w:hideMark/>
          </w:tcPr>
          <w:p w14:paraId="15066FAF" w14:textId="77777777" w:rsidR="00AB1BD2" w:rsidRPr="008B1975" w:rsidRDefault="00AB1BD2" w:rsidP="007951F9">
            <w:pPr>
              <w:pStyle w:val="Tabletext"/>
            </w:pPr>
            <w:r w:rsidRPr="008B1975">
              <w:t>The following:</w:t>
            </w:r>
          </w:p>
          <w:p w14:paraId="32F73DBA" w14:textId="77777777" w:rsidR="00AB1BD2" w:rsidRPr="008B1975" w:rsidRDefault="00AB1BD2" w:rsidP="007951F9">
            <w:pPr>
              <w:pStyle w:val="Tablea"/>
            </w:pPr>
            <w:r w:rsidRPr="008B1975">
              <w:t>(a) buses, except dedicated school buses;</w:t>
            </w:r>
          </w:p>
          <w:p w14:paraId="5207E867" w14:textId="77777777" w:rsidR="00AB1BD2" w:rsidRPr="008B1975" w:rsidRDefault="00AB1BD2" w:rsidP="007951F9">
            <w:pPr>
              <w:pStyle w:val="Tablea"/>
            </w:pPr>
            <w:r w:rsidRPr="008B1975">
              <w:t>(b) ferries;</w:t>
            </w:r>
          </w:p>
          <w:p w14:paraId="146B9D79" w14:textId="77777777" w:rsidR="00AB1BD2" w:rsidRPr="008B1975" w:rsidRDefault="00AB1BD2" w:rsidP="007951F9">
            <w:pPr>
              <w:pStyle w:val="Tablea"/>
            </w:pPr>
            <w:r w:rsidRPr="008B1975">
              <w:t>(c) trains;</w:t>
            </w:r>
          </w:p>
          <w:p w14:paraId="7F84ED91" w14:textId="77777777" w:rsidR="00AB1BD2" w:rsidRPr="008B1975" w:rsidRDefault="00AB1BD2" w:rsidP="007951F9">
            <w:pPr>
              <w:pStyle w:val="Tablea"/>
            </w:pPr>
            <w:r w:rsidRPr="008B1975">
              <w:t>(d) trams;</w:t>
            </w:r>
          </w:p>
          <w:p w14:paraId="299ABFE0" w14:textId="77777777" w:rsidR="00AB1BD2" w:rsidRPr="008B1975" w:rsidRDefault="00AB1BD2" w:rsidP="007951F9">
            <w:pPr>
              <w:pStyle w:val="Tablea"/>
            </w:pPr>
            <w:r w:rsidRPr="008B1975">
              <w:t>(e) light rail</w:t>
            </w:r>
          </w:p>
        </w:tc>
        <w:tc>
          <w:tcPr>
            <w:tcW w:w="1667" w:type="pct"/>
            <w:tcBorders>
              <w:top w:val="single" w:sz="12" w:space="0" w:color="auto"/>
              <w:left w:val="nil"/>
              <w:bottom w:val="single" w:sz="12" w:space="0" w:color="auto"/>
              <w:right w:val="nil"/>
            </w:tcBorders>
            <w:hideMark/>
          </w:tcPr>
          <w:p w14:paraId="30BFB2F1" w14:textId="77777777" w:rsidR="00AB1BD2" w:rsidRPr="008B1975" w:rsidRDefault="00AB1BD2" w:rsidP="007951F9">
            <w:pPr>
              <w:pStyle w:val="Tabletext"/>
            </w:pPr>
            <w:r w:rsidRPr="008B1975">
              <w:t>None</w:t>
            </w:r>
          </w:p>
        </w:tc>
        <w:tc>
          <w:tcPr>
            <w:tcW w:w="1667" w:type="pct"/>
            <w:tcBorders>
              <w:top w:val="single" w:sz="12" w:space="0" w:color="auto"/>
              <w:left w:val="nil"/>
              <w:bottom w:val="single" w:sz="12" w:space="0" w:color="auto"/>
              <w:right w:val="nil"/>
            </w:tcBorders>
            <w:hideMark/>
          </w:tcPr>
          <w:p w14:paraId="454094BA" w14:textId="77777777" w:rsidR="00AB1BD2" w:rsidRPr="008B1975" w:rsidRDefault="00AB1BD2" w:rsidP="007951F9">
            <w:pPr>
              <w:pStyle w:val="Tabletext"/>
            </w:pPr>
            <w:r w:rsidRPr="008B1975">
              <w:t>None</w:t>
            </w:r>
          </w:p>
        </w:tc>
      </w:tr>
    </w:tbl>
    <w:p w14:paraId="7DDA30DD" w14:textId="77777777" w:rsidR="006F5E23" w:rsidRPr="008B1975" w:rsidRDefault="000A511B" w:rsidP="000A511B">
      <w:pPr>
        <w:pStyle w:val="ItemHead"/>
      </w:pPr>
      <w:bookmarkStart w:id="116" w:name="_Ref189844290"/>
      <w:r w:rsidRPr="008B1975">
        <w:t xml:space="preserve">4  </w:t>
      </w:r>
      <w:r w:rsidR="006F5E23" w:rsidRPr="008B1975">
        <w:t>Section 9.2</w:t>
      </w:r>
      <w:bookmarkEnd w:id="116"/>
    </w:p>
    <w:p w14:paraId="36919049" w14:textId="77777777" w:rsidR="006F5E23" w:rsidRPr="008B1975" w:rsidRDefault="006F5E23" w:rsidP="006F5E23">
      <w:pPr>
        <w:pStyle w:val="Item"/>
      </w:pPr>
      <w:r w:rsidRPr="008B1975">
        <w:t>Before “At”, insert “(1)”.</w:t>
      </w:r>
    </w:p>
    <w:p w14:paraId="0959200F" w14:textId="77777777" w:rsidR="006F5E23" w:rsidRPr="008B1975" w:rsidRDefault="000A511B" w:rsidP="000A511B">
      <w:pPr>
        <w:pStyle w:val="ItemHead"/>
      </w:pPr>
      <w:bookmarkStart w:id="117" w:name="_Ref185258772"/>
      <w:r w:rsidRPr="008B1975">
        <w:t xml:space="preserve">5  </w:t>
      </w:r>
      <w:r w:rsidR="006F5E23" w:rsidRPr="008B1975">
        <w:t>Section 9.2 (table)</w:t>
      </w:r>
      <w:bookmarkEnd w:id="117"/>
    </w:p>
    <w:p w14:paraId="3B2F8344" w14:textId="77777777" w:rsidR="006F5E23" w:rsidRPr="008B1975" w:rsidRDefault="006F5E23" w:rsidP="006F5E23">
      <w:pPr>
        <w:pStyle w:val="Item"/>
      </w:pPr>
      <w:r w:rsidRPr="008B1975">
        <w:t>Repeal the table, substitute:</w:t>
      </w:r>
    </w:p>
    <w:p w14:paraId="28CB9ACD" w14:textId="77777777" w:rsidR="006F5E23" w:rsidRPr="008B1975" w:rsidRDefault="006F5E23" w:rsidP="006F5E23">
      <w:pPr>
        <w:pStyle w:val="subsection"/>
      </w:pPr>
      <w:r w:rsidRPr="008B1975">
        <w:tab/>
        <w:t>(2)</w:t>
      </w:r>
      <w:r w:rsidRPr="008B1975">
        <w:tab/>
        <w:t>The following table specifies conveyances, premises and infrastructure this section applies to.</w:t>
      </w:r>
    </w:p>
    <w:p w14:paraId="25FE6ECF"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3918C911"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2CEDC7DA" w14:textId="77777777" w:rsidR="006F5E23" w:rsidRPr="008B1975" w:rsidRDefault="006F5E23" w:rsidP="0017016F">
            <w:pPr>
              <w:pStyle w:val="TableHeading"/>
            </w:pPr>
            <w:r w:rsidRPr="008B1975">
              <w:t>Application of this section</w:t>
            </w:r>
          </w:p>
        </w:tc>
      </w:tr>
      <w:tr w:rsidR="006F5E23" w:rsidRPr="008B1975" w14:paraId="2E7B87BB" w14:textId="77777777" w:rsidTr="004E6262">
        <w:trPr>
          <w:trHeight w:val="300"/>
          <w:tblHeader/>
        </w:trPr>
        <w:tc>
          <w:tcPr>
            <w:tcW w:w="1667" w:type="pct"/>
            <w:tcBorders>
              <w:top w:val="single" w:sz="6" w:space="0" w:color="auto"/>
              <w:left w:val="nil"/>
              <w:bottom w:val="single" w:sz="12" w:space="0" w:color="auto"/>
              <w:right w:val="nil"/>
            </w:tcBorders>
            <w:hideMark/>
          </w:tcPr>
          <w:p w14:paraId="06E666F9"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5009111C"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06E230EC" w14:textId="77777777" w:rsidR="006F5E23" w:rsidRPr="008B1975" w:rsidRDefault="006F5E23" w:rsidP="0017016F">
            <w:pPr>
              <w:pStyle w:val="TableHeading"/>
            </w:pPr>
            <w:r w:rsidRPr="008B1975">
              <w:t>Infrastructure</w:t>
            </w:r>
          </w:p>
        </w:tc>
      </w:tr>
      <w:tr w:rsidR="006F5E23" w:rsidRPr="008B1975" w14:paraId="568EB6F6" w14:textId="77777777" w:rsidTr="004E6262">
        <w:trPr>
          <w:trHeight w:val="300"/>
        </w:trPr>
        <w:tc>
          <w:tcPr>
            <w:tcW w:w="1667" w:type="pct"/>
            <w:tcBorders>
              <w:top w:val="single" w:sz="12" w:space="0" w:color="auto"/>
              <w:left w:val="nil"/>
              <w:bottom w:val="single" w:sz="12" w:space="0" w:color="auto"/>
              <w:right w:val="nil"/>
            </w:tcBorders>
            <w:hideMark/>
          </w:tcPr>
          <w:p w14:paraId="5412DB09" w14:textId="77777777" w:rsidR="006F5E23" w:rsidRPr="008B1975" w:rsidRDefault="006F5E23" w:rsidP="007C23B6">
            <w:pPr>
              <w:pStyle w:val="Tabletext"/>
            </w:pPr>
            <w:r w:rsidRPr="008B1975">
              <w:t>Accessible taxis</w:t>
            </w:r>
          </w:p>
        </w:tc>
        <w:tc>
          <w:tcPr>
            <w:tcW w:w="1667" w:type="pct"/>
            <w:tcBorders>
              <w:top w:val="single" w:sz="12" w:space="0" w:color="auto"/>
              <w:left w:val="nil"/>
              <w:bottom w:val="single" w:sz="12" w:space="0" w:color="auto"/>
              <w:right w:val="nil"/>
            </w:tcBorders>
            <w:hideMark/>
          </w:tcPr>
          <w:p w14:paraId="7269DAC2" w14:textId="77777777" w:rsidR="006F5E23" w:rsidRPr="008B1975" w:rsidRDefault="006F5E23" w:rsidP="007C23B6">
            <w:pPr>
              <w:pStyle w:val="Tabletext"/>
            </w:pPr>
            <w:r w:rsidRPr="008B1975">
              <w:t>None</w:t>
            </w:r>
          </w:p>
        </w:tc>
        <w:tc>
          <w:tcPr>
            <w:tcW w:w="1667" w:type="pct"/>
            <w:tcBorders>
              <w:top w:val="single" w:sz="12" w:space="0" w:color="auto"/>
              <w:left w:val="nil"/>
              <w:bottom w:val="single" w:sz="12" w:space="0" w:color="auto"/>
              <w:right w:val="nil"/>
            </w:tcBorders>
            <w:hideMark/>
          </w:tcPr>
          <w:p w14:paraId="61FA334B" w14:textId="77777777" w:rsidR="006F5E23" w:rsidRPr="008B1975" w:rsidRDefault="006F5E23" w:rsidP="007C23B6">
            <w:pPr>
              <w:pStyle w:val="Tabletext"/>
            </w:pPr>
            <w:r w:rsidRPr="008B1975">
              <w:t>None</w:t>
            </w:r>
          </w:p>
        </w:tc>
      </w:tr>
    </w:tbl>
    <w:p w14:paraId="3C0DD8BA" w14:textId="77777777" w:rsidR="007951F9" w:rsidRPr="008B1975" w:rsidRDefault="000A511B" w:rsidP="000A511B">
      <w:pPr>
        <w:pStyle w:val="ItemHead"/>
      </w:pPr>
      <w:bookmarkStart w:id="118" w:name="_Ref185258630"/>
      <w:bookmarkStart w:id="119" w:name="_Ref185330128"/>
      <w:r w:rsidRPr="008B1975">
        <w:t xml:space="preserve">6  </w:t>
      </w:r>
      <w:r w:rsidR="007951F9" w:rsidRPr="008B1975">
        <w:t>Section 9.3 (at the end of the heading)</w:t>
      </w:r>
      <w:bookmarkEnd w:id="118"/>
      <w:bookmarkEnd w:id="119"/>
    </w:p>
    <w:p w14:paraId="7A403DD8" w14:textId="77777777" w:rsidR="007951F9" w:rsidRPr="008B1975" w:rsidRDefault="007951F9" w:rsidP="007951F9">
      <w:pPr>
        <w:pStyle w:val="Item"/>
      </w:pPr>
      <w:r w:rsidRPr="008B1975">
        <w:t>Add “</w:t>
      </w:r>
      <w:r w:rsidRPr="008B1975">
        <w:rPr>
          <w:b/>
        </w:rPr>
        <w:t>for accessible taxis</w:t>
      </w:r>
      <w:r w:rsidRPr="008B1975">
        <w:t>”.</w:t>
      </w:r>
    </w:p>
    <w:p w14:paraId="0D91855A" w14:textId="77777777" w:rsidR="006F5E23" w:rsidRPr="008B1975" w:rsidRDefault="000A511B" w:rsidP="000A511B">
      <w:pPr>
        <w:pStyle w:val="ItemHead"/>
      </w:pPr>
      <w:bookmarkStart w:id="120" w:name="_Ref185330179"/>
      <w:r w:rsidRPr="008B1975">
        <w:t xml:space="preserve">7  </w:t>
      </w:r>
      <w:r w:rsidR="006F5E23" w:rsidRPr="008B1975">
        <w:t>Section 9.3 (table)</w:t>
      </w:r>
      <w:bookmarkEnd w:id="120"/>
    </w:p>
    <w:p w14:paraId="22B5872B" w14:textId="77777777" w:rsidR="006F5E23" w:rsidRPr="008B1975" w:rsidRDefault="006F5E23" w:rsidP="006F5E23">
      <w:pPr>
        <w:pStyle w:val="Item"/>
      </w:pPr>
      <w:r w:rsidRPr="008B1975">
        <w:t>Repeal the table, substitute:</w:t>
      </w:r>
    </w:p>
    <w:p w14:paraId="290F3C50" w14:textId="77777777" w:rsidR="006F5E23" w:rsidRPr="008B1975" w:rsidRDefault="006F5E23" w:rsidP="006F5E23">
      <w:pPr>
        <w:pStyle w:val="subsection"/>
      </w:pPr>
      <w:r w:rsidRPr="008B1975">
        <w:tab/>
        <w:t>(3)</w:t>
      </w:r>
      <w:r w:rsidRPr="008B1975">
        <w:tab/>
        <w:t>The following table specifies conveyances, premises and infrastructure this section applies to.</w:t>
      </w:r>
    </w:p>
    <w:p w14:paraId="48898BAC"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6B3EC523"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5FC031AE" w14:textId="77777777" w:rsidR="006F5E23" w:rsidRPr="008B1975" w:rsidRDefault="006F5E23" w:rsidP="0017016F">
            <w:pPr>
              <w:pStyle w:val="TableHeading"/>
            </w:pPr>
            <w:r w:rsidRPr="008B1975">
              <w:lastRenderedPageBreak/>
              <w:t>Application of this section</w:t>
            </w:r>
          </w:p>
        </w:tc>
      </w:tr>
      <w:tr w:rsidR="006F5E23" w:rsidRPr="008B1975" w14:paraId="1D0EC4B5" w14:textId="77777777" w:rsidTr="004E6262">
        <w:trPr>
          <w:trHeight w:val="300"/>
          <w:tblHeader/>
        </w:trPr>
        <w:tc>
          <w:tcPr>
            <w:tcW w:w="1667" w:type="pct"/>
            <w:tcBorders>
              <w:top w:val="single" w:sz="6" w:space="0" w:color="auto"/>
              <w:left w:val="nil"/>
              <w:bottom w:val="single" w:sz="12" w:space="0" w:color="auto"/>
              <w:right w:val="nil"/>
            </w:tcBorders>
            <w:hideMark/>
          </w:tcPr>
          <w:p w14:paraId="621DC341"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2AD8720D"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4C9C239B" w14:textId="77777777" w:rsidR="006F5E23" w:rsidRPr="008B1975" w:rsidRDefault="006F5E23" w:rsidP="0017016F">
            <w:pPr>
              <w:pStyle w:val="TableHeading"/>
            </w:pPr>
            <w:r w:rsidRPr="008B1975">
              <w:t>Infrastructure</w:t>
            </w:r>
          </w:p>
        </w:tc>
      </w:tr>
      <w:tr w:rsidR="006F5E23" w:rsidRPr="008B1975" w14:paraId="1ADC18FD" w14:textId="77777777" w:rsidTr="004E6262">
        <w:trPr>
          <w:trHeight w:val="300"/>
        </w:trPr>
        <w:tc>
          <w:tcPr>
            <w:tcW w:w="1667" w:type="pct"/>
            <w:tcBorders>
              <w:top w:val="single" w:sz="12" w:space="0" w:color="auto"/>
              <w:left w:val="nil"/>
              <w:bottom w:val="single" w:sz="12" w:space="0" w:color="auto"/>
              <w:right w:val="nil"/>
            </w:tcBorders>
            <w:hideMark/>
          </w:tcPr>
          <w:p w14:paraId="5A9D0D99" w14:textId="77777777" w:rsidR="006F5E23" w:rsidRPr="008B1975" w:rsidRDefault="006F5E23" w:rsidP="007C23B6">
            <w:pPr>
              <w:pStyle w:val="Tabletext"/>
            </w:pPr>
            <w:r w:rsidRPr="008B1975">
              <w:t>Accessible taxis</w:t>
            </w:r>
          </w:p>
        </w:tc>
        <w:tc>
          <w:tcPr>
            <w:tcW w:w="1667" w:type="pct"/>
            <w:tcBorders>
              <w:top w:val="single" w:sz="12" w:space="0" w:color="auto"/>
              <w:left w:val="nil"/>
              <w:bottom w:val="single" w:sz="12" w:space="0" w:color="auto"/>
              <w:right w:val="nil"/>
            </w:tcBorders>
            <w:hideMark/>
          </w:tcPr>
          <w:p w14:paraId="561F891D" w14:textId="77777777" w:rsidR="006F5E23" w:rsidRPr="008B1975" w:rsidRDefault="006F5E23" w:rsidP="007C23B6">
            <w:pPr>
              <w:pStyle w:val="Tabletext"/>
            </w:pPr>
            <w:r w:rsidRPr="008B1975">
              <w:t>None</w:t>
            </w:r>
          </w:p>
        </w:tc>
        <w:tc>
          <w:tcPr>
            <w:tcW w:w="1667" w:type="pct"/>
            <w:tcBorders>
              <w:top w:val="single" w:sz="12" w:space="0" w:color="auto"/>
              <w:left w:val="nil"/>
              <w:bottom w:val="single" w:sz="12" w:space="0" w:color="auto"/>
              <w:right w:val="nil"/>
            </w:tcBorders>
            <w:hideMark/>
          </w:tcPr>
          <w:p w14:paraId="12DBF1E8" w14:textId="77777777" w:rsidR="006F5E23" w:rsidRPr="008B1975" w:rsidRDefault="006F5E23" w:rsidP="007C23B6">
            <w:pPr>
              <w:pStyle w:val="Tabletext"/>
            </w:pPr>
            <w:r w:rsidRPr="008B1975">
              <w:t>None</w:t>
            </w:r>
          </w:p>
        </w:tc>
      </w:tr>
    </w:tbl>
    <w:p w14:paraId="08B7753C" w14:textId="77777777" w:rsidR="006F5E23" w:rsidRPr="008B1975" w:rsidRDefault="000A511B" w:rsidP="000A511B">
      <w:pPr>
        <w:pStyle w:val="ItemHead"/>
      </w:pPr>
      <w:bookmarkStart w:id="121" w:name="_Ref185330180"/>
      <w:r w:rsidRPr="008B1975">
        <w:t xml:space="preserve">8  </w:t>
      </w:r>
      <w:r w:rsidR="006F5E23" w:rsidRPr="008B1975">
        <w:t>Section 9.4 (table)</w:t>
      </w:r>
      <w:bookmarkEnd w:id="121"/>
    </w:p>
    <w:p w14:paraId="011931AD" w14:textId="77777777" w:rsidR="006F5E23" w:rsidRPr="008B1975" w:rsidRDefault="006F5E23" w:rsidP="006F5E23">
      <w:pPr>
        <w:pStyle w:val="Item"/>
      </w:pPr>
      <w:r w:rsidRPr="008B1975">
        <w:t>Repeal the table, substitute:</w:t>
      </w:r>
    </w:p>
    <w:p w14:paraId="3E937A23" w14:textId="77777777" w:rsidR="006F5E23" w:rsidRPr="008B1975" w:rsidRDefault="006F5E23" w:rsidP="006F5E23">
      <w:pPr>
        <w:pStyle w:val="subsection"/>
      </w:pPr>
      <w:r w:rsidRPr="008B1975">
        <w:tab/>
        <w:t>(4)</w:t>
      </w:r>
      <w:r w:rsidRPr="008B1975">
        <w:tab/>
        <w:t>The following table specifies conveyances, premises and infrastructure this section applies to.</w:t>
      </w:r>
    </w:p>
    <w:p w14:paraId="3AC164B6"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7191951B"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284170D0" w14:textId="77777777" w:rsidR="006F5E23" w:rsidRPr="008B1975" w:rsidRDefault="006F5E23" w:rsidP="0017016F">
            <w:pPr>
              <w:pStyle w:val="TableHeading"/>
            </w:pPr>
            <w:r w:rsidRPr="008B1975">
              <w:t>Application of this section</w:t>
            </w:r>
          </w:p>
        </w:tc>
      </w:tr>
      <w:tr w:rsidR="006F5E23" w:rsidRPr="008B1975" w14:paraId="46248A83" w14:textId="77777777" w:rsidTr="004E6262">
        <w:trPr>
          <w:trHeight w:val="300"/>
          <w:tblHeader/>
        </w:trPr>
        <w:tc>
          <w:tcPr>
            <w:tcW w:w="1667" w:type="pct"/>
            <w:tcBorders>
              <w:top w:val="single" w:sz="6" w:space="0" w:color="auto"/>
              <w:left w:val="nil"/>
              <w:bottom w:val="single" w:sz="12" w:space="0" w:color="auto"/>
              <w:right w:val="nil"/>
            </w:tcBorders>
            <w:hideMark/>
          </w:tcPr>
          <w:p w14:paraId="791219D3"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4675BEF2"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2E2B172B" w14:textId="77777777" w:rsidR="006F5E23" w:rsidRPr="008B1975" w:rsidRDefault="006F5E23" w:rsidP="0017016F">
            <w:pPr>
              <w:pStyle w:val="TableHeading"/>
            </w:pPr>
            <w:r w:rsidRPr="008B1975">
              <w:t>Infrastructure</w:t>
            </w:r>
          </w:p>
        </w:tc>
      </w:tr>
      <w:tr w:rsidR="006F5E23" w:rsidRPr="008B1975" w14:paraId="149FF968" w14:textId="77777777" w:rsidTr="004E6262">
        <w:trPr>
          <w:trHeight w:val="300"/>
        </w:trPr>
        <w:tc>
          <w:tcPr>
            <w:tcW w:w="1667" w:type="pct"/>
            <w:tcBorders>
              <w:top w:val="single" w:sz="12" w:space="0" w:color="auto"/>
              <w:left w:val="nil"/>
              <w:bottom w:val="single" w:sz="12" w:space="0" w:color="auto"/>
              <w:right w:val="nil"/>
            </w:tcBorders>
            <w:hideMark/>
          </w:tcPr>
          <w:p w14:paraId="02E29EC8" w14:textId="77777777" w:rsidR="006F5E23" w:rsidRPr="008B1975" w:rsidRDefault="006F5E23" w:rsidP="00AB1BD2">
            <w:pPr>
              <w:pStyle w:val="Tabletext"/>
            </w:pPr>
            <w:r w:rsidRPr="008B1975">
              <w:t>Buses except dedicated school buses</w:t>
            </w:r>
          </w:p>
        </w:tc>
        <w:tc>
          <w:tcPr>
            <w:tcW w:w="1667" w:type="pct"/>
            <w:tcBorders>
              <w:top w:val="single" w:sz="12" w:space="0" w:color="auto"/>
              <w:left w:val="nil"/>
              <w:bottom w:val="single" w:sz="12" w:space="0" w:color="auto"/>
              <w:right w:val="nil"/>
            </w:tcBorders>
            <w:hideMark/>
          </w:tcPr>
          <w:p w14:paraId="4AF2144E" w14:textId="77777777" w:rsidR="006F5E23" w:rsidRPr="008B1975" w:rsidRDefault="006F5E23"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4401D046" w14:textId="77777777" w:rsidR="006F5E23" w:rsidRPr="008B1975" w:rsidRDefault="006F5E23" w:rsidP="0017016F">
            <w:pPr>
              <w:pStyle w:val="Tabletext"/>
            </w:pPr>
            <w:r w:rsidRPr="008B1975">
              <w:t>None</w:t>
            </w:r>
          </w:p>
        </w:tc>
      </w:tr>
    </w:tbl>
    <w:p w14:paraId="582FB471" w14:textId="77777777" w:rsidR="006F5E23" w:rsidRPr="008B1975" w:rsidRDefault="000A511B" w:rsidP="000A511B">
      <w:pPr>
        <w:pStyle w:val="ItemHead"/>
      </w:pPr>
      <w:bookmarkStart w:id="122" w:name="_Ref185330181"/>
      <w:r w:rsidRPr="008B1975">
        <w:t xml:space="preserve">9  </w:t>
      </w:r>
      <w:r w:rsidR="006F5E23" w:rsidRPr="008B1975">
        <w:t>Section 9.5 (table)</w:t>
      </w:r>
      <w:bookmarkEnd w:id="122"/>
    </w:p>
    <w:p w14:paraId="392A2C97" w14:textId="77777777" w:rsidR="006F5E23" w:rsidRPr="008B1975" w:rsidRDefault="006F5E23" w:rsidP="006F5E23">
      <w:pPr>
        <w:pStyle w:val="Item"/>
      </w:pPr>
      <w:r w:rsidRPr="008B1975">
        <w:t>Repeal the table, substitute:</w:t>
      </w:r>
    </w:p>
    <w:p w14:paraId="21FD7905" w14:textId="77777777" w:rsidR="006F5E23" w:rsidRPr="008B1975" w:rsidRDefault="006F5E23" w:rsidP="006F5E23">
      <w:pPr>
        <w:pStyle w:val="subsection"/>
      </w:pPr>
      <w:r w:rsidRPr="008B1975">
        <w:tab/>
        <w:t>(3)</w:t>
      </w:r>
      <w:r w:rsidRPr="008B1975">
        <w:tab/>
        <w:t>The following table specifies conveyances, premises and infrastructure this section applies to.</w:t>
      </w:r>
    </w:p>
    <w:p w14:paraId="14187854"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17CF535E"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09CCFB3F" w14:textId="77777777" w:rsidR="006F5E23" w:rsidRPr="008B1975" w:rsidRDefault="006F5E23" w:rsidP="0017016F">
            <w:pPr>
              <w:pStyle w:val="TableHeading"/>
            </w:pPr>
            <w:r w:rsidRPr="008B1975">
              <w:t>Application of this section</w:t>
            </w:r>
          </w:p>
        </w:tc>
      </w:tr>
      <w:tr w:rsidR="006F5E23" w:rsidRPr="008B1975" w14:paraId="4D41C8A0" w14:textId="77777777" w:rsidTr="004E6262">
        <w:trPr>
          <w:trHeight w:val="300"/>
          <w:tblHeader/>
        </w:trPr>
        <w:tc>
          <w:tcPr>
            <w:tcW w:w="1667" w:type="pct"/>
            <w:tcBorders>
              <w:top w:val="single" w:sz="6" w:space="0" w:color="auto"/>
              <w:left w:val="nil"/>
              <w:bottom w:val="single" w:sz="12" w:space="0" w:color="auto"/>
              <w:right w:val="nil"/>
            </w:tcBorders>
            <w:hideMark/>
          </w:tcPr>
          <w:p w14:paraId="07BDE876"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1B8BA9E5"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5801846A" w14:textId="77777777" w:rsidR="006F5E23" w:rsidRPr="008B1975" w:rsidRDefault="006F5E23" w:rsidP="0017016F">
            <w:pPr>
              <w:pStyle w:val="TableHeading"/>
            </w:pPr>
            <w:r w:rsidRPr="008B1975">
              <w:t>Infrastructure</w:t>
            </w:r>
          </w:p>
        </w:tc>
      </w:tr>
      <w:tr w:rsidR="006F5E23" w:rsidRPr="008B1975" w14:paraId="141C89C9" w14:textId="77777777" w:rsidTr="004E6262">
        <w:trPr>
          <w:trHeight w:val="300"/>
        </w:trPr>
        <w:tc>
          <w:tcPr>
            <w:tcW w:w="1667" w:type="pct"/>
            <w:tcBorders>
              <w:top w:val="single" w:sz="12" w:space="0" w:color="auto"/>
              <w:left w:val="nil"/>
              <w:bottom w:val="single" w:sz="12" w:space="0" w:color="auto"/>
              <w:right w:val="nil"/>
            </w:tcBorders>
            <w:hideMark/>
          </w:tcPr>
          <w:p w14:paraId="6FBA6E1A" w14:textId="77777777" w:rsidR="006F5E23" w:rsidRPr="008B1975" w:rsidRDefault="006F5E23" w:rsidP="007C23B6">
            <w:pPr>
              <w:pStyle w:val="Tabletext"/>
            </w:pPr>
            <w:r w:rsidRPr="008B1975">
              <w:t>Ferries</w:t>
            </w:r>
          </w:p>
        </w:tc>
        <w:tc>
          <w:tcPr>
            <w:tcW w:w="1667" w:type="pct"/>
            <w:tcBorders>
              <w:top w:val="single" w:sz="12" w:space="0" w:color="auto"/>
              <w:left w:val="nil"/>
              <w:bottom w:val="single" w:sz="12" w:space="0" w:color="auto"/>
              <w:right w:val="nil"/>
            </w:tcBorders>
            <w:hideMark/>
          </w:tcPr>
          <w:p w14:paraId="5E1EBC53" w14:textId="77777777" w:rsidR="006F5E23" w:rsidRPr="008B1975" w:rsidRDefault="006F5E23" w:rsidP="007C23B6">
            <w:pPr>
              <w:pStyle w:val="Tabletext"/>
            </w:pPr>
            <w:r w:rsidRPr="008B1975">
              <w:t>None</w:t>
            </w:r>
          </w:p>
        </w:tc>
        <w:tc>
          <w:tcPr>
            <w:tcW w:w="1667" w:type="pct"/>
            <w:tcBorders>
              <w:top w:val="single" w:sz="12" w:space="0" w:color="auto"/>
              <w:left w:val="nil"/>
              <w:bottom w:val="single" w:sz="12" w:space="0" w:color="auto"/>
              <w:right w:val="nil"/>
            </w:tcBorders>
            <w:hideMark/>
          </w:tcPr>
          <w:p w14:paraId="5C2BB71C" w14:textId="77777777" w:rsidR="006F5E23" w:rsidRPr="008B1975" w:rsidRDefault="006F5E23" w:rsidP="007C23B6">
            <w:pPr>
              <w:pStyle w:val="Tabletext"/>
            </w:pPr>
            <w:r w:rsidRPr="008B1975">
              <w:t>None</w:t>
            </w:r>
          </w:p>
        </w:tc>
      </w:tr>
    </w:tbl>
    <w:p w14:paraId="25DEAAFB" w14:textId="77777777" w:rsidR="00F575C1" w:rsidRPr="008B1975" w:rsidRDefault="000A511B" w:rsidP="000A511B">
      <w:pPr>
        <w:pStyle w:val="ItemHead"/>
      </w:pPr>
      <w:bookmarkStart w:id="123" w:name="_Ref185335720"/>
      <w:r w:rsidRPr="008B1975">
        <w:t xml:space="preserve">10  </w:t>
      </w:r>
      <w:r w:rsidR="00F575C1" w:rsidRPr="008B1975">
        <w:t>Section 9.6 (heading)</w:t>
      </w:r>
      <w:bookmarkEnd w:id="123"/>
    </w:p>
    <w:p w14:paraId="6A52132E" w14:textId="77777777" w:rsidR="00F575C1" w:rsidRPr="008B1975" w:rsidRDefault="00F575C1" w:rsidP="00F575C1">
      <w:pPr>
        <w:pStyle w:val="Item"/>
      </w:pPr>
      <w:r w:rsidRPr="008B1975">
        <w:t>Omit “</w:t>
      </w:r>
      <w:r w:rsidRPr="008B1975">
        <w:rPr>
          <w:b/>
        </w:rPr>
        <w:t>train cars, etc</w:t>
      </w:r>
      <w:r w:rsidRPr="008B1975">
        <w:t>”, substitute “</w:t>
      </w:r>
      <w:r w:rsidRPr="008B1975">
        <w:rPr>
          <w:b/>
        </w:rPr>
        <w:t>rail, tram and light rail cars</w:t>
      </w:r>
      <w:r w:rsidRPr="008B1975">
        <w:t>”.</w:t>
      </w:r>
    </w:p>
    <w:p w14:paraId="69B6CE29" w14:textId="77777777" w:rsidR="006F5E23" w:rsidRPr="008B1975" w:rsidRDefault="000A511B" w:rsidP="000A511B">
      <w:pPr>
        <w:pStyle w:val="ItemHead"/>
      </w:pPr>
      <w:bookmarkStart w:id="124" w:name="_Ref185259197"/>
      <w:r w:rsidRPr="008B1975">
        <w:t xml:space="preserve">11  </w:t>
      </w:r>
      <w:r w:rsidR="006F5E23" w:rsidRPr="008B1975">
        <w:t>Section 9.6 (table)</w:t>
      </w:r>
      <w:bookmarkEnd w:id="124"/>
    </w:p>
    <w:p w14:paraId="250FDDCD" w14:textId="77777777" w:rsidR="006F5E23" w:rsidRPr="008B1975" w:rsidRDefault="006F5E23" w:rsidP="006F5E23">
      <w:pPr>
        <w:pStyle w:val="Item"/>
      </w:pPr>
      <w:r w:rsidRPr="008B1975">
        <w:t>Repeal the table, substitute:</w:t>
      </w:r>
    </w:p>
    <w:p w14:paraId="6CBCD251" w14:textId="77777777" w:rsidR="006F5E23" w:rsidRPr="008B1975" w:rsidRDefault="006F5E23" w:rsidP="006F5E23">
      <w:pPr>
        <w:pStyle w:val="subsection"/>
      </w:pPr>
      <w:r w:rsidRPr="008B1975">
        <w:tab/>
        <w:t>(4)</w:t>
      </w:r>
      <w:r w:rsidRPr="008B1975">
        <w:tab/>
        <w:t>The following table specifies conveyances, premises and infrastructure this section applies to.</w:t>
      </w:r>
    </w:p>
    <w:p w14:paraId="22DD6D41"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78642B92"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23B52BF5" w14:textId="77777777" w:rsidR="006F5E23" w:rsidRPr="008B1975" w:rsidRDefault="006F5E23" w:rsidP="0017016F">
            <w:pPr>
              <w:pStyle w:val="TableHeading"/>
            </w:pPr>
            <w:r w:rsidRPr="008B1975">
              <w:t>Application of this section</w:t>
            </w:r>
          </w:p>
        </w:tc>
      </w:tr>
      <w:tr w:rsidR="006F5E23" w:rsidRPr="008B1975" w14:paraId="54D5BBE6" w14:textId="77777777" w:rsidTr="004E6262">
        <w:trPr>
          <w:trHeight w:val="300"/>
          <w:tblHeader/>
        </w:trPr>
        <w:tc>
          <w:tcPr>
            <w:tcW w:w="1667" w:type="pct"/>
            <w:tcBorders>
              <w:top w:val="single" w:sz="6" w:space="0" w:color="auto"/>
              <w:left w:val="nil"/>
              <w:bottom w:val="single" w:sz="12" w:space="0" w:color="auto"/>
              <w:right w:val="nil"/>
            </w:tcBorders>
            <w:hideMark/>
          </w:tcPr>
          <w:p w14:paraId="35E86A83"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304B01C7"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488FEF22" w14:textId="77777777" w:rsidR="006F5E23" w:rsidRPr="008B1975" w:rsidRDefault="006F5E23" w:rsidP="0017016F">
            <w:pPr>
              <w:pStyle w:val="TableHeading"/>
            </w:pPr>
            <w:r w:rsidRPr="008B1975">
              <w:t>Infrastructure</w:t>
            </w:r>
          </w:p>
        </w:tc>
      </w:tr>
      <w:tr w:rsidR="006F5E23" w:rsidRPr="008B1975" w14:paraId="5D3BB6F6" w14:textId="77777777" w:rsidTr="004E6262">
        <w:trPr>
          <w:trHeight w:val="300"/>
        </w:trPr>
        <w:tc>
          <w:tcPr>
            <w:tcW w:w="1667" w:type="pct"/>
            <w:tcBorders>
              <w:top w:val="single" w:sz="12" w:space="0" w:color="auto"/>
              <w:left w:val="nil"/>
              <w:bottom w:val="single" w:sz="12" w:space="0" w:color="auto"/>
              <w:right w:val="nil"/>
            </w:tcBorders>
            <w:hideMark/>
          </w:tcPr>
          <w:p w14:paraId="26964A83" w14:textId="77777777" w:rsidR="00A700BB" w:rsidRPr="008B1975" w:rsidRDefault="00A700BB" w:rsidP="00AB5026">
            <w:pPr>
              <w:pStyle w:val="Tabletext"/>
            </w:pPr>
            <w:r w:rsidRPr="008B1975">
              <w:t>The following:</w:t>
            </w:r>
          </w:p>
          <w:p w14:paraId="6EB542E7" w14:textId="484BE92F" w:rsidR="00A700BB" w:rsidRPr="008B1975" w:rsidRDefault="00A700BB" w:rsidP="00A700BB">
            <w:pPr>
              <w:pStyle w:val="Tablea"/>
            </w:pPr>
            <w:r w:rsidRPr="008B1975">
              <w:t xml:space="preserve">(a) </w:t>
            </w:r>
            <w:r w:rsidR="00240824" w:rsidRPr="008B1975">
              <w:t>r</w:t>
            </w:r>
            <w:r w:rsidRPr="008B1975">
              <w:t>ail cars</w:t>
            </w:r>
            <w:r w:rsidR="003079DB" w:rsidRPr="008B1975">
              <w:t>;</w:t>
            </w:r>
          </w:p>
          <w:p w14:paraId="3AD4846A" w14:textId="09AC56D7" w:rsidR="00A700BB" w:rsidRPr="008B1975" w:rsidRDefault="00A700BB" w:rsidP="00A700BB">
            <w:pPr>
              <w:pStyle w:val="Tablea"/>
            </w:pPr>
            <w:r w:rsidRPr="008B1975">
              <w:t xml:space="preserve">(b) </w:t>
            </w:r>
            <w:r w:rsidR="00240824" w:rsidRPr="008B1975">
              <w:t>t</w:t>
            </w:r>
            <w:r w:rsidRPr="008B1975">
              <w:t>ram cars</w:t>
            </w:r>
            <w:r w:rsidR="003079DB" w:rsidRPr="008B1975">
              <w:t>;</w:t>
            </w:r>
          </w:p>
          <w:p w14:paraId="05E8B0F3" w14:textId="77777777" w:rsidR="006F5E23" w:rsidRPr="008B1975" w:rsidRDefault="00A700BB" w:rsidP="00A700BB">
            <w:pPr>
              <w:pStyle w:val="Tablea"/>
            </w:pPr>
            <w:r w:rsidRPr="008B1975">
              <w:t xml:space="preserve">(c) </w:t>
            </w:r>
            <w:r w:rsidR="00240824" w:rsidRPr="008B1975">
              <w:t>l</w:t>
            </w:r>
            <w:r w:rsidRPr="008B1975">
              <w:t>ight rail cars</w:t>
            </w:r>
          </w:p>
        </w:tc>
        <w:tc>
          <w:tcPr>
            <w:tcW w:w="1667" w:type="pct"/>
            <w:tcBorders>
              <w:top w:val="single" w:sz="12" w:space="0" w:color="auto"/>
              <w:left w:val="nil"/>
              <w:bottom w:val="single" w:sz="12" w:space="0" w:color="auto"/>
              <w:right w:val="nil"/>
            </w:tcBorders>
            <w:hideMark/>
          </w:tcPr>
          <w:p w14:paraId="4AD916F8" w14:textId="77777777" w:rsidR="006F5E23" w:rsidRPr="008B1975" w:rsidRDefault="006F5E23"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055306E2" w14:textId="77777777" w:rsidR="006F5E23" w:rsidRPr="008B1975" w:rsidRDefault="006F5E23" w:rsidP="0017016F">
            <w:pPr>
              <w:pStyle w:val="Tabletext"/>
            </w:pPr>
            <w:r w:rsidRPr="008B1975">
              <w:t>None</w:t>
            </w:r>
          </w:p>
        </w:tc>
      </w:tr>
    </w:tbl>
    <w:p w14:paraId="56E6D14F" w14:textId="77777777" w:rsidR="00FB42CC" w:rsidRPr="008B1975" w:rsidRDefault="000A511B" w:rsidP="000A511B">
      <w:pPr>
        <w:pStyle w:val="ItemHead"/>
      </w:pPr>
      <w:bookmarkStart w:id="125" w:name="_Ref185258923"/>
      <w:bookmarkStart w:id="126" w:name="_Hlk184375738"/>
      <w:r w:rsidRPr="008B1975">
        <w:t xml:space="preserve">12  </w:t>
      </w:r>
      <w:r w:rsidR="00FB42CC" w:rsidRPr="008B1975">
        <w:t>Section 9.7</w:t>
      </w:r>
      <w:bookmarkEnd w:id="125"/>
    </w:p>
    <w:p w14:paraId="6FF8AAA6" w14:textId="77777777" w:rsidR="00FB42CC" w:rsidRPr="008B1975" w:rsidRDefault="00FB42CC" w:rsidP="00FB42CC">
      <w:pPr>
        <w:pStyle w:val="Item"/>
      </w:pPr>
      <w:r w:rsidRPr="008B1975">
        <w:t>Before “If”, insert “(1)”.</w:t>
      </w:r>
      <w:bookmarkEnd w:id="126"/>
    </w:p>
    <w:p w14:paraId="31B7922D" w14:textId="77777777" w:rsidR="006F5E23" w:rsidRPr="008B1975" w:rsidRDefault="000A511B" w:rsidP="000A511B">
      <w:pPr>
        <w:pStyle w:val="ItemHead"/>
      </w:pPr>
      <w:bookmarkStart w:id="127" w:name="_Ref185258930"/>
      <w:r w:rsidRPr="008B1975">
        <w:t xml:space="preserve">13  </w:t>
      </w:r>
      <w:r w:rsidR="006F5E23" w:rsidRPr="008B1975">
        <w:t>Section 9.7 (</w:t>
      </w:r>
      <w:r w:rsidR="007951F9" w:rsidRPr="008B1975">
        <w:t xml:space="preserve">before the </w:t>
      </w:r>
      <w:r w:rsidR="006F5E23" w:rsidRPr="008B1975">
        <w:t>table)</w:t>
      </w:r>
      <w:bookmarkEnd w:id="127"/>
    </w:p>
    <w:p w14:paraId="6A6F832A" w14:textId="77777777" w:rsidR="006F5E23" w:rsidRPr="008B1975" w:rsidRDefault="007951F9" w:rsidP="006F5E23">
      <w:pPr>
        <w:pStyle w:val="Item"/>
      </w:pPr>
      <w:r w:rsidRPr="008B1975">
        <w:t>Add:</w:t>
      </w:r>
    </w:p>
    <w:p w14:paraId="5307D2A6" w14:textId="77777777" w:rsidR="007C23B6" w:rsidRPr="008B1975" w:rsidRDefault="007C23B6" w:rsidP="007C23B6">
      <w:pPr>
        <w:pStyle w:val="subsection"/>
      </w:pPr>
      <w:r w:rsidRPr="008B1975">
        <w:lastRenderedPageBreak/>
        <w:tab/>
        <w:t>(2)</w:t>
      </w:r>
      <w:r w:rsidRPr="008B1975">
        <w:tab/>
        <w:t>If allocated spaces are consolidated, the access paths leading to, and the manoeuvring areas for, each allocated space must not be compromised.</w:t>
      </w:r>
    </w:p>
    <w:p w14:paraId="6E2915D3" w14:textId="77777777" w:rsidR="007951F9" w:rsidRPr="008B1975" w:rsidRDefault="000A511B" w:rsidP="000A511B">
      <w:pPr>
        <w:pStyle w:val="ItemHead"/>
      </w:pPr>
      <w:bookmarkStart w:id="128" w:name="_Ref185259153"/>
      <w:r w:rsidRPr="008B1975">
        <w:t xml:space="preserve">14  </w:t>
      </w:r>
      <w:r w:rsidR="007951F9" w:rsidRPr="008B1975">
        <w:t>Section 9.7 (table)</w:t>
      </w:r>
      <w:bookmarkEnd w:id="128"/>
    </w:p>
    <w:p w14:paraId="39373298" w14:textId="77777777" w:rsidR="007951F9" w:rsidRPr="008B1975" w:rsidRDefault="007951F9" w:rsidP="007951F9">
      <w:pPr>
        <w:pStyle w:val="Item"/>
      </w:pPr>
      <w:r w:rsidRPr="008B1975">
        <w:t>Repeal the table, substitute:</w:t>
      </w:r>
    </w:p>
    <w:p w14:paraId="159CBD46" w14:textId="77777777" w:rsidR="006F5E23" w:rsidRPr="008B1975" w:rsidRDefault="006F5E23" w:rsidP="006F5E23">
      <w:pPr>
        <w:pStyle w:val="subsection"/>
      </w:pPr>
      <w:r w:rsidRPr="008B1975">
        <w:tab/>
        <w:t>(</w:t>
      </w:r>
      <w:r w:rsidR="007C23B6" w:rsidRPr="008B1975">
        <w:t>3</w:t>
      </w:r>
      <w:r w:rsidRPr="008B1975">
        <w:t>)</w:t>
      </w:r>
      <w:r w:rsidRPr="008B1975">
        <w:tab/>
        <w:t>The following table specifies conveyances, premises and infrastructure this section applies to.</w:t>
      </w:r>
    </w:p>
    <w:p w14:paraId="3915E7EB"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73644595"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186EF2C6" w14:textId="77777777" w:rsidR="006F5E23" w:rsidRPr="008B1975" w:rsidRDefault="006F5E23" w:rsidP="0017016F">
            <w:pPr>
              <w:pStyle w:val="TableHeading"/>
            </w:pPr>
            <w:r w:rsidRPr="008B1975">
              <w:t>Application of this section</w:t>
            </w:r>
          </w:p>
        </w:tc>
      </w:tr>
      <w:tr w:rsidR="006F5E23" w:rsidRPr="008B1975" w14:paraId="6BF896AC" w14:textId="77777777" w:rsidTr="004E6262">
        <w:trPr>
          <w:trHeight w:val="300"/>
          <w:tblHeader/>
        </w:trPr>
        <w:tc>
          <w:tcPr>
            <w:tcW w:w="1667" w:type="pct"/>
            <w:tcBorders>
              <w:top w:val="single" w:sz="6" w:space="0" w:color="auto"/>
              <w:left w:val="nil"/>
              <w:bottom w:val="single" w:sz="12" w:space="0" w:color="auto"/>
              <w:right w:val="nil"/>
            </w:tcBorders>
            <w:hideMark/>
          </w:tcPr>
          <w:p w14:paraId="68CE530C"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4E54DF2E"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2902D02A" w14:textId="77777777" w:rsidR="006F5E23" w:rsidRPr="008B1975" w:rsidRDefault="006F5E23" w:rsidP="0017016F">
            <w:pPr>
              <w:pStyle w:val="TableHeading"/>
            </w:pPr>
            <w:r w:rsidRPr="008B1975">
              <w:t>Infrastructure</w:t>
            </w:r>
          </w:p>
        </w:tc>
      </w:tr>
      <w:tr w:rsidR="006F5E23" w:rsidRPr="008B1975" w14:paraId="76C28DFE" w14:textId="77777777" w:rsidTr="004E6262">
        <w:trPr>
          <w:trHeight w:val="300"/>
        </w:trPr>
        <w:tc>
          <w:tcPr>
            <w:tcW w:w="1667" w:type="pct"/>
            <w:tcBorders>
              <w:top w:val="single" w:sz="12" w:space="0" w:color="auto"/>
              <w:left w:val="nil"/>
              <w:bottom w:val="single" w:sz="12" w:space="0" w:color="auto"/>
              <w:right w:val="nil"/>
            </w:tcBorders>
            <w:hideMark/>
          </w:tcPr>
          <w:p w14:paraId="3AB94643" w14:textId="77777777" w:rsidR="00A700BB" w:rsidRPr="008B1975" w:rsidRDefault="00A700BB" w:rsidP="00775158">
            <w:pPr>
              <w:pStyle w:val="Tabletext"/>
            </w:pPr>
            <w:r w:rsidRPr="008B1975">
              <w:t>The following:</w:t>
            </w:r>
          </w:p>
          <w:p w14:paraId="70C942E4" w14:textId="77777777" w:rsidR="00A700BB" w:rsidRPr="008B1975" w:rsidRDefault="00A700BB" w:rsidP="00A700BB">
            <w:pPr>
              <w:pStyle w:val="Tablea"/>
            </w:pPr>
            <w:r w:rsidRPr="008B1975">
              <w:t xml:space="preserve">(a) </w:t>
            </w:r>
            <w:r w:rsidR="00240824" w:rsidRPr="008B1975">
              <w:t>b</w:t>
            </w:r>
            <w:r w:rsidRPr="008B1975">
              <w:t>uses, except dedicated school buses</w:t>
            </w:r>
            <w:r w:rsidR="007C23B6" w:rsidRPr="008B1975">
              <w:t>;</w:t>
            </w:r>
          </w:p>
          <w:p w14:paraId="74181AC3" w14:textId="77777777" w:rsidR="00A700BB" w:rsidRPr="008B1975" w:rsidRDefault="00A700BB" w:rsidP="00A700BB">
            <w:pPr>
              <w:pStyle w:val="Tablea"/>
            </w:pPr>
            <w:r w:rsidRPr="008B1975">
              <w:t xml:space="preserve">(b) </w:t>
            </w:r>
            <w:r w:rsidR="00240824" w:rsidRPr="008B1975">
              <w:t>f</w:t>
            </w:r>
            <w:r w:rsidRPr="008B1975">
              <w:t>erries</w:t>
            </w:r>
            <w:r w:rsidR="007C23B6" w:rsidRPr="008B1975">
              <w:t>;</w:t>
            </w:r>
          </w:p>
          <w:p w14:paraId="5BC7A772" w14:textId="77777777" w:rsidR="00A700BB" w:rsidRPr="008B1975" w:rsidRDefault="00A700BB" w:rsidP="00A700BB">
            <w:pPr>
              <w:pStyle w:val="Tablea"/>
            </w:pPr>
            <w:r w:rsidRPr="008B1975">
              <w:t xml:space="preserve">(c) </w:t>
            </w:r>
            <w:r w:rsidR="00240824" w:rsidRPr="008B1975">
              <w:t>t</w:t>
            </w:r>
            <w:r w:rsidRPr="008B1975">
              <w:t>rains</w:t>
            </w:r>
            <w:r w:rsidR="007C23B6" w:rsidRPr="008B1975">
              <w:t>;</w:t>
            </w:r>
          </w:p>
          <w:p w14:paraId="156F9CF4" w14:textId="77777777" w:rsidR="00A700BB" w:rsidRPr="008B1975" w:rsidRDefault="00A700BB" w:rsidP="00A700BB">
            <w:pPr>
              <w:pStyle w:val="Tablea"/>
            </w:pPr>
            <w:r w:rsidRPr="008B1975">
              <w:t xml:space="preserve">(d) </w:t>
            </w:r>
            <w:r w:rsidR="00240824" w:rsidRPr="008B1975">
              <w:t>t</w:t>
            </w:r>
            <w:r w:rsidRPr="008B1975">
              <w:t>rams</w:t>
            </w:r>
            <w:r w:rsidR="007C23B6" w:rsidRPr="008B1975">
              <w:t>;</w:t>
            </w:r>
          </w:p>
          <w:p w14:paraId="75E4FCA0" w14:textId="77777777" w:rsidR="006F5E23" w:rsidRPr="008B1975" w:rsidRDefault="00A700BB" w:rsidP="00A700BB">
            <w:pPr>
              <w:pStyle w:val="Tablea"/>
            </w:pPr>
            <w:r w:rsidRPr="008B1975">
              <w:t xml:space="preserve">(e) </w:t>
            </w:r>
            <w:r w:rsidR="00240824" w:rsidRPr="008B1975">
              <w:t>l</w:t>
            </w:r>
            <w:r w:rsidRPr="008B1975">
              <w:t>ight rail</w:t>
            </w:r>
          </w:p>
        </w:tc>
        <w:tc>
          <w:tcPr>
            <w:tcW w:w="1667" w:type="pct"/>
            <w:tcBorders>
              <w:top w:val="single" w:sz="12" w:space="0" w:color="auto"/>
              <w:left w:val="nil"/>
              <w:bottom w:val="single" w:sz="12" w:space="0" w:color="auto"/>
              <w:right w:val="nil"/>
            </w:tcBorders>
            <w:hideMark/>
          </w:tcPr>
          <w:p w14:paraId="6CBC8AF8" w14:textId="77777777" w:rsidR="006F5E23" w:rsidRPr="008B1975" w:rsidRDefault="006F5E23"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182C4E3F" w14:textId="77777777" w:rsidR="006F5E23" w:rsidRPr="008B1975" w:rsidRDefault="006F5E23" w:rsidP="0017016F">
            <w:pPr>
              <w:pStyle w:val="Tabletext"/>
            </w:pPr>
            <w:r w:rsidRPr="008B1975">
              <w:t>None</w:t>
            </w:r>
          </w:p>
        </w:tc>
      </w:tr>
    </w:tbl>
    <w:p w14:paraId="20CE3193" w14:textId="77777777" w:rsidR="006F5E23" w:rsidRPr="008B1975" w:rsidRDefault="000A511B" w:rsidP="000A511B">
      <w:pPr>
        <w:pStyle w:val="ItemHead"/>
      </w:pPr>
      <w:bookmarkStart w:id="129" w:name="_Ref185260665"/>
      <w:r w:rsidRPr="008B1975">
        <w:t xml:space="preserve">15  </w:t>
      </w:r>
      <w:r w:rsidR="006F5E23" w:rsidRPr="008B1975">
        <w:t>Section 9.8</w:t>
      </w:r>
      <w:bookmarkEnd w:id="129"/>
    </w:p>
    <w:p w14:paraId="2150A840" w14:textId="77777777" w:rsidR="006F5E23" w:rsidRPr="008B1975" w:rsidRDefault="006F5E23" w:rsidP="006F5E23">
      <w:pPr>
        <w:pStyle w:val="Item"/>
      </w:pPr>
      <w:r w:rsidRPr="008B1975">
        <w:t>Before “An”, insert “(1)”.</w:t>
      </w:r>
    </w:p>
    <w:p w14:paraId="2E535C8B" w14:textId="77777777" w:rsidR="006F5E23" w:rsidRPr="008B1975" w:rsidRDefault="000A511B" w:rsidP="000A511B">
      <w:pPr>
        <w:pStyle w:val="ItemHead"/>
      </w:pPr>
      <w:bookmarkStart w:id="130" w:name="_Ref185259294"/>
      <w:r w:rsidRPr="008B1975">
        <w:t xml:space="preserve">16  </w:t>
      </w:r>
      <w:r w:rsidR="006F5E23" w:rsidRPr="008B1975">
        <w:t>Section 9.8 (table)</w:t>
      </w:r>
      <w:bookmarkEnd w:id="130"/>
    </w:p>
    <w:p w14:paraId="4F120A4D" w14:textId="77777777" w:rsidR="006F5E23" w:rsidRPr="008B1975" w:rsidRDefault="006F5E23" w:rsidP="006F5E23">
      <w:pPr>
        <w:pStyle w:val="Item"/>
      </w:pPr>
      <w:r w:rsidRPr="008B1975">
        <w:t>Repeal the table, substitute:</w:t>
      </w:r>
    </w:p>
    <w:p w14:paraId="02220298" w14:textId="77777777" w:rsidR="006F5E23" w:rsidRPr="008B1975" w:rsidRDefault="006F5E23" w:rsidP="006F5E23">
      <w:pPr>
        <w:pStyle w:val="subsection"/>
      </w:pPr>
      <w:r w:rsidRPr="008B1975">
        <w:tab/>
        <w:t>(2)</w:t>
      </w:r>
      <w:r w:rsidRPr="008B1975">
        <w:tab/>
        <w:t>The following table specifies conveyances, premises and infrastructure this section applies to.</w:t>
      </w:r>
    </w:p>
    <w:p w14:paraId="6DCA33CB" w14:textId="77777777" w:rsidR="006F5E23" w:rsidRPr="008B1975" w:rsidRDefault="006F5E23" w:rsidP="006F5E2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F5E23" w:rsidRPr="008B1975" w14:paraId="72007705"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0131E3E5" w14:textId="77777777" w:rsidR="006F5E23" w:rsidRPr="008B1975" w:rsidRDefault="006F5E23" w:rsidP="0017016F">
            <w:pPr>
              <w:pStyle w:val="TableHeading"/>
            </w:pPr>
            <w:r w:rsidRPr="008B1975">
              <w:t>Application of this section</w:t>
            </w:r>
          </w:p>
        </w:tc>
      </w:tr>
      <w:tr w:rsidR="006F5E23" w:rsidRPr="008B1975" w14:paraId="72C29C96" w14:textId="77777777" w:rsidTr="004E6262">
        <w:trPr>
          <w:trHeight w:val="300"/>
          <w:tblHeader/>
        </w:trPr>
        <w:tc>
          <w:tcPr>
            <w:tcW w:w="1667" w:type="pct"/>
            <w:tcBorders>
              <w:top w:val="single" w:sz="6" w:space="0" w:color="auto"/>
              <w:left w:val="nil"/>
              <w:bottom w:val="single" w:sz="12" w:space="0" w:color="auto"/>
              <w:right w:val="nil"/>
            </w:tcBorders>
            <w:hideMark/>
          </w:tcPr>
          <w:p w14:paraId="16E2E8D1" w14:textId="77777777" w:rsidR="006F5E23" w:rsidRPr="008B1975" w:rsidRDefault="006F5E23"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1A0A4B75" w14:textId="77777777" w:rsidR="006F5E23" w:rsidRPr="008B1975" w:rsidRDefault="006F5E23"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17FD7D74" w14:textId="77777777" w:rsidR="006F5E23" w:rsidRPr="008B1975" w:rsidRDefault="006F5E23" w:rsidP="0017016F">
            <w:pPr>
              <w:pStyle w:val="TableHeading"/>
            </w:pPr>
            <w:r w:rsidRPr="008B1975">
              <w:t>Infrastructure</w:t>
            </w:r>
          </w:p>
        </w:tc>
      </w:tr>
      <w:tr w:rsidR="006F5E23" w:rsidRPr="008B1975" w14:paraId="75789210" w14:textId="77777777" w:rsidTr="004E6262">
        <w:trPr>
          <w:trHeight w:val="300"/>
        </w:trPr>
        <w:tc>
          <w:tcPr>
            <w:tcW w:w="1667" w:type="pct"/>
            <w:tcBorders>
              <w:top w:val="single" w:sz="12" w:space="0" w:color="auto"/>
              <w:left w:val="nil"/>
              <w:bottom w:val="single" w:sz="12" w:space="0" w:color="auto"/>
              <w:right w:val="nil"/>
            </w:tcBorders>
            <w:hideMark/>
          </w:tcPr>
          <w:p w14:paraId="2EFE1157" w14:textId="77777777" w:rsidR="00A700BB" w:rsidRPr="008B1975" w:rsidRDefault="00A700BB" w:rsidP="00775158">
            <w:pPr>
              <w:pStyle w:val="Tabletext"/>
            </w:pPr>
            <w:r w:rsidRPr="008B1975">
              <w:t>The following:</w:t>
            </w:r>
          </w:p>
          <w:p w14:paraId="63EC1157" w14:textId="77777777" w:rsidR="00A700BB" w:rsidRPr="008B1975" w:rsidRDefault="00A700BB" w:rsidP="00A700BB">
            <w:pPr>
              <w:pStyle w:val="Tablea"/>
            </w:pPr>
            <w:r w:rsidRPr="008B1975">
              <w:t xml:space="preserve">(a) </w:t>
            </w:r>
            <w:r w:rsidR="00240824" w:rsidRPr="008B1975">
              <w:t>a</w:t>
            </w:r>
            <w:r w:rsidRPr="008B1975">
              <w:t>ircraft</w:t>
            </w:r>
            <w:r w:rsidR="007C23B6" w:rsidRPr="008B1975">
              <w:t>;</w:t>
            </w:r>
          </w:p>
          <w:p w14:paraId="72623588" w14:textId="77777777" w:rsidR="006F5E23" w:rsidRPr="008B1975" w:rsidRDefault="00A700BB" w:rsidP="00A700BB">
            <w:pPr>
              <w:pStyle w:val="Tablea"/>
            </w:pPr>
            <w:r w:rsidRPr="008B1975">
              <w:t xml:space="preserve">(b) </w:t>
            </w:r>
            <w:r w:rsidR="00240824" w:rsidRPr="008B1975">
              <w:t>c</w:t>
            </w:r>
            <w:r w:rsidRPr="008B1975">
              <w:t>oaches</w:t>
            </w:r>
          </w:p>
        </w:tc>
        <w:tc>
          <w:tcPr>
            <w:tcW w:w="1667" w:type="pct"/>
            <w:tcBorders>
              <w:top w:val="single" w:sz="12" w:space="0" w:color="auto"/>
              <w:left w:val="nil"/>
              <w:bottom w:val="single" w:sz="12" w:space="0" w:color="auto"/>
              <w:right w:val="nil"/>
            </w:tcBorders>
            <w:hideMark/>
          </w:tcPr>
          <w:p w14:paraId="3CAC9712" w14:textId="77777777" w:rsidR="006F5E23" w:rsidRPr="008B1975" w:rsidRDefault="006F5E23"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442C6056" w14:textId="77777777" w:rsidR="006F5E23" w:rsidRPr="008B1975" w:rsidRDefault="006F5E23" w:rsidP="0017016F">
            <w:pPr>
              <w:pStyle w:val="Tabletext"/>
            </w:pPr>
            <w:r w:rsidRPr="008B1975">
              <w:t>None</w:t>
            </w:r>
          </w:p>
        </w:tc>
      </w:tr>
    </w:tbl>
    <w:p w14:paraId="2D887350" w14:textId="77777777" w:rsidR="00A700BB" w:rsidRPr="008B1975" w:rsidRDefault="000A511B" w:rsidP="000A511B">
      <w:pPr>
        <w:pStyle w:val="ItemHead"/>
      </w:pPr>
      <w:bookmarkStart w:id="131" w:name="_Ref185335928"/>
      <w:r w:rsidRPr="008B1975">
        <w:t xml:space="preserve">17  </w:t>
      </w:r>
      <w:r w:rsidR="00A700BB" w:rsidRPr="008B1975">
        <w:t>Section 9.9</w:t>
      </w:r>
      <w:bookmarkEnd w:id="131"/>
    </w:p>
    <w:p w14:paraId="66BC9582" w14:textId="77777777" w:rsidR="00A700BB" w:rsidRPr="008B1975" w:rsidRDefault="00A700BB" w:rsidP="00A700BB">
      <w:pPr>
        <w:pStyle w:val="Item"/>
      </w:pPr>
      <w:r w:rsidRPr="008B1975">
        <w:t>Before “Allocated”, insert “(1)”.</w:t>
      </w:r>
    </w:p>
    <w:p w14:paraId="6BC08712" w14:textId="77777777" w:rsidR="00F575C1" w:rsidRPr="008B1975" w:rsidRDefault="000A511B" w:rsidP="000A511B">
      <w:pPr>
        <w:pStyle w:val="ItemHead"/>
      </w:pPr>
      <w:bookmarkStart w:id="132" w:name="_Ref185259343"/>
      <w:r w:rsidRPr="008B1975">
        <w:t xml:space="preserve">18  </w:t>
      </w:r>
      <w:r w:rsidR="00F575C1" w:rsidRPr="008B1975">
        <w:t>Section 9.9 (before the table)</w:t>
      </w:r>
      <w:bookmarkEnd w:id="132"/>
    </w:p>
    <w:p w14:paraId="540ABE7D" w14:textId="77777777" w:rsidR="00F575C1" w:rsidRPr="008B1975" w:rsidRDefault="00F575C1" w:rsidP="00F575C1">
      <w:pPr>
        <w:pStyle w:val="Item"/>
      </w:pPr>
      <w:r w:rsidRPr="008B1975">
        <w:t>Insert:</w:t>
      </w:r>
    </w:p>
    <w:p w14:paraId="3B3AB27A" w14:textId="77777777" w:rsidR="00F575C1" w:rsidRPr="008B1975" w:rsidRDefault="00F575C1" w:rsidP="00F575C1">
      <w:pPr>
        <w:pStyle w:val="notetext"/>
      </w:pPr>
      <w:r w:rsidRPr="008B1975">
        <w:t>Note:</w:t>
      </w:r>
      <w:r w:rsidRPr="008B1975">
        <w:tab/>
        <w:t>For example, another purpose could be allowing a passenger to use a fold down seat provided in the allocated space if the space is not required by a passenger in a wheelchair.</w:t>
      </w:r>
    </w:p>
    <w:p w14:paraId="55DDCFD4" w14:textId="77777777" w:rsidR="00A700BB" w:rsidRPr="008B1975" w:rsidRDefault="000A511B" w:rsidP="000A511B">
      <w:pPr>
        <w:pStyle w:val="ItemHead"/>
      </w:pPr>
      <w:bookmarkStart w:id="133" w:name="_Ref185259407"/>
      <w:r w:rsidRPr="008B1975">
        <w:t xml:space="preserve">19  </w:t>
      </w:r>
      <w:r w:rsidR="00A700BB" w:rsidRPr="008B1975">
        <w:t>Section 9.9 (table)</w:t>
      </w:r>
      <w:bookmarkEnd w:id="133"/>
    </w:p>
    <w:p w14:paraId="397AEC3B" w14:textId="77777777" w:rsidR="00A700BB" w:rsidRPr="008B1975" w:rsidRDefault="00A700BB" w:rsidP="00A700BB">
      <w:pPr>
        <w:pStyle w:val="Item"/>
      </w:pPr>
      <w:r w:rsidRPr="008B1975">
        <w:t>Repeal the table, substitute:</w:t>
      </w:r>
    </w:p>
    <w:p w14:paraId="3BC562B5" w14:textId="77777777" w:rsidR="00A700BB" w:rsidRPr="008B1975" w:rsidRDefault="00A700BB" w:rsidP="00A700BB">
      <w:pPr>
        <w:pStyle w:val="subsection"/>
      </w:pPr>
      <w:r w:rsidRPr="008B1975">
        <w:tab/>
        <w:t>(2)</w:t>
      </w:r>
      <w:r w:rsidRPr="008B1975">
        <w:tab/>
        <w:t>The following table specifies conveyances, premises and infrastructure this section applies to.</w:t>
      </w:r>
    </w:p>
    <w:p w14:paraId="1E689A57" w14:textId="77777777" w:rsidR="00A700BB" w:rsidRPr="008B1975" w:rsidRDefault="00A700BB" w:rsidP="00A700B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700BB" w:rsidRPr="008B1975" w14:paraId="4610E161"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2DF5B441" w14:textId="77777777" w:rsidR="00A700BB" w:rsidRPr="008B1975" w:rsidRDefault="00A700BB" w:rsidP="0017016F">
            <w:pPr>
              <w:pStyle w:val="TableHeading"/>
            </w:pPr>
            <w:r w:rsidRPr="008B1975">
              <w:t>Application of this section</w:t>
            </w:r>
          </w:p>
        </w:tc>
      </w:tr>
      <w:tr w:rsidR="00A700BB" w:rsidRPr="008B1975" w14:paraId="2F387FFE" w14:textId="77777777" w:rsidTr="004E6262">
        <w:trPr>
          <w:trHeight w:val="300"/>
          <w:tblHeader/>
        </w:trPr>
        <w:tc>
          <w:tcPr>
            <w:tcW w:w="1667" w:type="pct"/>
            <w:tcBorders>
              <w:top w:val="single" w:sz="6" w:space="0" w:color="auto"/>
              <w:left w:val="nil"/>
              <w:bottom w:val="single" w:sz="12" w:space="0" w:color="auto"/>
              <w:right w:val="nil"/>
            </w:tcBorders>
            <w:hideMark/>
          </w:tcPr>
          <w:p w14:paraId="10A30FD2" w14:textId="77777777" w:rsidR="00A700BB" w:rsidRPr="008B1975" w:rsidRDefault="00A700BB"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5AA2AD00" w14:textId="77777777" w:rsidR="00A700BB" w:rsidRPr="008B1975" w:rsidRDefault="00A700BB"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2DD3BE4E" w14:textId="77777777" w:rsidR="00A700BB" w:rsidRPr="008B1975" w:rsidRDefault="00A700BB" w:rsidP="0017016F">
            <w:pPr>
              <w:pStyle w:val="TableHeading"/>
            </w:pPr>
            <w:r w:rsidRPr="008B1975">
              <w:t>Infrastructure</w:t>
            </w:r>
          </w:p>
        </w:tc>
      </w:tr>
      <w:tr w:rsidR="00A700BB" w:rsidRPr="008B1975" w14:paraId="21625B2C" w14:textId="77777777" w:rsidTr="004E6262">
        <w:trPr>
          <w:trHeight w:val="300"/>
        </w:trPr>
        <w:tc>
          <w:tcPr>
            <w:tcW w:w="1667" w:type="pct"/>
            <w:tcBorders>
              <w:top w:val="single" w:sz="12" w:space="0" w:color="auto"/>
              <w:left w:val="nil"/>
              <w:bottom w:val="single" w:sz="12" w:space="0" w:color="auto"/>
              <w:right w:val="nil"/>
            </w:tcBorders>
            <w:hideMark/>
          </w:tcPr>
          <w:p w14:paraId="2592FBF5" w14:textId="77777777" w:rsidR="00A700BB" w:rsidRPr="008B1975" w:rsidRDefault="00A700BB" w:rsidP="00AB5026">
            <w:pPr>
              <w:pStyle w:val="Tabletext"/>
            </w:pPr>
            <w:r w:rsidRPr="008B1975">
              <w:t>The following:</w:t>
            </w:r>
          </w:p>
          <w:p w14:paraId="12D8A0D3" w14:textId="2CF9EC0E" w:rsidR="00A700BB" w:rsidRPr="008B1975" w:rsidRDefault="00A700BB" w:rsidP="00A700BB">
            <w:pPr>
              <w:pStyle w:val="Tablea"/>
            </w:pPr>
            <w:r w:rsidRPr="008B1975">
              <w:t xml:space="preserve">(a) </w:t>
            </w:r>
            <w:r w:rsidR="00240824" w:rsidRPr="008B1975">
              <w:t>b</w:t>
            </w:r>
            <w:r w:rsidRPr="008B1975">
              <w:t>uses, except dedicated school buses</w:t>
            </w:r>
            <w:r w:rsidR="00844B05" w:rsidRPr="008B1975">
              <w:t>;</w:t>
            </w:r>
          </w:p>
          <w:p w14:paraId="1B9E88AF" w14:textId="3D8652EC" w:rsidR="00A700BB" w:rsidRPr="008B1975" w:rsidRDefault="00A700BB" w:rsidP="00A700BB">
            <w:pPr>
              <w:pStyle w:val="Tablea"/>
            </w:pPr>
            <w:r w:rsidRPr="008B1975">
              <w:t xml:space="preserve">(b) </w:t>
            </w:r>
            <w:r w:rsidR="00240824" w:rsidRPr="008B1975">
              <w:t>f</w:t>
            </w:r>
            <w:r w:rsidRPr="008B1975">
              <w:t>erries</w:t>
            </w:r>
            <w:r w:rsidR="00844B05" w:rsidRPr="008B1975">
              <w:t>;</w:t>
            </w:r>
          </w:p>
          <w:p w14:paraId="2BEE66BC" w14:textId="578F41FD" w:rsidR="00A700BB" w:rsidRPr="008B1975" w:rsidRDefault="00A700BB" w:rsidP="00A700BB">
            <w:pPr>
              <w:pStyle w:val="Tablea"/>
            </w:pPr>
            <w:r w:rsidRPr="008B1975">
              <w:t xml:space="preserve">(c) </w:t>
            </w:r>
            <w:r w:rsidR="00240824" w:rsidRPr="008B1975">
              <w:t>a</w:t>
            </w:r>
            <w:r w:rsidRPr="008B1975">
              <w:t>ccessible taxis</w:t>
            </w:r>
            <w:r w:rsidR="00844B05" w:rsidRPr="008B1975">
              <w:t>;</w:t>
            </w:r>
          </w:p>
          <w:p w14:paraId="73E806DF" w14:textId="49EC7E94" w:rsidR="00A700BB" w:rsidRPr="008B1975" w:rsidRDefault="00A700BB" w:rsidP="00A700BB">
            <w:pPr>
              <w:pStyle w:val="Tablea"/>
            </w:pPr>
            <w:r w:rsidRPr="008B1975">
              <w:t xml:space="preserve">(d) </w:t>
            </w:r>
            <w:r w:rsidR="00240824" w:rsidRPr="008B1975">
              <w:t>t</w:t>
            </w:r>
            <w:r w:rsidRPr="008B1975">
              <w:t>rains</w:t>
            </w:r>
            <w:r w:rsidR="00844B05" w:rsidRPr="008B1975">
              <w:t>;</w:t>
            </w:r>
          </w:p>
          <w:p w14:paraId="275C8B47" w14:textId="0DF37DE4" w:rsidR="00A700BB" w:rsidRPr="008B1975" w:rsidRDefault="00A700BB" w:rsidP="00A700BB">
            <w:pPr>
              <w:pStyle w:val="Tablea"/>
            </w:pPr>
            <w:r w:rsidRPr="008B1975">
              <w:t xml:space="preserve">(e) </w:t>
            </w:r>
            <w:r w:rsidR="00240824" w:rsidRPr="008B1975">
              <w:t>t</w:t>
            </w:r>
            <w:r w:rsidRPr="008B1975">
              <w:t>rams</w:t>
            </w:r>
            <w:r w:rsidR="00844B05" w:rsidRPr="008B1975">
              <w:t>;</w:t>
            </w:r>
          </w:p>
          <w:p w14:paraId="2457FCC9" w14:textId="77777777" w:rsidR="00A700BB" w:rsidRPr="008B1975" w:rsidRDefault="00A700BB" w:rsidP="00A700BB">
            <w:pPr>
              <w:pStyle w:val="Tablea"/>
            </w:pPr>
            <w:r w:rsidRPr="008B1975">
              <w:t xml:space="preserve">(f) </w:t>
            </w:r>
            <w:r w:rsidR="00240824" w:rsidRPr="008B1975">
              <w:t>l</w:t>
            </w:r>
            <w:r w:rsidRPr="008B1975">
              <w:t>ight rail</w:t>
            </w:r>
          </w:p>
        </w:tc>
        <w:tc>
          <w:tcPr>
            <w:tcW w:w="1667" w:type="pct"/>
            <w:tcBorders>
              <w:top w:val="single" w:sz="12" w:space="0" w:color="auto"/>
              <w:left w:val="nil"/>
              <w:bottom w:val="single" w:sz="12" w:space="0" w:color="auto"/>
              <w:right w:val="nil"/>
            </w:tcBorders>
            <w:hideMark/>
          </w:tcPr>
          <w:p w14:paraId="5E896443" w14:textId="77777777" w:rsidR="00A700BB" w:rsidRPr="008B1975" w:rsidRDefault="00A700BB"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57D855D9" w14:textId="77777777" w:rsidR="00A700BB" w:rsidRPr="008B1975" w:rsidRDefault="00A700BB" w:rsidP="0017016F">
            <w:pPr>
              <w:pStyle w:val="Tabletext"/>
            </w:pPr>
            <w:r w:rsidRPr="008B1975">
              <w:t>None</w:t>
            </w:r>
          </w:p>
        </w:tc>
      </w:tr>
    </w:tbl>
    <w:p w14:paraId="55506BB1" w14:textId="77777777" w:rsidR="00F575C1" w:rsidRPr="008B1975" w:rsidRDefault="000A511B" w:rsidP="000A511B">
      <w:pPr>
        <w:pStyle w:val="ItemHead"/>
      </w:pPr>
      <w:bookmarkStart w:id="134" w:name="_Ref189845032"/>
      <w:r w:rsidRPr="008B1975">
        <w:t xml:space="preserve">20  </w:t>
      </w:r>
      <w:r w:rsidR="00F575C1" w:rsidRPr="008B1975">
        <w:t>Subsection 9.10(2)</w:t>
      </w:r>
      <w:bookmarkEnd w:id="134"/>
    </w:p>
    <w:p w14:paraId="094054CC" w14:textId="77777777" w:rsidR="00F575C1" w:rsidRPr="008B1975" w:rsidRDefault="00F575C1" w:rsidP="00F575C1">
      <w:pPr>
        <w:pStyle w:val="Item"/>
      </w:pPr>
      <w:r w:rsidRPr="008B1975">
        <w:t>Repeal the subsection.</w:t>
      </w:r>
    </w:p>
    <w:p w14:paraId="0401D461" w14:textId="77777777" w:rsidR="00F575C1" w:rsidRPr="008B1975" w:rsidRDefault="000A511B" w:rsidP="000A511B">
      <w:pPr>
        <w:pStyle w:val="ItemHead"/>
      </w:pPr>
      <w:bookmarkStart w:id="135" w:name="_Ref180418448"/>
      <w:r w:rsidRPr="008B1975">
        <w:t xml:space="preserve">21  </w:t>
      </w:r>
      <w:r w:rsidR="00F575C1" w:rsidRPr="008B1975">
        <w:t>Section 9.10 (table)</w:t>
      </w:r>
      <w:bookmarkEnd w:id="135"/>
    </w:p>
    <w:p w14:paraId="553D3E8A" w14:textId="77777777" w:rsidR="00F575C1" w:rsidRPr="008B1975" w:rsidRDefault="00F575C1" w:rsidP="00F575C1">
      <w:pPr>
        <w:pStyle w:val="Item"/>
      </w:pPr>
      <w:r w:rsidRPr="008B1975">
        <w:t>Repeal the table, substitute:</w:t>
      </w:r>
    </w:p>
    <w:p w14:paraId="299521E8" w14:textId="77777777" w:rsidR="00F575C1" w:rsidRPr="008B1975" w:rsidRDefault="00F575C1" w:rsidP="00F575C1">
      <w:pPr>
        <w:pStyle w:val="subsection"/>
      </w:pPr>
      <w:bookmarkStart w:id="136" w:name="_Hlk183691358"/>
      <w:r w:rsidRPr="008B1975">
        <w:tab/>
        <w:t>(2)</w:t>
      </w:r>
      <w:r w:rsidRPr="008B1975">
        <w:tab/>
        <w:t>The following table specifies conveyances, premises and infrastructure this section applies to.</w:t>
      </w:r>
    </w:p>
    <w:bookmarkEnd w:id="136"/>
    <w:p w14:paraId="594278BA" w14:textId="77777777" w:rsidR="00F575C1" w:rsidRPr="008B1975" w:rsidRDefault="00F575C1" w:rsidP="00F575C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575C1" w:rsidRPr="008B1975" w14:paraId="36875F66"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661E614B" w14:textId="77777777" w:rsidR="00F575C1" w:rsidRPr="008B1975" w:rsidRDefault="00F575C1" w:rsidP="00FB42CC">
            <w:pPr>
              <w:pStyle w:val="TableHeading"/>
            </w:pPr>
            <w:bookmarkStart w:id="137" w:name="_Hlk183691367"/>
            <w:r w:rsidRPr="008B1975">
              <w:t>Application of this section</w:t>
            </w:r>
          </w:p>
        </w:tc>
      </w:tr>
      <w:tr w:rsidR="00F575C1" w:rsidRPr="008B1975" w14:paraId="1E43EE62" w14:textId="77777777" w:rsidTr="004E6262">
        <w:trPr>
          <w:trHeight w:val="300"/>
          <w:tblHeader/>
        </w:trPr>
        <w:tc>
          <w:tcPr>
            <w:tcW w:w="1667" w:type="pct"/>
            <w:tcBorders>
              <w:top w:val="single" w:sz="6" w:space="0" w:color="auto"/>
              <w:left w:val="nil"/>
              <w:bottom w:val="single" w:sz="12" w:space="0" w:color="auto"/>
              <w:right w:val="nil"/>
            </w:tcBorders>
            <w:hideMark/>
          </w:tcPr>
          <w:p w14:paraId="0263AE24" w14:textId="77777777" w:rsidR="00F575C1" w:rsidRPr="008B1975" w:rsidRDefault="00F575C1" w:rsidP="00FB42CC">
            <w:pPr>
              <w:pStyle w:val="TableHeading"/>
            </w:pPr>
            <w:r w:rsidRPr="008B1975">
              <w:t>Conveyances</w:t>
            </w:r>
          </w:p>
        </w:tc>
        <w:tc>
          <w:tcPr>
            <w:tcW w:w="1667" w:type="pct"/>
            <w:tcBorders>
              <w:top w:val="single" w:sz="6" w:space="0" w:color="auto"/>
              <w:left w:val="nil"/>
              <w:bottom w:val="single" w:sz="12" w:space="0" w:color="auto"/>
              <w:right w:val="nil"/>
            </w:tcBorders>
            <w:hideMark/>
          </w:tcPr>
          <w:p w14:paraId="451C45A3" w14:textId="77777777" w:rsidR="00F575C1" w:rsidRPr="008B1975" w:rsidRDefault="00F575C1" w:rsidP="00FB42CC">
            <w:pPr>
              <w:pStyle w:val="TableHeading"/>
            </w:pPr>
            <w:r w:rsidRPr="008B1975">
              <w:t>Premises</w:t>
            </w:r>
          </w:p>
        </w:tc>
        <w:tc>
          <w:tcPr>
            <w:tcW w:w="1667" w:type="pct"/>
            <w:tcBorders>
              <w:top w:val="single" w:sz="6" w:space="0" w:color="auto"/>
              <w:left w:val="nil"/>
              <w:bottom w:val="single" w:sz="12" w:space="0" w:color="auto"/>
              <w:right w:val="nil"/>
            </w:tcBorders>
            <w:hideMark/>
          </w:tcPr>
          <w:p w14:paraId="68A85EA6" w14:textId="77777777" w:rsidR="00F575C1" w:rsidRPr="008B1975" w:rsidRDefault="00F575C1" w:rsidP="00FB42CC">
            <w:pPr>
              <w:pStyle w:val="TableHeading"/>
            </w:pPr>
            <w:r w:rsidRPr="008B1975">
              <w:t>Infrastructure</w:t>
            </w:r>
          </w:p>
        </w:tc>
      </w:tr>
      <w:tr w:rsidR="00F575C1" w:rsidRPr="008B1975" w14:paraId="2D2DAF88" w14:textId="77777777" w:rsidTr="004E6262">
        <w:trPr>
          <w:trHeight w:val="300"/>
        </w:trPr>
        <w:tc>
          <w:tcPr>
            <w:tcW w:w="1667" w:type="pct"/>
            <w:tcBorders>
              <w:top w:val="single" w:sz="12" w:space="0" w:color="auto"/>
              <w:left w:val="nil"/>
              <w:bottom w:val="single" w:sz="12" w:space="0" w:color="auto"/>
              <w:right w:val="nil"/>
            </w:tcBorders>
            <w:hideMark/>
          </w:tcPr>
          <w:p w14:paraId="2F1CE48B" w14:textId="77777777" w:rsidR="00F575C1" w:rsidRPr="008B1975" w:rsidRDefault="00F575C1" w:rsidP="00FB42CC">
            <w:pPr>
              <w:pStyle w:val="Tabletext"/>
            </w:pPr>
            <w:r w:rsidRPr="008B1975">
              <w:t>The following:</w:t>
            </w:r>
          </w:p>
          <w:p w14:paraId="02787228" w14:textId="77777777" w:rsidR="00F575C1" w:rsidRPr="008B1975" w:rsidRDefault="00F575C1" w:rsidP="00FB42CC">
            <w:pPr>
              <w:pStyle w:val="Tablea"/>
            </w:pPr>
            <w:r w:rsidRPr="008B1975">
              <w:t xml:space="preserve">(a) </w:t>
            </w:r>
            <w:r w:rsidR="00240824" w:rsidRPr="008B1975">
              <w:t>b</w:t>
            </w:r>
            <w:r w:rsidRPr="008B1975">
              <w:t>uses</w:t>
            </w:r>
            <w:r w:rsidR="002916E0" w:rsidRPr="008B1975">
              <w:t>, except dedicated school buses</w:t>
            </w:r>
            <w:r w:rsidR="00677B66" w:rsidRPr="008B1975">
              <w:t>;</w:t>
            </w:r>
          </w:p>
          <w:p w14:paraId="61C00AD9" w14:textId="77777777" w:rsidR="00F575C1" w:rsidRPr="008B1975" w:rsidRDefault="00F575C1" w:rsidP="00FB42CC">
            <w:pPr>
              <w:pStyle w:val="Tablea"/>
            </w:pPr>
            <w:r w:rsidRPr="008B1975">
              <w:t xml:space="preserve">(b) </w:t>
            </w:r>
            <w:r w:rsidR="00240824" w:rsidRPr="008B1975">
              <w:t>t</w:t>
            </w:r>
            <w:r w:rsidRPr="008B1975">
              <w:t>rains</w:t>
            </w:r>
            <w:r w:rsidR="00677B66" w:rsidRPr="008B1975">
              <w:t>;</w:t>
            </w:r>
          </w:p>
          <w:p w14:paraId="1F6D0805" w14:textId="77777777" w:rsidR="00F575C1" w:rsidRPr="008B1975" w:rsidRDefault="00F575C1" w:rsidP="00FB42CC">
            <w:pPr>
              <w:pStyle w:val="Tablea"/>
            </w:pPr>
            <w:r w:rsidRPr="008B1975">
              <w:t xml:space="preserve">(c) </w:t>
            </w:r>
            <w:r w:rsidR="00240824" w:rsidRPr="008B1975">
              <w:t>t</w:t>
            </w:r>
            <w:r w:rsidRPr="008B1975">
              <w:t>rams</w:t>
            </w:r>
            <w:r w:rsidR="00677B66" w:rsidRPr="008B1975">
              <w:t>;</w:t>
            </w:r>
          </w:p>
          <w:p w14:paraId="34D9627C" w14:textId="77777777" w:rsidR="00F575C1" w:rsidRPr="008B1975" w:rsidRDefault="00F575C1" w:rsidP="00FB42CC">
            <w:pPr>
              <w:pStyle w:val="Tablea"/>
            </w:pPr>
            <w:r w:rsidRPr="008B1975">
              <w:t>(d)</w:t>
            </w:r>
            <w:r w:rsidR="00240824" w:rsidRPr="008B1975">
              <w:t xml:space="preserve"> l</w:t>
            </w:r>
            <w:r w:rsidRPr="008B1975">
              <w:t>ight rail</w:t>
            </w:r>
          </w:p>
        </w:tc>
        <w:tc>
          <w:tcPr>
            <w:tcW w:w="1667" w:type="pct"/>
            <w:tcBorders>
              <w:top w:val="single" w:sz="12" w:space="0" w:color="auto"/>
              <w:left w:val="nil"/>
              <w:bottom w:val="single" w:sz="12" w:space="0" w:color="auto"/>
              <w:right w:val="nil"/>
            </w:tcBorders>
            <w:hideMark/>
          </w:tcPr>
          <w:p w14:paraId="12A41181" w14:textId="77777777" w:rsidR="00F575C1" w:rsidRPr="008B1975" w:rsidRDefault="00F575C1" w:rsidP="00FB42CC">
            <w:pPr>
              <w:pStyle w:val="Tabletext"/>
            </w:pPr>
            <w:r w:rsidRPr="008B1975">
              <w:t>None</w:t>
            </w:r>
          </w:p>
        </w:tc>
        <w:tc>
          <w:tcPr>
            <w:tcW w:w="1667" w:type="pct"/>
            <w:tcBorders>
              <w:top w:val="single" w:sz="12" w:space="0" w:color="auto"/>
              <w:left w:val="nil"/>
              <w:bottom w:val="single" w:sz="12" w:space="0" w:color="auto"/>
              <w:right w:val="nil"/>
            </w:tcBorders>
            <w:hideMark/>
          </w:tcPr>
          <w:p w14:paraId="3B404F44" w14:textId="77777777" w:rsidR="00F575C1" w:rsidRPr="008B1975" w:rsidRDefault="00F575C1" w:rsidP="00FB42CC">
            <w:pPr>
              <w:pStyle w:val="Tabletext"/>
            </w:pPr>
            <w:r w:rsidRPr="008B1975">
              <w:t>None</w:t>
            </w:r>
          </w:p>
        </w:tc>
      </w:tr>
    </w:tbl>
    <w:p w14:paraId="4CB3C75A" w14:textId="77777777" w:rsidR="00A700BB" w:rsidRPr="008B1975" w:rsidRDefault="000A511B" w:rsidP="000A511B">
      <w:pPr>
        <w:pStyle w:val="ItemHead"/>
      </w:pPr>
      <w:bookmarkStart w:id="138" w:name="_Ref185259566"/>
      <w:bookmarkStart w:id="139" w:name="_Ref180597505"/>
      <w:bookmarkEnd w:id="137"/>
      <w:r w:rsidRPr="008B1975">
        <w:t xml:space="preserve">22  </w:t>
      </w:r>
      <w:r w:rsidR="00A700BB" w:rsidRPr="008B1975">
        <w:t>Section 9.11</w:t>
      </w:r>
      <w:bookmarkEnd w:id="138"/>
    </w:p>
    <w:p w14:paraId="27F3A475" w14:textId="77777777" w:rsidR="00A700BB" w:rsidRPr="008B1975" w:rsidRDefault="00A700BB" w:rsidP="00A700BB">
      <w:pPr>
        <w:pStyle w:val="Item"/>
      </w:pPr>
      <w:r w:rsidRPr="008B1975">
        <w:t>Before “An”, insert “(1)”.</w:t>
      </w:r>
    </w:p>
    <w:p w14:paraId="48F8F166" w14:textId="77777777" w:rsidR="00A700BB" w:rsidRPr="008B1975" w:rsidRDefault="000A511B" w:rsidP="000A511B">
      <w:pPr>
        <w:pStyle w:val="ItemHead"/>
      </w:pPr>
      <w:bookmarkStart w:id="140" w:name="_Ref185259544"/>
      <w:r w:rsidRPr="008B1975">
        <w:t xml:space="preserve">23  </w:t>
      </w:r>
      <w:r w:rsidR="00A700BB" w:rsidRPr="008B1975">
        <w:t>Section 9.11 (table)</w:t>
      </w:r>
      <w:bookmarkEnd w:id="140"/>
    </w:p>
    <w:p w14:paraId="1151A82E" w14:textId="77777777" w:rsidR="00A700BB" w:rsidRPr="008B1975" w:rsidRDefault="00A700BB" w:rsidP="00A700BB">
      <w:pPr>
        <w:pStyle w:val="Item"/>
      </w:pPr>
      <w:r w:rsidRPr="008B1975">
        <w:t>Repeal the table, substitute:</w:t>
      </w:r>
    </w:p>
    <w:p w14:paraId="04ADA330" w14:textId="77777777" w:rsidR="00A700BB" w:rsidRPr="008B1975" w:rsidRDefault="00A700BB" w:rsidP="00A700BB">
      <w:pPr>
        <w:pStyle w:val="subsection"/>
      </w:pPr>
      <w:r w:rsidRPr="008B1975">
        <w:tab/>
        <w:t>(2)</w:t>
      </w:r>
      <w:r w:rsidRPr="008B1975">
        <w:tab/>
        <w:t>The following table specifies conveyances, premises and infrastructure this section applies to.</w:t>
      </w:r>
    </w:p>
    <w:p w14:paraId="145A1DF0" w14:textId="77777777" w:rsidR="00A700BB" w:rsidRPr="008B1975" w:rsidRDefault="00A700BB" w:rsidP="00A700B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700BB" w:rsidRPr="008B1975" w14:paraId="5E3364A6"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603B4E30" w14:textId="77777777" w:rsidR="00A700BB" w:rsidRPr="008B1975" w:rsidRDefault="00A700BB" w:rsidP="0017016F">
            <w:pPr>
              <w:pStyle w:val="TableHeading"/>
            </w:pPr>
            <w:r w:rsidRPr="008B1975">
              <w:t>Application of this section</w:t>
            </w:r>
          </w:p>
        </w:tc>
      </w:tr>
      <w:tr w:rsidR="00A700BB" w:rsidRPr="008B1975" w14:paraId="5315E602" w14:textId="77777777" w:rsidTr="004E6262">
        <w:trPr>
          <w:trHeight w:val="300"/>
          <w:tblHeader/>
        </w:trPr>
        <w:tc>
          <w:tcPr>
            <w:tcW w:w="1667" w:type="pct"/>
            <w:tcBorders>
              <w:top w:val="single" w:sz="6" w:space="0" w:color="auto"/>
              <w:left w:val="nil"/>
              <w:bottom w:val="single" w:sz="12" w:space="0" w:color="auto"/>
              <w:right w:val="nil"/>
            </w:tcBorders>
            <w:hideMark/>
          </w:tcPr>
          <w:p w14:paraId="74A90CA4" w14:textId="77777777" w:rsidR="00A700BB" w:rsidRPr="008B1975" w:rsidRDefault="00A700BB" w:rsidP="0017016F">
            <w:pPr>
              <w:pStyle w:val="TableHeading"/>
            </w:pPr>
            <w:r w:rsidRPr="008B1975">
              <w:t>Conveyances</w:t>
            </w:r>
          </w:p>
        </w:tc>
        <w:tc>
          <w:tcPr>
            <w:tcW w:w="1667" w:type="pct"/>
            <w:tcBorders>
              <w:top w:val="single" w:sz="6" w:space="0" w:color="auto"/>
              <w:left w:val="nil"/>
              <w:bottom w:val="single" w:sz="12" w:space="0" w:color="auto"/>
              <w:right w:val="nil"/>
            </w:tcBorders>
            <w:hideMark/>
          </w:tcPr>
          <w:p w14:paraId="1456F5B4" w14:textId="77777777" w:rsidR="00A700BB" w:rsidRPr="008B1975" w:rsidRDefault="00A700BB" w:rsidP="0017016F">
            <w:pPr>
              <w:pStyle w:val="TableHeading"/>
            </w:pPr>
            <w:r w:rsidRPr="008B1975">
              <w:t>Premises</w:t>
            </w:r>
          </w:p>
        </w:tc>
        <w:tc>
          <w:tcPr>
            <w:tcW w:w="1667" w:type="pct"/>
            <w:tcBorders>
              <w:top w:val="single" w:sz="6" w:space="0" w:color="auto"/>
              <w:left w:val="nil"/>
              <w:bottom w:val="single" w:sz="12" w:space="0" w:color="auto"/>
              <w:right w:val="nil"/>
            </w:tcBorders>
            <w:hideMark/>
          </w:tcPr>
          <w:p w14:paraId="671CB342" w14:textId="77777777" w:rsidR="00A700BB" w:rsidRPr="008B1975" w:rsidRDefault="00A700BB" w:rsidP="0017016F">
            <w:pPr>
              <w:pStyle w:val="TableHeading"/>
            </w:pPr>
            <w:r w:rsidRPr="008B1975">
              <w:t>Infrastructure</w:t>
            </w:r>
          </w:p>
        </w:tc>
      </w:tr>
      <w:tr w:rsidR="00A700BB" w:rsidRPr="008B1975" w14:paraId="28160E7D" w14:textId="77777777" w:rsidTr="004E6262">
        <w:trPr>
          <w:trHeight w:val="300"/>
        </w:trPr>
        <w:tc>
          <w:tcPr>
            <w:tcW w:w="1667" w:type="pct"/>
            <w:tcBorders>
              <w:top w:val="single" w:sz="12" w:space="0" w:color="auto"/>
              <w:left w:val="nil"/>
              <w:bottom w:val="single" w:sz="12" w:space="0" w:color="auto"/>
              <w:right w:val="nil"/>
            </w:tcBorders>
            <w:hideMark/>
          </w:tcPr>
          <w:p w14:paraId="0A25BE4F" w14:textId="77777777" w:rsidR="00A700BB" w:rsidRPr="008B1975" w:rsidRDefault="00A700BB" w:rsidP="0017016F">
            <w:pPr>
              <w:pStyle w:val="Tablea"/>
            </w:pPr>
            <w:r w:rsidRPr="008B1975">
              <w:t>The following:</w:t>
            </w:r>
          </w:p>
          <w:p w14:paraId="65029F89" w14:textId="77777777" w:rsidR="00A700BB" w:rsidRPr="008B1975" w:rsidRDefault="00A700BB" w:rsidP="0017016F">
            <w:pPr>
              <w:pStyle w:val="Tablea"/>
            </w:pPr>
            <w:r w:rsidRPr="008B1975">
              <w:t xml:space="preserve">(a) </w:t>
            </w:r>
            <w:r w:rsidR="00240824" w:rsidRPr="008B1975">
              <w:t>b</w:t>
            </w:r>
            <w:r w:rsidR="0017016F" w:rsidRPr="008B1975">
              <w:t>uses</w:t>
            </w:r>
            <w:r w:rsidR="00677B66" w:rsidRPr="008B1975">
              <w:t>,</w:t>
            </w:r>
            <w:r w:rsidR="0017016F" w:rsidRPr="008B1975">
              <w:t xml:space="preserve"> except dedicated school buses</w:t>
            </w:r>
            <w:r w:rsidR="00677B66" w:rsidRPr="008B1975">
              <w:t>;</w:t>
            </w:r>
          </w:p>
          <w:p w14:paraId="30AF2582" w14:textId="77777777" w:rsidR="00A700BB" w:rsidRPr="008B1975" w:rsidRDefault="00A700BB" w:rsidP="0017016F">
            <w:pPr>
              <w:pStyle w:val="Tablea"/>
            </w:pPr>
            <w:r w:rsidRPr="008B1975">
              <w:t xml:space="preserve">(b) </w:t>
            </w:r>
            <w:r w:rsidR="00240824" w:rsidRPr="008B1975">
              <w:t>t</w:t>
            </w:r>
            <w:r w:rsidR="0017016F" w:rsidRPr="008B1975">
              <w:t>rams</w:t>
            </w:r>
            <w:r w:rsidR="00677B66" w:rsidRPr="008B1975">
              <w:t>;</w:t>
            </w:r>
          </w:p>
          <w:p w14:paraId="4A3EC4CB" w14:textId="77777777" w:rsidR="0017016F" w:rsidRPr="008B1975" w:rsidRDefault="0017016F" w:rsidP="0017016F">
            <w:pPr>
              <w:pStyle w:val="Tablea"/>
            </w:pPr>
            <w:r w:rsidRPr="008B1975">
              <w:t xml:space="preserve">(c) </w:t>
            </w:r>
            <w:r w:rsidR="00240824" w:rsidRPr="008B1975">
              <w:t>l</w:t>
            </w:r>
            <w:r w:rsidRPr="008B1975">
              <w:t>ight rail</w:t>
            </w:r>
          </w:p>
        </w:tc>
        <w:tc>
          <w:tcPr>
            <w:tcW w:w="1667" w:type="pct"/>
            <w:tcBorders>
              <w:top w:val="single" w:sz="12" w:space="0" w:color="auto"/>
              <w:left w:val="nil"/>
              <w:bottom w:val="single" w:sz="12" w:space="0" w:color="auto"/>
              <w:right w:val="nil"/>
            </w:tcBorders>
            <w:hideMark/>
          </w:tcPr>
          <w:p w14:paraId="65106E0B" w14:textId="77777777" w:rsidR="00A700BB" w:rsidRPr="008B1975" w:rsidRDefault="00A700BB" w:rsidP="0017016F">
            <w:pPr>
              <w:pStyle w:val="Tabletext"/>
            </w:pPr>
            <w:r w:rsidRPr="008B1975">
              <w:t>None</w:t>
            </w:r>
          </w:p>
        </w:tc>
        <w:tc>
          <w:tcPr>
            <w:tcW w:w="1667" w:type="pct"/>
            <w:tcBorders>
              <w:top w:val="single" w:sz="12" w:space="0" w:color="auto"/>
              <w:left w:val="nil"/>
              <w:bottom w:val="single" w:sz="12" w:space="0" w:color="auto"/>
              <w:right w:val="nil"/>
            </w:tcBorders>
            <w:hideMark/>
          </w:tcPr>
          <w:p w14:paraId="425A9515" w14:textId="77777777" w:rsidR="00A700BB" w:rsidRPr="008B1975" w:rsidRDefault="00A700BB" w:rsidP="0017016F">
            <w:pPr>
              <w:pStyle w:val="Tabletext"/>
            </w:pPr>
            <w:r w:rsidRPr="008B1975">
              <w:t>None</w:t>
            </w:r>
          </w:p>
        </w:tc>
      </w:tr>
    </w:tbl>
    <w:p w14:paraId="71368C4D" w14:textId="77777777" w:rsidR="008D0C53" w:rsidRPr="008B1975" w:rsidRDefault="000A511B" w:rsidP="000A511B">
      <w:pPr>
        <w:pStyle w:val="ItemHead"/>
      </w:pPr>
      <w:bookmarkStart w:id="141" w:name="_Ref185257233"/>
      <w:bookmarkStart w:id="142" w:name="_Ref185259626"/>
      <w:r w:rsidRPr="008B1975">
        <w:lastRenderedPageBreak/>
        <w:t xml:space="preserve">24  </w:t>
      </w:r>
      <w:r w:rsidR="008D0C53" w:rsidRPr="008B1975">
        <w:t>At the end of Part 9</w:t>
      </w:r>
      <w:bookmarkEnd w:id="139"/>
      <w:bookmarkEnd w:id="141"/>
      <w:bookmarkEnd w:id="142"/>
    </w:p>
    <w:p w14:paraId="54B15D55" w14:textId="77777777" w:rsidR="008D0C53" w:rsidRPr="008B1975" w:rsidRDefault="008D0C53" w:rsidP="008D0C53">
      <w:pPr>
        <w:pStyle w:val="Item"/>
      </w:pPr>
      <w:r w:rsidRPr="008B1975">
        <w:t>Add:</w:t>
      </w:r>
    </w:p>
    <w:p w14:paraId="33566D5B" w14:textId="77777777" w:rsidR="008D0C53" w:rsidRPr="008B1975" w:rsidRDefault="008D0C53" w:rsidP="001715D4">
      <w:pPr>
        <w:pStyle w:val="ActHead5"/>
        <w:outlineLvl w:val="9"/>
      </w:pPr>
      <w:r w:rsidRPr="008B1975">
        <w:t xml:space="preserve">9.12  Access for </w:t>
      </w:r>
      <w:r w:rsidR="00677B66" w:rsidRPr="008B1975">
        <w:t>persons</w:t>
      </w:r>
      <w:r w:rsidRPr="008B1975">
        <w:t xml:space="preserve"> in wheelchairs etc</w:t>
      </w:r>
    </w:p>
    <w:p w14:paraId="15AE0FFB" w14:textId="77777777" w:rsidR="008D0C53" w:rsidRPr="008B1975" w:rsidRDefault="008D0C53" w:rsidP="008D0C53">
      <w:pPr>
        <w:pStyle w:val="subsection"/>
      </w:pPr>
      <w:r w:rsidRPr="008B1975">
        <w:tab/>
      </w:r>
      <w:r w:rsidR="00677B66" w:rsidRPr="008B1975">
        <w:t>(1)</w:t>
      </w:r>
      <w:r w:rsidRPr="008B1975">
        <w:tab/>
      </w:r>
      <w:r w:rsidR="00677B66" w:rsidRPr="008B1975">
        <w:t>Persons</w:t>
      </w:r>
      <w:r w:rsidRPr="008B1975">
        <w:t xml:space="preserve"> in wheelchairs or mobility aids must be able to enter and exit a conveyance and position their aids in the allocated space.</w:t>
      </w:r>
    </w:p>
    <w:p w14:paraId="51A7D471" w14:textId="77777777" w:rsidR="008D0C53" w:rsidRPr="008B1975" w:rsidRDefault="008D0C53" w:rsidP="008D0C53">
      <w:pPr>
        <w:pStyle w:val="subsection"/>
      </w:pPr>
      <w:r w:rsidRPr="008B1975">
        <w:tab/>
      </w:r>
      <w:r w:rsidR="00677B66" w:rsidRPr="008B1975">
        <w:t>(2)</w:t>
      </w:r>
      <w:r w:rsidRPr="008B1975">
        <w:tab/>
        <w:t>If this is not practicable, operators must provide equivalent access by direct assistance.</w:t>
      </w:r>
    </w:p>
    <w:p w14:paraId="2E8DDF19" w14:textId="77777777" w:rsidR="008D0C53" w:rsidRPr="008B1975" w:rsidRDefault="008D0C53" w:rsidP="008D0C53">
      <w:pPr>
        <w:pStyle w:val="notetext"/>
      </w:pPr>
      <w:r w:rsidRPr="008B1975">
        <w:t>Note 1:</w:t>
      </w:r>
      <w:r w:rsidRPr="008B1975">
        <w:tab/>
        <w:t>See Part 3 in relation to manoeuvring areas in allocated spaces.</w:t>
      </w:r>
    </w:p>
    <w:p w14:paraId="13B49914" w14:textId="77777777" w:rsidR="008D0C53" w:rsidRPr="008B1975" w:rsidRDefault="008D0C53" w:rsidP="008D0C53">
      <w:pPr>
        <w:pStyle w:val="notetext"/>
      </w:pPr>
      <w:r w:rsidRPr="008B1975">
        <w:t>Note 2:</w:t>
      </w:r>
      <w:r w:rsidRPr="008B1975">
        <w:tab/>
        <w:t>See sections 33.3 to 33.6 in relation to equivalent access and direct assistance.</w:t>
      </w:r>
    </w:p>
    <w:p w14:paraId="12614353" w14:textId="77777777" w:rsidR="00792251" w:rsidRPr="008B1975" w:rsidRDefault="00792251" w:rsidP="00792251">
      <w:pPr>
        <w:pStyle w:val="subsection"/>
      </w:pPr>
      <w:r w:rsidRPr="008B1975">
        <w:tab/>
        <w:t>(3)</w:t>
      </w:r>
      <w:r w:rsidRPr="008B1975">
        <w:tab/>
        <w:t>The following table specifies conveyances, premises and infrastructure this section applies to.</w:t>
      </w:r>
    </w:p>
    <w:p w14:paraId="38607D54" w14:textId="77777777" w:rsidR="00792251" w:rsidRPr="008B1975" w:rsidRDefault="00792251" w:rsidP="007922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92251" w:rsidRPr="008B1975" w14:paraId="79239658" w14:textId="77777777" w:rsidTr="00792251">
        <w:trPr>
          <w:trHeight w:val="300"/>
          <w:tblHeader/>
        </w:trPr>
        <w:tc>
          <w:tcPr>
            <w:tcW w:w="5000" w:type="pct"/>
            <w:gridSpan w:val="3"/>
            <w:tcBorders>
              <w:top w:val="single" w:sz="12" w:space="0" w:color="auto"/>
              <w:left w:val="nil"/>
              <w:bottom w:val="single" w:sz="6" w:space="0" w:color="auto"/>
              <w:right w:val="nil"/>
            </w:tcBorders>
            <w:hideMark/>
          </w:tcPr>
          <w:p w14:paraId="68B4BF81" w14:textId="77777777" w:rsidR="00792251" w:rsidRPr="008B1975" w:rsidRDefault="00792251" w:rsidP="00792251">
            <w:pPr>
              <w:pStyle w:val="TableHeading"/>
            </w:pPr>
            <w:r w:rsidRPr="008B1975">
              <w:t>Application of this section</w:t>
            </w:r>
          </w:p>
        </w:tc>
      </w:tr>
      <w:tr w:rsidR="00792251" w:rsidRPr="008B1975" w14:paraId="6171D787" w14:textId="77777777" w:rsidTr="004E6262">
        <w:trPr>
          <w:trHeight w:val="300"/>
          <w:tblHeader/>
        </w:trPr>
        <w:tc>
          <w:tcPr>
            <w:tcW w:w="1667" w:type="pct"/>
            <w:tcBorders>
              <w:top w:val="single" w:sz="6" w:space="0" w:color="auto"/>
              <w:left w:val="nil"/>
              <w:bottom w:val="single" w:sz="12" w:space="0" w:color="auto"/>
              <w:right w:val="nil"/>
            </w:tcBorders>
            <w:hideMark/>
          </w:tcPr>
          <w:p w14:paraId="654BB00B" w14:textId="77777777" w:rsidR="00792251" w:rsidRPr="008B1975" w:rsidRDefault="00792251" w:rsidP="00792251">
            <w:pPr>
              <w:pStyle w:val="TableHeading"/>
            </w:pPr>
            <w:r w:rsidRPr="008B1975">
              <w:t>Conveyances</w:t>
            </w:r>
          </w:p>
        </w:tc>
        <w:tc>
          <w:tcPr>
            <w:tcW w:w="1667" w:type="pct"/>
            <w:tcBorders>
              <w:top w:val="single" w:sz="6" w:space="0" w:color="auto"/>
              <w:left w:val="nil"/>
              <w:bottom w:val="single" w:sz="12" w:space="0" w:color="auto"/>
              <w:right w:val="nil"/>
            </w:tcBorders>
            <w:hideMark/>
          </w:tcPr>
          <w:p w14:paraId="23AD7C6D" w14:textId="77777777" w:rsidR="00792251" w:rsidRPr="008B1975" w:rsidRDefault="00792251" w:rsidP="00792251">
            <w:pPr>
              <w:pStyle w:val="TableHeading"/>
            </w:pPr>
            <w:r w:rsidRPr="008B1975">
              <w:t>Premises</w:t>
            </w:r>
          </w:p>
        </w:tc>
        <w:tc>
          <w:tcPr>
            <w:tcW w:w="1667" w:type="pct"/>
            <w:tcBorders>
              <w:top w:val="single" w:sz="6" w:space="0" w:color="auto"/>
              <w:left w:val="nil"/>
              <w:bottom w:val="single" w:sz="12" w:space="0" w:color="auto"/>
              <w:right w:val="nil"/>
            </w:tcBorders>
            <w:hideMark/>
          </w:tcPr>
          <w:p w14:paraId="518B20B0" w14:textId="77777777" w:rsidR="00792251" w:rsidRPr="008B1975" w:rsidRDefault="00792251" w:rsidP="00792251">
            <w:pPr>
              <w:pStyle w:val="TableHeading"/>
            </w:pPr>
            <w:r w:rsidRPr="008B1975">
              <w:t>Infrastructure</w:t>
            </w:r>
          </w:p>
        </w:tc>
      </w:tr>
      <w:tr w:rsidR="00792251" w:rsidRPr="008B1975" w14:paraId="28149C66" w14:textId="77777777" w:rsidTr="004E6262">
        <w:trPr>
          <w:trHeight w:val="300"/>
        </w:trPr>
        <w:tc>
          <w:tcPr>
            <w:tcW w:w="1667" w:type="pct"/>
            <w:tcBorders>
              <w:top w:val="single" w:sz="12" w:space="0" w:color="auto"/>
              <w:left w:val="nil"/>
              <w:bottom w:val="single" w:sz="12" w:space="0" w:color="auto"/>
              <w:right w:val="nil"/>
            </w:tcBorders>
            <w:hideMark/>
          </w:tcPr>
          <w:p w14:paraId="67663CD8" w14:textId="77777777" w:rsidR="00792251" w:rsidRPr="008B1975" w:rsidRDefault="00792251" w:rsidP="00AB5026">
            <w:pPr>
              <w:pStyle w:val="Tabletext"/>
            </w:pPr>
            <w:r w:rsidRPr="008B1975">
              <w:t>The following:</w:t>
            </w:r>
          </w:p>
          <w:p w14:paraId="58390C66" w14:textId="77777777" w:rsidR="00792251" w:rsidRPr="008B1975" w:rsidRDefault="00792251" w:rsidP="00792251">
            <w:pPr>
              <w:pStyle w:val="Tablea"/>
            </w:pPr>
            <w:r w:rsidRPr="008B1975">
              <w:t>(a) buses, except dedicated school buses;</w:t>
            </w:r>
          </w:p>
          <w:p w14:paraId="1F9D8E68" w14:textId="77777777" w:rsidR="00792251" w:rsidRPr="008B1975" w:rsidRDefault="00792251" w:rsidP="00792251">
            <w:pPr>
              <w:pStyle w:val="Tablea"/>
            </w:pPr>
            <w:r w:rsidRPr="008B1975">
              <w:t>(b) ferries;</w:t>
            </w:r>
          </w:p>
          <w:p w14:paraId="7A6CEE17" w14:textId="77777777" w:rsidR="00792251" w:rsidRPr="008B1975" w:rsidRDefault="00792251" w:rsidP="00792251">
            <w:pPr>
              <w:pStyle w:val="Tablea"/>
            </w:pPr>
            <w:r w:rsidRPr="008B1975">
              <w:t>(c) accessible rail cars;</w:t>
            </w:r>
          </w:p>
          <w:p w14:paraId="3FF6DF0B" w14:textId="77777777" w:rsidR="00792251" w:rsidRPr="008B1975" w:rsidRDefault="00792251" w:rsidP="00792251">
            <w:pPr>
              <w:pStyle w:val="Tablea"/>
            </w:pPr>
            <w:r w:rsidRPr="008B1975">
              <w:t>(d) accessible tram cars;</w:t>
            </w:r>
          </w:p>
          <w:p w14:paraId="7CD7780B" w14:textId="77777777" w:rsidR="00792251" w:rsidRPr="008B1975" w:rsidRDefault="00792251" w:rsidP="00FF5F81">
            <w:pPr>
              <w:pStyle w:val="Tablea"/>
            </w:pPr>
            <w:r w:rsidRPr="008B1975">
              <w:t>(e) accessible light rail cars</w:t>
            </w:r>
          </w:p>
        </w:tc>
        <w:tc>
          <w:tcPr>
            <w:tcW w:w="1667" w:type="pct"/>
            <w:tcBorders>
              <w:top w:val="single" w:sz="12" w:space="0" w:color="auto"/>
              <w:left w:val="nil"/>
              <w:bottom w:val="single" w:sz="12" w:space="0" w:color="auto"/>
              <w:right w:val="nil"/>
            </w:tcBorders>
            <w:hideMark/>
          </w:tcPr>
          <w:p w14:paraId="71253009" w14:textId="77777777" w:rsidR="00792251" w:rsidRPr="008B1975" w:rsidRDefault="00792251" w:rsidP="00792251">
            <w:pPr>
              <w:pStyle w:val="Tabletext"/>
            </w:pPr>
            <w:r w:rsidRPr="008B1975">
              <w:t>None</w:t>
            </w:r>
          </w:p>
        </w:tc>
        <w:tc>
          <w:tcPr>
            <w:tcW w:w="1667" w:type="pct"/>
            <w:tcBorders>
              <w:top w:val="single" w:sz="12" w:space="0" w:color="auto"/>
              <w:left w:val="nil"/>
              <w:bottom w:val="single" w:sz="12" w:space="0" w:color="auto"/>
              <w:right w:val="nil"/>
            </w:tcBorders>
            <w:hideMark/>
          </w:tcPr>
          <w:p w14:paraId="3AB0B4CB" w14:textId="77777777" w:rsidR="00792251" w:rsidRPr="008B1975" w:rsidRDefault="00792251" w:rsidP="00792251">
            <w:pPr>
              <w:pStyle w:val="Tabletext"/>
            </w:pPr>
            <w:r w:rsidRPr="008B1975">
              <w:t>None</w:t>
            </w:r>
          </w:p>
        </w:tc>
      </w:tr>
    </w:tbl>
    <w:p w14:paraId="39C0C7ED" w14:textId="77777777" w:rsidR="00824838" w:rsidRPr="008B1975" w:rsidRDefault="00824838" w:rsidP="00824838">
      <w:pPr>
        <w:pStyle w:val="ActHead6"/>
        <w:pageBreakBefore/>
        <w:rPr>
          <w:rStyle w:val="CharAmSchText"/>
        </w:rPr>
      </w:pPr>
      <w:bookmarkStart w:id="143" w:name="_Toc197178948"/>
      <w:r w:rsidRPr="008B1975">
        <w:lastRenderedPageBreak/>
        <w:t>Schedule 10—Part 10 (Surfaces) Amendments</w:t>
      </w:r>
      <w:bookmarkEnd w:id="143"/>
    </w:p>
    <w:p w14:paraId="33C2A4E4" w14:textId="77777777" w:rsidR="00824838" w:rsidRPr="008B1975" w:rsidRDefault="00824838" w:rsidP="00824838">
      <w:pPr>
        <w:pStyle w:val="ActHead9"/>
      </w:pPr>
      <w:bookmarkStart w:id="144" w:name="_Toc197178949"/>
      <w:r w:rsidRPr="008B1975">
        <w:t>Disability Standards for Accessible Public Transport 2002</w:t>
      </w:r>
      <w:bookmarkEnd w:id="144"/>
    </w:p>
    <w:p w14:paraId="4D3C97D8" w14:textId="77777777" w:rsidR="00A01F22" w:rsidRPr="008B1975" w:rsidRDefault="000A511B" w:rsidP="000A511B">
      <w:pPr>
        <w:pStyle w:val="ItemHead"/>
      </w:pPr>
      <w:bookmarkStart w:id="145" w:name="_Ref185260146"/>
      <w:r w:rsidRPr="008B1975">
        <w:t xml:space="preserve">1  </w:t>
      </w:r>
      <w:r w:rsidR="00A01F22" w:rsidRPr="008B1975">
        <w:t>Section 10.1</w:t>
      </w:r>
      <w:bookmarkEnd w:id="145"/>
    </w:p>
    <w:p w14:paraId="289A0B38" w14:textId="77777777" w:rsidR="00A01F22" w:rsidRPr="008B1975" w:rsidRDefault="00A01F22" w:rsidP="008F27E0">
      <w:pPr>
        <w:pStyle w:val="Item"/>
      </w:pPr>
      <w:r w:rsidRPr="008B1975">
        <w:t>Repeal the section, substitute:</w:t>
      </w:r>
    </w:p>
    <w:p w14:paraId="38AD1D57" w14:textId="77777777" w:rsidR="00A01F22" w:rsidRPr="008B1975" w:rsidRDefault="00A01F22" w:rsidP="008F27E0">
      <w:pPr>
        <w:pStyle w:val="ActHead5"/>
        <w:outlineLvl w:val="9"/>
      </w:pPr>
      <w:r w:rsidRPr="008B1975">
        <w:t>10.1  Compliance with Australian Standards for conveyance surfaces</w:t>
      </w:r>
    </w:p>
    <w:p w14:paraId="644B5CB5" w14:textId="77777777" w:rsidR="00A01F22" w:rsidRPr="008B1975" w:rsidRDefault="00A01F22" w:rsidP="008F27E0">
      <w:pPr>
        <w:pStyle w:val="subsection"/>
      </w:pPr>
      <w:r w:rsidRPr="008B1975">
        <w:tab/>
        <w:t>(1)</w:t>
      </w:r>
      <w:r w:rsidRPr="008B1975">
        <w:tab/>
        <w:t>Ground and floor surfaces must comply with clauses 4.1 and 4.2 of AS 1428.1 (20</w:t>
      </w:r>
      <w:r w:rsidR="00BC7B4B" w:rsidRPr="008B1975">
        <w:t>2</w:t>
      </w:r>
      <w:r w:rsidRPr="008B1975">
        <w:t>1).</w:t>
      </w:r>
    </w:p>
    <w:p w14:paraId="3A307E3F" w14:textId="77777777" w:rsidR="00A01F22" w:rsidRPr="008B1975" w:rsidRDefault="00A01F22" w:rsidP="008F27E0">
      <w:pPr>
        <w:pStyle w:val="notetext"/>
      </w:pPr>
      <w:r w:rsidRPr="008B1975">
        <w:t>Note:</w:t>
      </w:r>
      <w:r w:rsidRPr="008B1975">
        <w:tab/>
        <w:t>Clause 4.1 and 4.2 are found in section 4 of AS 1428.1 (2021). That section deals with floor or ground surfaces on continuous accessible paths of travel and circulation spaces.</w:t>
      </w:r>
    </w:p>
    <w:p w14:paraId="7167FF57" w14:textId="77777777" w:rsidR="00A01F22" w:rsidRPr="008B1975" w:rsidRDefault="00A01F22" w:rsidP="008F27E0">
      <w:pPr>
        <w:pStyle w:val="subsection"/>
      </w:pPr>
      <w:r w:rsidRPr="008B1975">
        <w:tab/>
        <w:t>(2)</w:t>
      </w:r>
      <w:r w:rsidRPr="008B1975">
        <w:tab/>
        <w:t>The following table specifies conveyances, premises and infrastructure this section applies to.</w:t>
      </w:r>
    </w:p>
    <w:p w14:paraId="3DBB9F3F" w14:textId="77777777" w:rsidR="00A01F22" w:rsidRPr="008B1975" w:rsidRDefault="00A01F22"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1F22" w:rsidRPr="008B1975" w14:paraId="5E71EFEE" w14:textId="77777777" w:rsidTr="00E93C13">
        <w:trPr>
          <w:trHeight w:val="300"/>
          <w:tblHeader/>
        </w:trPr>
        <w:tc>
          <w:tcPr>
            <w:tcW w:w="5000" w:type="pct"/>
            <w:gridSpan w:val="3"/>
            <w:tcBorders>
              <w:top w:val="single" w:sz="12" w:space="0" w:color="auto"/>
              <w:left w:val="nil"/>
              <w:bottom w:val="single" w:sz="6" w:space="0" w:color="auto"/>
              <w:right w:val="nil"/>
            </w:tcBorders>
            <w:hideMark/>
          </w:tcPr>
          <w:p w14:paraId="61D90A6D" w14:textId="77777777" w:rsidR="00A01F22" w:rsidRPr="008B1975" w:rsidRDefault="00A01F22" w:rsidP="008F27E0">
            <w:pPr>
              <w:pStyle w:val="TableHeading"/>
            </w:pPr>
            <w:r w:rsidRPr="008B1975">
              <w:t>Application of this section</w:t>
            </w:r>
          </w:p>
        </w:tc>
      </w:tr>
      <w:tr w:rsidR="00A01F22" w:rsidRPr="008B1975" w14:paraId="763AC250" w14:textId="77777777" w:rsidTr="004E6262">
        <w:trPr>
          <w:trHeight w:val="300"/>
          <w:tblHeader/>
        </w:trPr>
        <w:tc>
          <w:tcPr>
            <w:tcW w:w="1667" w:type="pct"/>
            <w:tcBorders>
              <w:top w:val="single" w:sz="6" w:space="0" w:color="auto"/>
              <w:left w:val="nil"/>
              <w:bottom w:val="single" w:sz="12" w:space="0" w:color="auto"/>
              <w:right w:val="nil"/>
            </w:tcBorders>
            <w:hideMark/>
          </w:tcPr>
          <w:p w14:paraId="540E72B9" w14:textId="77777777" w:rsidR="00A01F22" w:rsidRPr="008B1975" w:rsidRDefault="00A01F22"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49540750" w14:textId="77777777" w:rsidR="00A01F22" w:rsidRPr="008B1975" w:rsidRDefault="00A01F22"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37A95550" w14:textId="77777777" w:rsidR="00A01F22" w:rsidRPr="008B1975" w:rsidRDefault="00A01F22" w:rsidP="008F27E0">
            <w:pPr>
              <w:pStyle w:val="TableHeading"/>
            </w:pPr>
            <w:r w:rsidRPr="008B1975">
              <w:t>Infrastructure</w:t>
            </w:r>
          </w:p>
        </w:tc>
      </w:tr>
      <w:tr w:rsidR="00A01F22" w:rsidRPr="008B1975" w14:paraId="4AAF3762" w14:textId="77777777" w:rsidTr="004E6262">
        <w:trPr>
          <w:trHeight w:val="300"/>
        </w:trPr>
        <w:tc>
          <w:tcPr>
            <w:tcW w:w="1667" w:type="pct"/>
            <w:tcBorders>
              <w:top w:val="single" w:sz="12" w:space="0" w:color="auto"/>
              <w:left w:val="nil"/>
              <w:bottom w:val="single" w:sz="12" w:space="0" w:color="auto"/>
              <w:right w:val="nil"/>
            </w:tcBorders>
            <w:hideMark/>
          </w:tcPr>
          <w:p w14:paraId="473D789D" w14:textId="77777777" w:rsidR="00A01F22" w:rsidRPr="008B1975" w:rsidRDefault="00A01F22" w:rsidP="008F27E0">
            <w:pPr>
              <w:pStyle w:val="Tabletext"/>
            </w:pPr>
            <w:r w:rsidRPr="008B1975">
              <w:t>The following:</w:t>
            </w:r>
          </w:p>
          <w:p w14:paraId="1C48FB20" w14:textId="77777777" w:rsidR="00A01F22" w:rsidRPr="008B1975" w:rsidRDefault="00A01F22" w:rsidP="008F27E0">
            <w:pPr>
              <w:pStyle w:val="Tablea"/>
            </w:pPr>
            <w:r w:rsidRPr="008B1975">
              <w:t>(a) buses, except dedicated school buses;</w:t>
            </w:r>
          </w:p>
          <w:p w14:paraId="36D6B72B" w14:textId="2075FB54" w:rsidR="00AC7D8D" w:rsidRPr="008B1975" w:rsidRDefault="00AC7D8D" w:rsidP="008F27E0">
            <w:pPr>
              <w:pStyle w:val="Tablea"/>
            </w:pPr>
            <w:r w:rsidRPr="008B1975">
              <w:t>(b) coaches</w:t>
            </w:r>
            <w:r w:rsidR="00F6301D" w:rsidRPr="008B1975">
              <w:t>;</w:t>
            </w:r>
          </w:p>
          <w:p w14:paraId="663DBD77" w14:textId="77777777" w:rsidR="00A01F22" w:rsidRPr="008B1975" w:rsidRDefault="00A01F22" w:rsidP="008F27E0">
            <w:pPr>
              <w:pStyle w:val="Tablea"/>
            </w:pPr>
            <w:r w:rsidRPr="008B1975">
              <w:t>(</w:t>
            </w:r>
            <w:r w:rsidR="00AC7D8D" w:rsidRPr="008B1975">
              <w:t>c</w:t>
            </w:r>
            <w:r w:rsidRPr="008B1975">
              <w:t>) ferries;</w:t>
            </w:r>
          </w:p>
          <w:p w14:paraId="699A7E0E" w14:textId="77777777" w:rsidR="00A01F22" w:rsidRPr="008B1975" w:rsidRDefault="00A01F22" w:rsidP="008F27E0">
            <w:pPr>
              <w:pStyle w:val="Tablea"/>
            </w:pPr>
            <w:r w:rsidRPr="008B1975">
              <w:t>(</w:t>
            </w:r>
            <w:r w:rsidR="00AC7D8D" w:rsidRPr="008B1975">
              <w:t>d</w:t>
            </w:r>
            <w:r w:rsidRPr="008B1975">
              <w:t>) trains;</w:t>
            </w:r>
          </w:p>
          <w:p w14:paraId="66E2DAA4" w14:textId="77777777" w:rsidR="00A01F22" w:rsidRPr="008B1975" w:rsidRDefault="00A01F22" w:rsidP="008F27E0">
            <w:pPr>
              <w:pStyle w:val="Tablea"/>
            </w:pPr>
            <w:r w:rsidRPr="008B1975">
              <w:t>(</w:t>
            </w:r>
            <w:r w:rsidR="00AC7D8D" w:rsidRPr="008B1975">
              <w:t>e</w:t>
            </w:r>
            <w:r w:rsidRPr="008B1975">
              <w:t>) trams;</w:t>
            </w:r>
          </w:p>
          <w:p w14:paraId="27EAB393" w14:textId="77777777" w:rsidR="00A01F22" w:rsidRPr="008B1975" w:rsidRDefault="00A01F22" w:rsidP="008F27E0">
            <w:pPr>
              <w:pStyle w:val="Tablea"/>
            </w:pPr>
            <w:r w:rsidRPr="008B1975">
              <w:t>(</w:t>
            </w:r>
            <w:r w:rsidR="00AC7D8D" w:rsidRPr="008B1975">
              <w:t>f</w:t>
            </w:r>
            <w:r w:rsidRPr="008B1975">
              <w:t>) light rail</w:t>
            </w:r>
          </w:p>
        </w:tc>
        <w:tc>
          <w:tcPr>
            <w:tcW w:w="1667" w:type="pct"/>
            <w:tcBorders>
              <w:top w:val="single" w:sz="12" w:space="0" w:color="auto"/>
              <w:left w:val="nil"/>
              <w:bottom w:val="single" w:sz="12" w:space="0" w:color="auto"/>
              <w:right w:val="nil"/>
            </w:tcBorders>
            <w:hideMark/>
          </w:tcPr>
          <w:p w14:paraId="71F7DAC0" w14:textId="77777777" w:rsidR="00A01F22" w:rsidRPr="008B1975" w:rsidRDefault="00A01F22" w:rsidP="008F27E0">
            <w:pPr>
              <w:pStyle w:val="Tabletext"/>
            </w:pPr>
            <w:r w:rsidRPr="008B1975">
              <w:t>None</w:t>
            </w:r>
          </w:p>
        </w:tc>
        <w:tc>
          <w:tcPr>
            <w:tcW w:w="1667" w:type="pct"/>
            <w:tcBorders>
              <w:top w:val="single" w:sz="12" w:space="0" w:color="auto"/>
              <w:left w:val="nil"/>
              <w:bottom w:val="single" w:sz="12" w:space="0" w:color="auto"/>
              <w:right w:val="nil"/>
            </w:tcBorders>
            <w:hideMark/>
          </w:tcPr>
          <w:p w14:paraId="4C8FFB79" w14:textId="77777777" w:rsidR="00A01F22" w:rsidRPr="008B1975" w:rsidRDefault="00A01F22" w:rsidP="008F27E0">
            <w:pPr>
              <w:pStyle w:val="Tabletext"/>
            </w:pPr>
            <w:r w:rsidRPr="008B1975">
              <w:t>None</w:t>
            </w:r>
          </w:p>
        </w:tc>
      </w:tr>
    </w:tbl>
    <w:p w14:paraId="3EEC900E" w14:textId="77777777" w:rsidR="00A01F22" w:rsidRPr="008B1975" w:rsidRDefault="00A01F22" w:rsidP="0098724B">
      <w:pPr>
        <w:pStyle w:val="ActHead5"/>
        <w:outlineLvl w:val="9"/>
      </w:pPr>
      <w:r w:rsidRPr="008B1975">
        <w:t>10.2  Slip resistance for premises and infrastructure</w:t>
      </w:r>
    </w:p>
    <w:p w14:paraId="145F40AE" w14:textId="77777777" w:rsidR="0098724B" w:rsidRPr="008B1975" w:rsidRDefault="00951604" w:rsidP="0098724B">
      <w:pPr>
        <w:pStyle w:val="subsection"/>
      </w:pPr>
      <w:r w:rsidRPr="008B1975">
        <w:tab/>
        <w:t>(1)</w:t>
      </w:r>
      <w:r w:rsidRPr="008B1975">
        <w:tab/>
        <w:t>Floors must have a slip-resistant surface</w:t>
      </w:r>
      <w:r w:rsidR="005B131D" w:rsidRPr="008B1975">
        <w:t xml:space="preserve"> that is suitable having regard to:</w:t>
      </w:r>
    </w:p>
    <w:p w14:paraId="254113A7" w14:textId="77777777" w:rsidR="005B131D" w:rsidRPr="008B1975" w:rsidRDefault="005B131D" w:rsidP="005B131D">
      <w:pPr>
        <w:pStyle w:val="paragraph"/>
      </w:pPr>
      <w:r w:rsidRPr="008B1975">
        <w:tab/>
        <w:t>(a)</w:t>
      </w:r>
      <w:r w:rsidRPr="008B1975">
        <w:tab/>
        <w:t>the</w:t>
      </w:r>
      <w:r w:rsidR="00BC4BA5" w:rsidRPr="008B1975">
        <w:t xml:space="preserve"> </w:t>
      </w:r>
      <w:r w:rsidRPr="008B1975">
        <w:t>conditions to which the surface will likely be subject; and</w:t>
      </w:r>
    </w:p>
    <w:p w14:paraId="4C9BA93C" w14:textId="77777777" w:rsidR="006C259F" w:rsidRPr="008B1975" w:rsidRDefault="005B131D" w:rsidP="005B131D">
      <w:pPr>
        <w:pStyle w:val="paragraph"/>
      </w:pPr>
      <w:r w:rsidRPr="008B1975">
        <w:tab/>
        <w:t>(b)</w:t>
      </w:r>
      <w:r w:rsidRPr="008B1975">
        <w:tab/>
        <w:t>clause 4.1 of AS1428.1 (2021).</w:t>
      </w:r>
    </w:p>
    <w:p w14:paraId="0AB84C26" w14:textId="6E803757" w:rsidR="005B131D" w:rsidRPr="008B1975" w:rsidRDefault="005B131D" w:rsidP="005B131D">
      <w:pPr>
        <w:pStyle w:val="notetext"/>
      </w:pPr>
      <w:r w:rsidRPr="008B1975">
        <w:t>Note:</w:t>
      </w:r>
      <w:r w:rsidRPr="008B1975">
        <w:tab/>
        <w:t xml:space="preserve">Tables 3A and 3B of </w:t>
      </w:r>
      <w:r w:rsidRPr="008B1975">
        <w:rPr>
          <w:i/>
          <w:color w:val="000000" w:themeColor="text1"/>
        </w:rPr>
        <w:t>SA HB 198:2014</w:t>
      </w:r>
      <w:r w:rsidRPr="008B1975">
        <w:rPr>
          <w:color w:val="000000" w:themeColor="text1"/>
        </w:rPr>
        <w:t xml:space="preserve"> </w:t>
      </w:r>
      <w:r w:rsidRPr="008B1975">
        <w:rPr>
          <w:i/>
          <w:color w:val="000000" w:themeColor="text1"/>
        </w:rPr>
        <w:t>Guide to the specification and testing of slip resistance of pedestrian surfaces</w:t>
      </w:r>
      <w:r w:rsidRPr="008B1975">
        <w:rPr>
          <w:color w:val="000000" w:themeColor="text1"/>
        </w:rPr>
        <w:t xml:space="preserve"> </w:t>
      </w:r>
      <w:r w:rsidR="00BC4BA5" w:rsidRPr="008B1975">
        <w:rPr>
          <w:color w:val="000000" w:themeColor="text1"/>
        </w:rPr>
        <w:t xml:space="preserve">provide </w:t>
      </w:r>
      <w:r w:rsidR="00C93680" w:rsidRPr="008B1975">
        <w:rPr>
          <w:color w:val="000000" w:themeColor="text1"/>
        </w:rPr>
        <w:t>information about slip-resistant values for the selection of floor and pavement surfaces.</w:t>
      </w:r>
    </w:p>
    <w:p w14:paraId="5B4E101D" w14:textId="77777777" w:rsidR="00C93680" w:rsidRPr="008B1975" w:rsidRDefault="00C93680" w:rsidP="00C93680">
      <w:pPr>
        <w:pStyle w:val="subsection"/>
      </w:pPr>
      <w:r w:rsidRPr="008B1975">
        <w:tab/>
        <w:t>(2)</w:t>
      </w:r>
      <w:r w:rsidRPr="008B1975">
        <w:tab/>
        <w:t>The following table specifies conveyances, premises and infrastructure this section applies to.</w:t>
      </w:r>
    </w:p>
    <w:p w14:paraId="5CCD1F38" w14:textId="77777777" w:rsidR="00C93680" w:rsidRPr="008B1975" w:rsidRDefault="00C93680" w:rsidP="00C9368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93680" w:rsidRPr="008B1975" w14:paraId="0B118A28" w14:textId="77777777" w:rsidTr="0042384E">
        <w:trPr>
          <w:trHeight w:val="300"/>
          <w:tblHeader/>
        </w:trPr>
        <w:tc>
          <w:tcPr>
            <w:tcW w:w="5000" w:type="pct"/>
            <w:gridSpan w:val="3"/>
            <w:tcBorders>
              <w:top w:val="single" w:sz="12" w:space="0" w:color="auto"/>
              <w:left w:val="nil"/>
              <w:bottom w:val="single" w:sz="6" w:space="0" w:color="auto"/>
              <w:right w:val="nil"/>
            </w:tcBorders>
            <w:hideMark/>
          </w:tcPr>
          <w:p w14:paraId="44339CC2" w14:textId="77777777" w:rsidR="00C93680" w:rsidRPr="008B1975" w:rsidRDefault="00C93680" w:rsidP="0042384E">
            <w:pPr>
              <w:pStyle w:val="TableHeading"/>
            </w:pPr>
            <w:r w:rsidRPr="008B1975">
              <w:t>Application of this section</w:t>
            </w:r>
          </w:p>
        </w:tc>
      </w:tr>
      <w:tr w:rsidR="00C93680" w:rsidRPr="008B1975" w14:paraId="23DB3F17" w14:textId="77777777" w:rsidTr="004E6262">
        <w:trPr>
          <w:trHeight w:val="300"/>
          <w:tblHeader/>
        </w:trPr>
        <w:tc>
          <w:tcPr>
            <w:tcW w:w="1667" w:type="pct"/>
            <w:tcBorders>
              <w:top w:val="single" w:sz="6" w:space="0" w:color="auto"/>
              <w:left w:val="nil"/>
              <w:bottom w:val="single" w:sz="12" w:space="0" w:color="auto"/>
              <w:right w:val="nil"/>
            </w:tcBorders>
            <w:hideMark/>
          </w:tcPr>
          <w:p w14:paraId="3AEDE58A" w14:textId="77777777" w:rsidR="00C93680" w:rsidRPr="008B1975" w:rsidRDefault="00C93680" w:rsidP="0042384E">
            <w:pPr>
              <w:pStyle w:val="TableHeading"/>
            </w:pPr>
            <w:r w:rsidRPr="008B1975">
              <w:t>Conveyances</w:t>
            </w:r>
          </w:p>
        </w:tc>
        <w:tc>
          <w:tcPr>
            <w:tcW w:w="1667" w:type="pct"/>
            <w:tcBorders>
              <w:top w:val="single" w:sz="6" w:space="0" w:color="auto"/>
              <w:left w:val="nil"/>
              <w:bottom w:val="single" w:sz="12" w:space="0" w:color="auto"/>
              <w:right w:val="nil"/>
            </w:tcBorders>
            <w:hideMark/>
          </w:tcPr>
          <w:p w14:paraId="538BC423" w14:textId="77777777" w:rsidR="00C93680" w:rsidRPr="008B1975" w:rsidRDefault="00C93680" w:rsidP="0042384E">
            <w:pPr>
              <w:pStyle w:val="TableHeading"/>
            </w:pPr>
            <w:r w:rsidRPr="008B1975">
              <w:t>Premises</w:t>
            </w:r>
          </w:p>
        </w:tc>
        <w:tc>
          <w:tcPr>
            <w:tcW w:w="1667" w:type="pct"/>
            <w:tcBorders>
              <w:top w:val="single" w:sz="6" w:space="0" w:color="auto"/>
              <w:left w:val="nil"/>
              <w:bottom w:val="single" w:sz="12" w:space="0" w:color="auto"/>
              <w:right w:val="nil"/>
            </w:tcBorders>
            <w:hideMark/>
          </w:tcPr>
          <w:p w14:paraId="33F046DC" w14:textId="77777777" w:rsidR="00C93680" w:rsidRPr="008B1975" w:rsidRDefault="00C93680" w:rsidP="0042384E">
            <w:pPr>
              <w:pStyle w:val="TableHeading"/>
            </w:pPr>
            <w:r w:rsidRPr="008B1975">
              <w:t>Infrastructure</w:t>
            </w:r>
          </w:p>
        </w:tc>
      </w:tr>
      <w:tr w:rsidR="00C93680" w:rsidRPr="008B1975" w14:paraId="03333F95" w14:textId="77777777" w:rsidTr="004E6262">
        <w:trPr>
          <w:trHeight w:val="300"/>
        </w:trPr>
        <w:tc>
          <w:tcPr>
            <w:tcW w:w="1667" w:type="pct"/>
            <w:tcBorders>
              <w:top w:val="single" w:sz="12" w:space="0" w:color="auto"/>
              <w:left w:val="nil"/>
              <w:bottom w:val="single" w:sz="12" w:space="0" w:color="auto"/>
              <w:right w:val="nil"/>
            </w:tcBorders>
            <w:hideMark/>
          </w:tcPr>
          <w:p w14:paraId="2D100EAD" w14:textId="77777777" w:rsidR="00C93680" w:rsidRPr="008B1975" w:rsidRDefault="00E44EC2" w:rsidP="0042384E">
            <w:pPr>
              <w:pStyle w:val="Tablea"/>
              <w:rPr>
                <w:color w:val="0000FF"/>
              </w:rPr>
            </w:pPr>
            <w:r w:rsidRPr="008B1975">
              <w:rPr>
                <w:color w:val="000000" w:themeColor="text1"/>
              </w:rPr>
              <w:t>None</w:t>
            </w:r>
          </w:p>
        </w:tc>
        <w:tc>
          <w:tcPr>
            <w:tcW w:w="1667" w:type="pct"/>
            <w:tcBorders>
              <w:top w:val="single" w:sz="12" w:space="0" w:color="auto"/>
              <w:left w:val="nil"/>
              <w:bottom w:val="single" w:sz="12" w:space="0" w:color="auto"/>
              <w:right w:val="nil"/>
            </w:tcBorders>
            <w:hideMark/>
          </w:tcPr>
          <w:p w14:paraId="5C0FDAF6" w14:textId="77777777" w:rsidR="00C93680" w:rsidRPr="008B1975" w:rsidRDefault="00C93680" w:rsidP="0042384E">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7500095" w14:textId="77777777" w:rsidR="00C93680" w:rsidRPr="008B1975" w:rsidRDefault="00C93680" w:rsidP="0042384E">
            <w:pPr>
              <w:pStyle w:val="Tabletext"/>
            </w:pPr>
            <w:r w:rsidRPr="008B1975">
              <w:t>All</w:t>
            </w:r>
          </w:p>
        </w:tc>
      </w:tr>
    </w:tbl>
    <w:p w14:paraId="601AD65F" w14:textId="77777777" w:rsidR="00A01F22" w:rsidRPr="008B1975" w:rsidRDefault="00A01F22" w:rsidP="008F27E0">
      <w:pPr>
        <w:pStyle w:val="ActHead5"/>
        <w:tabs>
          <w:tab w:val="center" w:pos="4513"/>
        </w:tabs>
        <w:outlineLvl w:val="9"/>
      </w:pPr>
      <w:r w:rsidRPr="008B1975">
        <w:lastRenderedPageBreak/>
        <w:t>10.3  Slip resistance for buses and coaches</w:t>
      </w:r>
    </w:p>
    <w:p w14:paraId="009EF0E8" w14:textId="77777777" w:rsidR="00A01F22" w:rsidRPr="008B1975" w:rsidRDefault="00A01F22" w:rsidP="008F27E0">
      <w:pPr>
        <w:pStyle w:val="subsection"/>
      </w:pPr>
      <w:r w:rsidRPr="008B1975">
        <w:tab/>
        <w:t>(1)</w:t>
      </w:r>
      <w:r w:rsidRPr="008B1975">
        <w:tab/>
        <w:t>The floors must comply with clause 58.11 of Australian Design Rule (which deals with floors in omnibuses).</w:t>
      </w:r>
    </w:p>
    <w:p w14:paraId="6C8C9818" w14:textId="77777777" w:rsidR="00A01F22" w:rsidRPr="008B1975" w:rsidRDefault="00A01F22" w:rsidP="008F27E0">
      <w:pPr>
        <w:pStyle w:val="subsection"/>
      </w:pPr>
      <w:r w:rsidRPr="008B1975">
        <w:tab/>
        <w:t>(2)</w:t>
      </w:r>
      <w:r w:rsidRPr="008B1975">
        <w:tab/>
        <w:t>The following table specifies conveyances, premises and infrastructure this section applies to.</w:t>
      </w:r>
    </w:p>
    <w:p w14:paraId="68B3CA2D" w14:textId="77777777" w:rsidR="00A01F22" w:rsidRPr="008B1975" w:rsidRDefault="00A01F22"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1F22" w:rsidRPr="008B1975" w14:paraId="055223F8" w14:textId="77777777" w:rsidTr="00E93C13">
        <w:trPr>
          <w:trHeight w:val="300"/>
          <w:tblHeader/>
        </w:trPr>
        <w:tc>
          <w:tcPr>
            <w:tcW w:w="5000" w:type="pct"/>
            <w:gridSpan w:val="3"/>
            <w:tcBorders>
              <w:top w:val="single" w:sz="12" w:space="0" w:color="auto"/>
              <w:left w:val="nil"/>
              <w:bottom w:val="single" w:sz="6" w:space="0" w:color="auto"/>
              <w:right w:val="nil"/>
            </w:tcBorders>
            <w:hideMark/>
          </w:tcPr>
          <w:p w14:paraId="546016A9" w14:textId="77777777" w:rsidR="00A01F22" w:rsidRPr="008B1975" w:rsidRDefault="00A01F22" w:rsidP="008F27E0">
            <w:pPr>
              <w:pStyle w:val="TableHeading"/>
            </w:pPr>
            <w:r w:rsidRPr="008B1975">
              <w:t>Application of this section</w:t>
            </w:r>
          </w:p>
        </w:tc>
      </w:tr>
      <w:tr w:rsidR="00A01F22" w:rsidRPr="008B1975" w14:paraId="2A5D23E4" w14:textId="77777777" w:rsidTr="004E6262">
        <w:trPr>
          <w:trHeight w:val="300"/>
          <w:tblHeader/>
        </w:trPr>
        <w:tc>
          <w:tcPr>
            <w:tcW w:w="1667" w:type="pct"/>
            <w:tcBorders>
              <w:top w:val="single" w:sz="6" w:space="0" w:color="auto"/>
              <w:left w:val="nil"/>
              <w:bottom w:val="single" w:sz="12" w:space="0" w:color="auto"/>
              <w:right w:val="nil"/>
            </w:tcBorders>
            <w:hideMark/>
          </w:tcPr>
          <w:p w14:paraId="3B3A9B04" w14:textId="77777777" w:rsidR="00A01F22" w:rsidRPr="008B1975" w:rsidRDefault="00A01F22"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5259AB97" w14:textId="77777777" w:rsidR="00A01F22" w:rsidRPr="008B1975" w:rsidRDefault="00A01F22"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5518901A" w14:textId="77777777" w:rsidR="00A01F22" w:rsidRPr="008B1975" w:rsidRDefault="00A01F22" w:rsidP="008F27E0">
            <w:pPr>
              <w:pStyle w:val="TableHeading"/>
            </w:pPr>
            <w:r w:rsidRPr="008B1975">
              <w:t>Infrastructure</w:t>
            </w:r>
          </w:p>
        </w:tc>
      </w:tr>
      <w:tr w:rsidR="00A01F22" w:rsidRPr="008B1975" w14:paraId="3F920098" w14:textId="77777777" w:rsidTr="004E6262">
        <w:trPr>
          <w:trHeight w:val="300"/>
        </w:trPr>
        <w:tc>
          <w:tcPr>
            <w:tcW w:w="1667" w:type="pct"/>
            <w:tcBorders>
              <w:top w:val="single" w:sz="12" w:space="0" w:color="auto"/>
              <w:left w:val="nil"/>
              <w:bottom w:val="single" w:sz="12" w:space="0" w:color="auto"/>
              <w:right w:val="nil"/>
            </w:tcBorders>
            <w:hideMark/>
          </w:tcPr>
          <w:p w14:paraId="5236B1A0" w14:textId="77777777" w:rsidR="00A01F22" w:rsidRPr="008B1975" w:rsidRDefault="00A01F22" w:rsidP="008F27E0">
            <w:pPr>
              <w:pStyle w:val="Tabletext"/>
            </w:pPr>
            <w:r w:rsidRPr="008B1975">
              <w:t>The following</w:t>
            </w:r>
            <w:r w:rsidR="00D633C3" w:rsidRPr="008B1975">
              <w:t>:</w:t>
            </w:r>
          </w:p>
          <w:p w14:paraId="17493220" w14:textId="77777777" w:rsidR="00A01F22" w:rsidRPr="008B1975" w:rsidRDefault="00A01F22" w:rsidP="008F27E0">
            <w:pPr>
              <w:pStyle w:val="Tablea"/>
            </w:pPr>
            <w:r w:rsidRPr="008B1975">
              <w:t>(a) buses, except dedicated school buses;</w:t>
            </w:r>
          </w:p>
          <w:p w14:paraId="6E14B7C9" w14:textId="77777777" w:rsidR="00A01F22" w:rsidRPr="008B1975" w:rsidRDefault="00A01F22" w:rsidP="008F27E0">
            <w:pPr>
              <w:pStyle w:val="Tablea"/>
            </w:pPr>
            <w:r w:rsidRPr="008B1975">
              <w:t>(b) coaches</w:t>
            </w:r>
          </w:p>
        </w:tc>
        <w:tc>
          <w:tcPr>
            <w:tcW w:w="1667" w:type="pct"/>
            <w:tcBorders>
              <w:top w:val="single" w:sz="12" w:space="0" w:color="auto"/>
              <w:left w:val="nil"/>
              <w:bottom w:val="single" w:sz="12" w:space="0" w:color="auto"/>
              <w:right w:val="nil"/>
            </w:tcBorders>
            <w:hideMark/>
          </w:tcPr>
          <w:p w14:paraId="2BDB82C5" w14:textId="77777777" w:rsidR="00A01F22" w:rsidRPr="008B1975" w:rsidRDefault="00A01F22" w:rsidP="008F27E0">
            <w:pPr>
              <w:pStyle w:val="Tabletext"/>
            </w:pPr>
            <w:r w:rsidRPr="008B1975">
              <w:t>None</w:t>
            </w:r>
          </w:p>
        </w:tc>
        <w:tc>
          <w:tcPr>
            <w:tcW w:w="1667" w:type="pct"/>
            <w:tcBorders>
              <w:top w:val="single" w:sz="12" w:space="0" w:color="auto"/>
              <w:left w:val="nil"/>
              <w:bottom w:val="single" w:sz="12" w:space="0" w:color="auto"/>
              <w:right w:val="nil"/>
            </w:tcBorders>
            <w:hideMark/>
          </w:tcPr>
          <w:p w14:paraId="1F349703" w14:textId="77777777" w:rsidR="00A01F22" w:rsidRPr="008B1975" w:rsidRDefault="00A01F22" w:rsidP="008F27E0">
            <w:pPr>
              <w:pStyle w:val="Tabletext"/>
            </w:pPr>
            <w:r w:rsidRPr="008B1975">
              <w:t>None</w:t>
            </w:r>
          </w:p>
        </w:tc>
      </w:tr>
    </w:tbl>
    <w:p w14:paraId="5F2D8B07" w14:textId="77777777" w:rsidR="00A01F22" w:rsidRPr="008B1975" w:rsidRDefault="00A01F22" w:rsidP="008F27E0">
      <w:pPr>
        <w:pStyle w:val="ActHead5"/>
        <w:outlineLvl w:val="9"/>
      </w:pPr>
      <w:r w:rsidRPr="008B1975">
        <w:t>10.4  Luminance contrasting floor and wall surfaces in premises and infrastructure</w:t>
      </w:r>
    </w:p>
    <w:p w14:paraId="713B7424" w14:textId="77777777" w:rsidR="00A01F22" w:rsidRPr="008B1975" w:rsidRDefault="00A01F22" w:rsidP="008F27E0">
      <w:pPr>
        <w:pStyle w:val="subsection"/>
      </w:pPr>
      <w:r w:rsidRPr="008B1975">
        <w:tab/>
        <w:t>(1)</w:t>
      </w:r>
      <w:r w:rsidRPr="008B1975">
        <w:tab/>
        <w:t>If there is a continuous accessible path of travel, there must be along that path a luminance contrast of no less than 30% between (where applicable):</w:t>
      </w:r>
    </w:p>
    <w:p w14:paraId="10E378CD" w14:textId="77777777" w:rsidR="00A01F22" w:rsidRPr="008B1975" w:rsidRDefault="00A01F22" w:rsidP="008F27E0">
      <w:pPr>
        <w:pStyle w:val="paragraph"/>
      </w:pPr>
      <w:r w:rsidRPr="008B1975">
        <w:tab/>
        <w:t>(a)</w:t>
      </w:r>
      <w:r w:rsidRPr="008B1975">
        <w:tab/>
        <w:t>internal floor and wall surfaces; and</w:t>
      </w:r>
    </w:p>
    <w:p w14:paraId="019DFD5C" w14:textId="77777777" w:rsidR="00A01F22" w:rsidRPr="008B1975" w:rsidRDefault="00A01F22" w:rsidP="008F27E0">
      <w:pPr>
        <w:pStyle w:val="paragraph"/>
      </w:pPr>
      <w:r w:rsidRPr="008B1975">
        <w:tab/>
        <w:t>(b)</w:t>
      </w:r>
      <w:r w:rsidRPr="008B1975">
        <w:tab/>
        <w:t>internal columns and wall or floor surfaces; and</w:t>
      </w:r>
    </w:p>
    <w:p w14:paraId="250D5E55" w14:textId="77777777" w:rsidR="00A01F22" w:rsidRPr="008B1975" w:rsidRDefault="00A01F22" w:rsidP="008F27E0">
      <w:pPr>
        <w:pStyle w:val="paragraph"/>
      </w:pPr>
      <w:r w:rsidRPr="008B1975">
        <w:tab/>
        <w:t>(c)</w:t>
      </w:r>
      <w:r w:rsidRPr="008B1975">
        <w:tab/>
        <w:t>external ground surfaces and any street furniture or fixtures; and</w:t>
      </w:r>
    </w:p>
    <w:p w14:paraId="0CE8A74B" w14:textId="77777777" w:rsidR="00A01F22" w:rsidRPr="008B1975" w:rsidRDefault="00A01F22" w:rsidP="008F27E0">
      <w:pPr>
        <w:pStyle w:val="paragraph"/>
      </w:pPr>
      <w:r w:rsidRPr="008B1975">
        <w:tab/>
        <w:t>(d)</w:t>
      </w:r>
      <w:r w:rsidRPr="008B1975">
        <w:tab/>
        <w:t>external columns and ground surfaces along external areas.</w:t>
      </w:r>
    </w:p>
    <w:p w14:paraId="5466A101" w14:textId="77777777" w:rsidR="00E44EC2" w:rsidRPr="008B1975" w:rsidRDefault="00A01F22" w:rsidP="00E44EC2">
      <w:pPr>
        <w:pStyle w:val="subsection"/>
      </w:pPr>
      <w:r w:rsidRPr="008B1975">
        <w:tab/>
        <w:t>(2)</w:t>
      </w:r>
      <w:r w:rsidRPr="008B1975">
        <w:tab/>
        <w:t>The luminance contrast must be tested in accordance with Appendix B of AS1428.1 (2021).</w:t>
      </w:r>
    </w:p>
    <w:p w14:paraId="003B80C4" w14:textId="77777777" w:rsidR="00A01F22" w:rsidRPr="008B1975" w:rsidRDefault="00E44EC2" w:rsidP="00E44EC2">
      <w:pPr>
        <w:pStyle w:val="subsection"/>
        <w:rPr>
          <w:i/>
        </w:rPr>
      </w:pPr>
      <w:r w:rsidRPr="008B1975">
        <w:tab/>
      </w:r>
      <w:r w:rsidR="00A01F22" w:rsidRPr="008B1975">
        <w:t>(3)</w:t>
      </w:r>
      <w:r w:rsidR="00A01F22" w:rsidRPr="008B1975">
        <w:tab/>
        <w:t>The following table specifies conveyances, premises and infrastructure this section applies to.</w:t>
      </w:r>
    </w:p>
    <w:p w14:paraId="05C78F76" w14:textId="77777777" w:rsidR="00A01F22" w:rsidRPr="008B1975" w:rsidRDefault="00A01F22"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1F22" w:rsidRPr="008B1975" w14:paraId="06CF7292" w14:textId="77777777" w:rsidTr="00E93C13">
        <w:trPr>
          <w:trHeight w:val="300"/>
          <w:tblHeader/>
        </w:trPr>
        <w:tc>
          <w:tcPr>
            <w:tcW w:w="5000" w:type="pct"/>
            <w:gridSpan w:val="3"/>
            <w:tcBorders>
              <w:top w:val="single" w:sz="12" w:space="0" w:color="auto"/>
              <w:left w:val="nil"/>
              <w:bottom w:val="single" w:sz="6" w:space="0" w:color="auto"/>
              <w:right w:val="nil"/>
            </w:tcBorders>
            <w:hideMark/>
          </w:tcPr>
          <w:p w14:paraId="53D75472" w14:textId="77777777" w:rsidR="00A01F22" w:rsidRPr="008B1975" w:rsidRDefault="00A01F22" w:rsidP="008F27E0">
            <w:pPr>
              <w:pStyle w:val="TableHeading"/>
            </w:pPr>
            <w:r w:rsidRPr="008B1975">
              <w:t>Application of this section</w:t>
            </w:r>
          </w:p>
        </w:tc>
      </w:tr>
      <w:tr w:rsidR="00A01F22" w:rsidRPr="008B1975" w14:paraId="543C3626" w14:textId="77777777" w:rsidTr="004E6262">
        <w:trPr>
          <w:trHeight w:val="300"/>
          <w:tblHeader/>
        </w:trPr>
        <w:tc>
          <w:tcPr>
            <w:tcW w:w="1667" w:type="pct"/>
            <w:tcBorders>
              <w:top w:val="single" w:sz="6" w:space="0" w:color="auto"/>
              <w:left w:val="nil"/>
              <w:bottom w:val="single" w:sz="12" w:space="0" w:color="auto"/>
              <w:right w:val="nil"/>
            </w:tcBorders>
            <w:hideMark/>
          </w:tcPr>
          <w:p w14:paraId="5F6AED81" w14:textId="77777777" w:rsidR="00A01F22" w:rsidRPr="008B1975" w:rsidRDefault="00A01F22"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24265CFC" w14:textId="77777777" w:rsidR="00A01F22" w:rsidRPr="008B1975" w:rsidRDefault="00A01F22"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6EC9F155" w14:textId="77777777" w:rsidR="00A01F22" w:rsidRPr="008B1975" w:rsidRDefault="00A01F22" w:rsidP="008F27E0">
            <w:pPr>
              <w:pStyle w:val="TableHeading"/>
            </w:pPr>
            <w:r w:rsidRPr="008B1975">
              <w:t>Infrastructure</w:t>
            </w:r>
          </w:p>
        </w:tc>
      </w:tr>
      <w:tr w:rsidR="00A01F22" w:rsidRPr="008B1975" w14:paraId="0CA7C4E5" w14:textId="77777777" w:rsidTr="004E6262">
        <w:trPr>
          <w:trHeight w:val="565"/>
        </w:trPr>
        <w:tc>
          <w:tcPr>
            <w:tcW w:w="1667" w:type="pct"/>
            <w:tcBorders>
              <w:top w:val="single" w:sz="12" w:space="0" w:color="auto"/>
              <w:left w:val="nil"/>
              <w:bottom w:val="single" w:sz="12" w:space="0" w:color="auto"/>
              <w:right w:val="nil"/>
            </w:tcBorders>
            <w:hideMark/>
          </w:tcPr>
          <w:p w14:paraId="24F63BC7" w14:textId="77777777" w:rsidR="00A01F22" w:rsidRPr="008B1975" w:rsidRDefault="00A01F22" w:rsidP="008F27E0">
            <w:pPr>
              <w:pStyle w:val="Tablea"/>
            </w:pPr>
            <w:r w:rsidRPr="008B1975">
              <w:t>None</w:t>
            </w:r>
          </w:p>
        </w:tc>
        <w:tc>
          <w:tcPr>
            <w:tcW w:w="1667" w:type="pct"/>
            <w:tcBorders>
              <w:top w:val="single" w:sz="12" w:space="0" w:color="auto"/>
              <w:left w:val="nil"/>
              <w:bottom w:val="single" w:sz="12" w:space="0" w:color="auto"/>
              <w:right w:val="nil"/>
            </w:tcBorders>
            <w:hideMark/>
          </w:tcPr>
          <w:p w14:paraId="15601152" w14:textId="77777777" w:rsidR="00A01F22" w:rsidRPr="008B1975" w:rsidRDefault="00A01F22" w:rsidP="008F27E0">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218529F8" w14:textId="77777777" w:rsidR="00A01F22" w:rsidRPr="008B1975" w:rsidRDefault="00A01F22" w:rsidP="008F27E0">
            <w:pPr>
              <w:pStyle w:val="Tabletext"/>
            </w:pPr>
            <w:r w:rsidRPr="008B1975">
              <w:t>All</w:t>
            </w:r>
          </w:p>
        </w:tc>
      </w:tr>
    </w:tbl>
    <w:p w14:paraId="1B3948B4" w14:textId="77777777" w:rsidR="00913074" w:rsidRPr="008B1975" w:rsidRDefault="00913074" w:rsidP="00913074">
      <w:pPr>
        <w:pStyle w:val="notetext"/>
      </w:pPr>
      <w:r w:rsidRPr="008B1975">
        <w:t>Note:</w:t>
      </w:r>
      <w:r w:rsidRPr="008B1975">
        <w:tab/>
        <w:t>This section applies after the end of the 10-year-transitional period to existing columns, street furniture and fixtures: see section 35.12.</w:t>
      </w:r>
    </w:p>
    <w:p w14:paraId="7FA6EE1D" w14:textId="77777777" w:rsidR="00824838" w:rsidRPr="008B1975" w:rsidRDefault="00824838" w:rsidP="00824838">
      <w:pPr>
        <w:pStyle w:val="ActHead6"/>
        <w:pageBreakBefore/>
        <w:rPr>
          <w:rStyle w:val="CharAmSchText"/>
        </w:rPr>
      </w:pPr>
      <w:bookmarkStart w:id="146" w:name="_Toc197178950"/>
      <w:r w:rsidRPr="008B1975">
        <w:lastRenderedPageBreak/>
        <w:t>Schedule 11—Part 11 (Handrails and grabrails) Amendments</w:t>
      </w:r>
      <w:bookmarkEnd w:id="146"/>
    </w:p>
    <w:p w14:paraId="4209CEBD" w14:textId="77777777" w:rsidR="00824838" w:rsidRPr="008B1975" w:rsidRDefault="00824838" w:rsidP="00824838">
      <w:pPr>
        <w:pStyle w:val="ActHead9"/>
      </w:pPr>
      <w:bookmarkStart w:id="147" w:name="_Toc197178951"/>
      <w:r w:rsidRPr="008B1975">
        <w:t>Disability Standards for Accessible Public Transport 2002</w:t>
      </w:r>
      <w:bookmarkEnd w:id="147"/>
    </w:p>
    <w:p w14:paraId="0D4CFA69" w14:textId="77777777" w:rsidR="008D0C53" w:rsidRPr="008B1975" w:rsidRDefault="000A511B" w:rsidP="000A511B">
      <w:pPr>
        <w:pStyle w:val="ItemHead"/>
      </w:pPr>
      <w:bookmarkStart w:id="148" w:name="_Ref185336414"/>
      <w:r w:rsidRPr="008B1975">
        <w:t xml:space="preserve">1  </w:t>
      </w:r>
      <w:r w:rsidR="008D0C53" w:rsidRPr="008B1975">
        <w:t>Section 11.1</w:t>
      </w:r>
      <w:bookmarkEnd w:id="148"/>
    </w:p>
    <w:p w14:paraId="5D2F4823" w14:textId="77777777" w:rsidR="008D0C53" w:rsidRPr="008B1975" w:rsidRDefault="008D0C53" w:rsidP="008D0C53">
      <w:pPr>
        <w:pStyle w:val="Item"/>
      </w:pPr>
      <w:r w:rsidRPr="008B1975">
        <w:t>Repeal the section, substitute:</w:t>
      </w:r>
    </w:p>
    <w:p w14:paraId="79EF572E" w14:textId="77777777" w:rsidR="008D0C53" w:rsidRPr="008B1975" w:rsidRDefault="008D0C53" w:rsidP="008F27E0">
      <w:pPr>
        <w:pStyle w:val="ActHead5"/>
        <w:outlineLvl w:val="9"/>
      </w:pPr>
      <w:r w:rsidRPr="008B1975">
        <w:t>11.1  General requirements</w:t>
      </w:r>
      <w:r w:rsidRPr="008B1975">
        <w:rPr>
          <w:color w:val="000000" w:themeColor="text1"/>
        </w:rPr>
        <w:t>—premises and infrastructure</w:t>
      </w:r>
    </w:p>
    <w:p w14:paraId="6DF07233" w14:textId="77777777" w:rsidR="008D0C53" w:rsidRPr="008B1975" w:rsidRDefault="008D0C53" w:rsidP="008F27E0">
      <w:pPr>
        <w:pStyle w:val="subsection"/>
        <w:rPr>
          <w:rFonts w:cstheme="minorHAnsi"/>
          <w:color w:val="000000"/>
        </w:rPr>
      </w:pPr>
      <w:r w:rsidRPr="008B1975">
        <w:tab/>
      </w:r>
      <w:r w:rsidR="00677B66" w:rsidRPr="008B1975">
        <w:t>(1)</w:t>
      </w:r>
      <w:r w:rsidRPr="008B1975">
        <w:tab/>
        <w:t xml:space="preserve">A handrail must comply with clauses 11.2 and 12 of </w:t>
      </w:r>
      <w:r w:rsidRPr="008B1975">
        <w:rPr>
          <w:rFonts w:cstheme="minorHAnsi"/>
          <w:color w:val="000000"/>
        </w:rPr>
        <w:t>AS1428.1 (2009).</w:t>
      </w:r>
    </w:p>
    <w:p w14:paraId="3C59FD59" w14:textId="77777777" w:rsidR="008D0C53" w:rsidRPr="008B1975" w:rsidRDefault="008D0C53" w:rsidP="008F27E0">
      <w:pPr>
        <w:pStyle w:val="subsection"/>
      </w:pPr>
      <w:r w:rsidRPr="008B1975">
        <w:tab/>
      </w:r>
      <w:r w:rsidR="00677B66" w:rsidRPr="008B1975">
        <w:t>(2)</w:t>
      </w:r>
      <w:r w:rsidRPr="008B1975">
        <w:tab/>
        <w:t>A handrail must have a luminance contrast of not less than 30%, as tested in accordance with Appendix B of AS1428.1 (2021), when viewed against any background wall or surface adjacent to the handrail that is within 2 metres of the handrail.</w:t>
      </w:r>
    </w:p>
    <w:p w14:paraId="63590BAF" w14:textId="77777777" w:rsidR="008D0C53" w:rsidRPr="008B1975" w:rsidRDefault="008D0C53" w:rsidP="008F27E0">
      <w:pPr>
        <w:pStyle w:val="subsection"/>
      </w:pPr>
      <w:r w:rsidRPr="008B1975">
        <w:tab/>
      </w:r>
      <w:r w:rsidR="00677B66" w:rsidRPr="008B1975">
        <w:t>(3)</w:t>
      </w:r>
      <w:r w:rsidRPr="008B1975">
        <w:tab/>
        <w:t>If a handrail is interrupted, the handrail must have a domed warning indicator that:</w:t>
      </w:r>
    </w:p>
    <w:p w14:paraId="6A2215EF" w14:textId="77777777" w:rsidR="00EE092F" w:rsidRPr="008B1975" w:rsidRDefault="008D0C53" w:rsidP="008F27E0">
      <w:pPr>
        <w:pStyle w:val="paragraph"/>
      </w:pPr>
      <w:r w:rsidRPr="008B1975">
        <w:tab/>
      </w:r>
      <w:r w:rsidR="00677B66" w:rsidRPr="008B1975">
        <w:t>(a)</w:t>
      </w:r>
      <w:r w:rsidRPr="008B1975">
        <w:tab/>
      </w:r>
      <w:r w:rsidR="00EE092F" w:rsidRPr="008B1975">
        <w:t>is located on the top of the handrail;</w:t>
      </w:r>
    </w:p>
    <w:p w14:paraId="38B0581A" w14:textId="77777777" w:rsidR="008D0C53" w:rsidRPr="008B1975" w:rsidRDefault="00EE092F" w:rsidP="008F27E0">
      <w:pPr>
        <w:pStyle w:val="paragraph"/>
      </w:pPr>
      <w:r w:rsidRPr="008B1975">
        <w:tab/>
        <w:t>(b)</w:t>
      </w:r>
      <w:r w:rsidRPr="008B1975">
        <w:tab/>
      </w:r>
      <w:r w:rsidR="008D0C53" w:rsidRPr="008B1975">
        <w:t>is positioned 150 mm from the interruption; and</w:t>
      </w:r>
    </w:p>
    <w:p w14:paraId="6030B4F6" w14:textId="77777777" w:rsidR="008D0C53" w:rsidRPr="008B1975" w:rsidRDefault="008D0C53" w:rsidP="008F27E0">
      <w:pPr>
        <w:pStyle w:val="paragraph"/>
      </w:pPr>
      <w:r w:rsidRPr="008B1975">
        <w:tab/>
      </w:r>
      <w:r w:rsidR="00677B66" w:rsidRPr="008B1975">
        <w:t>(</w:t>
      </w:r>
      <w:r w:rsidR="00EE092F" w:rsidRPr="008B1975">
        <w:t>c</w:t>
      </w:r>
      <w:r w:rsidR="00677B66" w:rsidRPr="008B1975">
        <w:t>)</w:t>
      </w:r>
      <w:r w:rsidRPr="008B1975">
        <w:tab/>
        <w:t>has a height of no less than 4 mm and no more than 5 mm; and</w:t>
      </w:r>
    </w:p>
    <w:p w14:paraId="479B2133" w14:textId="77777777" w:rsidR="008D0C53" w:rsidRPr="008B1975" w:rsidRDefault="008D0C53" w:rsidP="008F27E0">
      <w:pPr>
        <w:pStyle w:val="paragraph"/>
      </w:pPr>
      <w:r w:rsidRPr="008B1975">
        <w:tab/>
      </w:r>
      <w:r w:rsidR="00677B66" w:rsidRPr="008B1975">
        <w:t>(</w:t>
      </w:r>
      <w:r w:rsidR="00EE092F" w:rsidRPr="008B1975">
        <w:t>d</w:t>
      </w:r>
      <w:r w:rsidR="00677B66" w:rsidRPr="008B1975">
        <w:t>)</w:t>
      </w:r>
      <w:r w:rsidRPr="008B1975">
        <w:tab/>
        <w:t>has a diameter of no less than 10 mm and no more than 12 mm.</w:t>
      </w:r>
    </w:p>
    <w:p w14:paraId="25558795" w14:textId="77777777" w:rsidR="008D0C53" w:rsidRPr="008B1975" w:rsidRDefault="008D0C53" w:rsidP="008F27E0">
      <w:pPr>
        <w:pStyle w:val="subsection"/>
      </w:pPr>
      <w:r w:rsidRPr="008B1975">
        <w:tab/>
        <w:t>(4)</w:t>
      </w:r>
      <w:r w:rsidRPr="008B1975">
        <w:tab/>
        <w:t>The following table specifies conveyances, premises and infrastructure this section applies to.</w:t>
      </w:r>
    </w:p>
    <w:p w14:paraId="5D3F21BD" w14:textId="77777777" w:rsidR="008D0C53" w:rsidRPr="008B1975" w:rsidRDefault="008D0C53"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094B257E"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59FE3BDB" w14:textId="77777777" w:rsidR="008D0C53" w:rsidRPr="008B1975" w:rsidRDefault="008D0C53" w:rsidP="008F27E0">
            <w:pPr>
              <w:pStyle w:val="TableHeading"/>
            </w:pPr>
            <w:r w:rsidRPr="008B1975">
              <w:t>Application of this section</w:t>
            </w:r>
          </w:p>
        </w:tc>
      </w:tr>
      <w:tr w:rsidR="008D0C53" w:rsidRPr="008B1975" w14:paraId="53006895" w14:textId="77777777" w:rsidTr="004E6262">
        <w:trPr>
          <w:trHeight w:val="300"/>
          <w:tblHeader/>
        </w:trPr>
        <w:tc>
          <w:tcPr>
            <w:tcW w:w="1667" w:type="pct"/>
            <w:tcBorders>
              <w:top w:val="single" w:sz="6" w:space="0" w:color="auto"/>
              <w:bottom w:val="single" w:sz="12" w:space="0" w:color="auto"/>
            </w:tcBorders>
            <w:shd w:val="clear" w:color="auto" w:fill="auto"/>
            <w:hideMark/>
          </w:tcPr>
          <w:p w14:paraId="22E9F997" w14:textId="77777777" w:rsidR="008D0C53" w:rsidRPr="008B1975" w:rsidRDefault="008D0C53" w:rsidP="008F27E0">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0518CCC8" w14:textId="77777777" w:rsidR="008D0C53" w:rsidRPr="008B1975" w:rsidRDefault="008D0C53" w:rsidP="008F27E0">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374CD9B" w14:textId="77777777" w:rsidR="008D0C53" w:rsidRPr="008B1975" w:rsidRDefault="008D0C53" w:rsidP="008F27E0">
            <w:pPr>
              <w:pStyle w:val="TableHeading"/>
            </w:pPr>
            <w:r w:rsidRPr="008B1975">
              <w:t>Infrastructure</w:t>
            </w:r>
          </w:p>
        </w:tc>
      </w:tr>
      <w:tr w:rsidR="008D0C53" w:rsidRPr="008B1975" w14:paraId="41B748A7" w14:textId="77777777" w:rsidTr="004E6262">
        <w:trPr>
          <w:trHeight w:val="300"/>
        </w:trPr>
        <w:tc>
          <w:tcPr>
            <w:tcW w:w="1667" w:type="pct"/>
            <w:tcBorders>
              <w:top w:val="single" w:sz="12" w:space="0" w:color="auto"/>
              <w:bottom w:val="single" w:sz="12" w:space="0" w:color="auto"/>
            </w:tcBorders>
            <w:shd w:val="clear" w:color="auto" w:fill="auto"/>
            <w:hideMark/>
          </w:tcPr>
          <w:p w14:paraId="51B8FB96" w14:textId="77777777" w:rsidR="008D0C53" w:rsidRPr="008B1975" w:rsidRDefault="008D0C53" w:rsidP="008F27E0">
            <w:pPr>
              <w:pStyle w:val="Tabletext"/>
            </w:pPr>
            <w:r w:rsidRPr="008B1975">
              <w:t>None</w:t>
            </w:r>
          </w:p>
        </w:tc>
        <w:tc>
          <w:tcPr>
            <w:tcW w:w="1667" w:type="pct"/>
            <w:tcBorders>
              <w:top w:val="single" w:sz="12" w:space="0" w:color="auto"/>
              <w:bottom w:val="single" w:sz="12" w:space="0" w:color="auto"/>
            </w:tcBorders>
            <w:shd w:val="clear" w:color="auto" w:fill="auto"/>
            <w:hideMark/>
          </w:tcPr>
          <w:p w14:paraId="40989311" w14:textId="77777777" w:rsidR="008D0C53" w:rsidRPr="008B1975" w:rsidRDefault="008D0C53" w:rsidP="008F27E0">
            <w:pPr>
              <w:pStyle w:val="Tabletext"/>
              <w:rPr>
                <w:color w:val="0000FF"/>
              </w:rPr>
            </w:pPr>
            <w:r w:rsidRPr="008B1975">
              <w:rPr>
                <w:color w:val="000000" w:themeColor="text1"/>
              </w:rPr>
              <w:t>All, except</w:t>
            </w:r>
            <w:r w:rsidRPr="008B1975">
              <w:t xml:space="preserve"> premises to which the Premises Standards apply</w:t>
            </w:r>
          </w:p>
        </w:tc>
        <w:tc>
          <w:tcPr>
            <w:tcW w:w="1667" w:type="pct"/>
            <w:tcBorders>
              <w:top w:val="single" w:sz="12" w:space="0" w:color="auto"/>
              <w:bottom w:val="single" w:sz="12" w:space="0" w:color="auto"/>
            </w:tcBorders>
            <w:shd w:val="clear" w:color="auto" w:fill="auto"/>
          </w:tcPr>
          <w:p w14:paraId="384ECA65" w14:textId="77777777" w:rsidR="008D0C53" w:rsidRPr="008B1975" w:rsidRDefault="008D0C53" w:rsidP="008F27E0">
            <w:pPr>
              <w:pStyle w:val="Tabletext"/>
            </w:pPr>
            <w:r w:rsidRPr="008B1975">
              <w:t>All</w:t>
            </w:r>
          </w:p>
        </w:tc>
      </w:tr>
    </w:tbl>
    <w:p w14:paraId="2F6AFED8" w14:textId="77777777" w:rsidR="008D0C53" w:rsidRPr="008B1975" w:rsidRDefault="000A511B" w:rsidP="000A511B">
      <w:pPr>
        <w:pStyle w:val="ItemHead"/>
      </w:pPr>
      <w:bookmarkStart w:id="149" w:name="_Ref180406834"/>
      <w:r w:rsidRPr="008B1975">
        <w:t xml:space="preserve">2  </w:t>
      </w:r>
      <w:r w:rsidR="008D0C53" w:rsidRPr="008B1975">
        <w:t>Subsection 11.2(1)</w:t>
      </w:r>
      <w:bookmarkEnd w:id="149"/>
    </w:p>
    <w:p w14:paraId="36BF6595" w14:textId="77777777" w:rsidR="008D0C53" w:rsidRPr="008B1975" w:rsidRDefault="008D0C53" w:rsidP="008F27E0">
      <w:pPr>
        <w:pStyle w:val="Item"/>
      </w:pPr>
      <w:r w:rsidRPr="008B1975">
        <w:t>Omit “Handrails”, substitute “Subject to this section, a handrail”.</w:t>
      </w:r>
    </w:p>
    <w:p w14:paraId="67A8D90C" w14:textId="77777777" w:rsidR="008D0C53" w:rsidRPr="008B1975" w:rsidRDefault="000A511B" w:rsidP="000A511B">
      <w:pPr>
        <w:pStyle w:val="ItemHead"/>
      </w:pPr>
      <w:bookmarkStart w:id="150" w:name="_Ref180406840"/>
      <w:r w:rsidRPr="008B1975">
        <w:t xml:space="preserve">3  </w:t>
      </w:r>
      <w:r w:rsidR="008D0C53" w:rsidRPr="008B1975">
        <w:t>Subsection 11.2(2)</w:t>
      </w:r>
      <w:bookmarkEnd w:id="150"/>
    </w:p>
    <w:p w14:paraId="539B8BFB" w14:textId="77777777" w:rsidR="008D0C53" w:rsidRPr="008B1975" w:rsidRDefault="008D0C53" w:rsidP="008F27E0">
      <w:pPr>
        <w:pStyle w:val="Item"/>
      </w:pPr>
      <w:r w:rsidRPr="008B1975">
        <w:t>Repeal the subsection, substitute:</w:t>
      </w:r>
    </w:p>
    <w:p w14:paraId="1156083C" w14:textId="77777777" w:rsidR="008D0C53" w:rsidRPr="008B1975" w:rsidRDefault="008D0C53" w:rsidP="008F27E0">
      <w:pPr>
        <w:pStyle w:val="SubsectionHead"/>
      </w:pPr>
      <w:r w:rsidRPr="008B1975">
        <w:t>Overbridges and subways</w:t>
      </w:r>
    </w:p>
    <w:p w14:paraId="2C86966D" w14:textId="77777777" w:rsidR="008D0C53" w:rsidRPr="008B1975" w:rsidRDefault="008D0C53" w:rsidP="008F27E0">
      <w:pPr>
        <w:pStyle w:val="subsection"/>
      </w:pPr>
      <w:r w:rsidRPr="008B1975">
        <w:tab/>
      </w:r>
      <w:r w:rsidR="00677B66" w:rsidRPr="008B1975">
        <w:t>(</w:t>
      </w:r>
      <w:r w:rsidR="00AC3EF1" w:rsidRPr="008B1975">
        <w:t>2</w:t>
      </w:r>
      <w:r w:rsidR="00677B66" w:rsidRPr="008B1975">
        <w:t>)</w:t>
      </w:r>
      <w:r w:rsidR="00677B66" w:rsidRPr="008B1975">
        <w:tab/>
      </w:r>
      <w:r w:rsidRPr="008B1975">
        <w:t xml:space="preserve">Handrails must be placed </w:t>
      </w:r>
      <w:r w:rsidRPr="008B1975">
        <w:rPr>
          <w:color w:val="000000" w:themeColor="text1"/>
        </w:rPr>
        <w:t>continuously</w:t>
      </w:r>
      <w:r w:rsidRPr="008B1975">
        <w:rPr>
          <w:i/>
        </w:rPr>
        <w:t xml:space="preserve"> </w:t>
      </w:r>
      <w:r w:rsidRPr="008B1975">
        <w:t>along both sides of an access path that:</w:t>
      </w:r>
    </w:p>
    <w:p w14:paraId="4245A904" w14:textId="77777777" w:rsidR="008D0C53" w:rsidRPr="008B1975" w:rsidRDefault="008D0C53" w:rsidP="008F27E0">
      <w:pPr>
        <w:pStyle w:val="paragraph"/>
      </w:pPr>
      <w:r w:rsidRPr="008B1975">
        <w:tab/>
      </w:r>
      <w:r w:rsidR="001024C7" w:rsidRPr="008B1975">
        <w:t>(a)</w:t>
      </w:r>
      <w:r w:rsidRPr="008B1975">
        <w:tab/>
        <w:t>is on an overbridge; or</w:t>
      </w:r>
    </w:p>
    <w:p w14:paraId="0571DAFE" w14:textId="77777777" w:rsidR="008D0C53" w:rsidRPr="008B1975" w:rsidRDefault="008D0C53" w:rsidP="008F27E0">
      <w:pPr>
        <w:pStyle w:val="paragraph"/>
      </w:pPr>
      <w:r w:rsidRPr="008B1975">
        <w:tab/>
      </w:r>
      <w:r w:rsidR="001024C7" w:rsidRPr="008B1975">
        <w:t>(b)</w:t>
      </w:r>
      <w:r w:rsidRPr="008B1975">
        <w:tab/>
        <w:t>runs through a subway.</w:t>
      </w:r>
    </w:p>
    <w:p w14:paraId="7BEB0242" w14:textId="77777777" w:rsidR="008D0C53" w:rsidRPr="008B1975" w:rsidRDefault="008D0C53" w:rsidP="008F27E0">
      <w:pPr>
        <w:pStyle w:val="subsection"/>
      </w:pPr>
      <w:r w:rsidRPr="008B1975">
        <w:tab/>
      </w:r>
      <w:r w:rsidR="001024C7" w:rsidRPr="008B1975">
        <w:t>(</w:t>
      </w:r>
      <w:r w:rsidR="00AC3EF1" w:rsidRPr="008B1975">
        <w:t>3</w:t>
      </w:r>
      <w:r w:rsidR="001024C7" w:rsidRPr="008B1975">
        <w:t>)</w:t>
      </w:r>
      <w:r w:rsidRPr="008B1975">
        <w:tab/>
        <w:t>However, the handrails mentioned in subsection (</w:t>
      </w:r>
      <w:r w:rsidR="00390EA0" w:rsidRPr="008B1975">
        <w:t>1</w:t>
      </w:r>
      <w:r w:rsidRPr="008B1975">
        <w:t>) may be interrupted at any of the following points:</w:t>
      </w:r>
    </w:p>
    <w:p w14:paraId="01C2A2D4" w14:textId="77777777" w:rsidR="008D0C53" w:rsidRPr="008B1975" w:rsidRDefault="008D0C53" w:rsidP="008F27E0">
      <w:pPr>
        <w:pStyle w:val="paragraph"/>
      </w:pPr>
      <w:r w:rsidRPr="008B1975">
        <w:tab/>
      </w:r>
      <w:r w:rsidR="001024C7" w:rsidRPr="008B1975">
        <w:t>(a)</w:t>
      </w:r>
      <w:r w:rsidRPr="008B1975">
        <w:tab/>
        <w:t>an entry or exit point to:</w:t>
      </w:r>
    </w:p>
    <w:p w14:paraId="22ED5471" w14:textId="77777777" w:rsidR="008D0C53" w:rsidRPr="008B1975" w:rsidRDefault="008D0C53" w:rsidP="008F27E0">
      <w:pPr>
        <w:pStyle w:val="paragraphsub"/>
      </w:pPr>
      <w:r w:rsidRPr="008B1975">
        <w:tab/>
      </w:r>
      <w:r w:rsidR="001024C7" w:rsidRPr="008B1975">
        <w:t>(i)</w:t>
      </w:r>
      <w:r w:rsidR="001024C7" w:rsidRPr="008B1975">
        <w:tab/>
      </w:r>
      <w:r w:rsidRPr="008B1975">
        <w:t>a staircase; or</w:t>
      </w:r>
    </w:p>
    <w:p w14:paraId="05CD3A17" w14:textId="77777777" w:rsidR="008D0C53" w:rsidRPr="008B1975" w:rsidRDefault="008D0C53" w:rsidP="008F27E0">
      <w:pPr>
        <w:pStyle w:val="paragraphsub"/>
      </w:pPr>
      <w:r w:rsidRPr="008B1975">
        <w:tab/>
      </w:r>
      <w:r w:rsidR="001024C7" w:rsidRPr="008B1975">
        <w:t>(ii)</w:t>
      </w:r>
      <w:r w:rsidR="001024C7" w:rsidRPr="008B1975">
        <w:tab/>
      </w:r>
      <w:r w:rsidRPr="008B1975">
        <w:t>a walkway; or</w:t>
      </w:r>
    </w:p>
    <w:p w14:paraId="2D3A2FF7" w14:textId="77777777" w:rsidR="008D0C53" w:rsidRPr="008B1975" w:rsidRDefault="008D0C53" w:rsidP="008F27E0">
      <w:pPr>
        <w:pStyle w:val="paragraphsub"/>
      </w:pPr>
      <w:r w:rsidRPr="008B1975">
        <w:lastRenderedPageBreak/>
        <w:tab/>
      </w:r>
      <w:r w:rsidR="001024C7" w:rsidRPr="008B1975">
        <w:t>(iii)</w:t>
      </w:r>
      <w:r w:rsidRPr="008B1975">
        <w:tab/>
        <w:t>a ramp;</w:t>
      </w:r>
    </w:p>
    <w:p w14:paraId="2C4EE5A2" w14:textId="77777777" w:rsidR="008D0C53" w:rsidRPr="008B1975" w:rsidRDefault="008D0C53" w:rsidP="008F27E0">
      <w:pPr>
        <w:pStyle w:val="paragraph"/>
      </w:pPr>
      <w:r w:rsidRPr="008B1975">
        <w:tab/>
      </w:r>
      <w:r w:rsidR="001024C7" w:rsidRPr="008B1975">
        <w:t>(b)</w:t>
      </w:r>
      <w:r w:rsidRPr="008B1975">
        <w:tab/>
        <w:t>lift doors;</w:t>
      </w:r>
    </w:p>
    <w:p w14:paraId="69CC3597" w14:textId="77777777" w:rsidR="008D0C53" w:rsidRPr="008B1975" w:rsidRDefault="008D0C53" w:rsidP="008F27E0">
      <w:pPr>
        <w:pStyle w:val="paragraph"/>
      </w:pPr>
      <w:r w:rsidRPr="008B1975">
        <w:tab/>
      </w:r>
      <w:r w:rsidR="001024C7" w:rsidRPr="008B1975">
        <w:t>(c)</w:t>
      </w:r>
      <w:r w:rsidR="001024C7" w:rsidRPr="008B1975">
        <w:tab/>
      </w:r>
      <w:r w:rsidRPr="008B1975">
        <w:t>any other entry or exit point for the overbridge or subway.</w:t>
      </w:r>
    </w:p>
    <w:p w14:paraId="5A30D578" w14:textId="77777777" w:rsidR="008D0C53" w:rsidRPr="008B1975" w:rsidRDefault="008D0C53" w:rsidP="008F27E0">
      <w:pPr>
        <w:pStyle w:val="subsection"/>
      </w:pPr>
      <w:r w:rsidRPr="008B1975">
        <w:tab/>
      </w:r>
      <w:r w:rsidR="001024C7" w:rsidRPr="008B1975">
        <w:t>(</w:t>
      </w:r>
      <w:r w:rsidR="00AC3EF1" w:rsidRPr="008B1975">
        <w:t>4</w:t>
      </w:r>
      <w:r w:rsidR="001024C7" w:rsidRPr="008B1975">
        <w:t>)</w:t>
      </w:r>
      <w:r w:rsidRPr="008B1975">
        <w:tab/>
      </w:r>
      <w:r w:rsidR="00390EA0" w:rsidRPr="008B1975">
        <w:t>If the overbridge or subway is a concourse, the handrails mentioned in subsection (1) may also be interrupted at any of the following points:</w:t>
      </w:r>
    </w:p>
    <w:p w14:paraId="1E7A40DA" w14:textId="77777777" w:rsidR="00390EA0" w:rsidRPr="008B1975" w:rsidRDefault="00390EA0" w:rsidP="00390EA0">
      <w:pPr>
        <w:pStyle w:val="paragraph"/>
      </w:pPr>
      <w:r w:rsidRPr="008B1975">
        <w:tab/>
        <w:t>(a)</w:t>
      </w:r>
      <w:r w:rsidRPr="008B1975">
        <w:tab/>
        <w:t>a fare gate;</w:t>
      </w:r>
    </w:p>
    <w:p w14:paraId="5316A005" w14:textId="77777777" w:rsidR="00390EA0" w:rsidRPr="008B1975" w:rsidRDefault="00390EA0" w:rsidP="00390EA0">
      <w:pPr>
        <w:pStyle w:val="paragraph"/>
      </w:pPr>
      <w:r w:rsidRPr="008B1975">
        <w:tab/>
        <w:t>(b)</w:t>
      </w:r>
      <w:r w:rsidRPr="008B1975">
        <w:tab/>
        <w:t>a ticket vending machine;</w:t>
      </w:r>
    </w:p>
    <w:p w14:paraId="2605BBD5" w14:textId="77777777" w:rsidR="00390EA0" w:rsidRPr="008B1975" w:rsidRDefault="00390EA0" w:rsidP="00390EA0">
      <w:pPr>
        <w:pStyle w:val="paragraph"/>
      </w:pPr>
      <w:r w:rsidRPr="008B1975">
        <w:tab/>
        <w:t>(c)</w:t>
      </w:r>
      <w:r w:rsidRPr="008B1975">
        <w:tab/>
        <w:t>a public information display;</w:t>
      </w:r>
    </w:p>
    <w:p w14:paraId="45038FF4" w14:textId="77777777" w:rsidR="00390EA0" w:rsidRPr="008B1975" w:rsidRDefault="00390EA0" w:rsidP="00390EA0">
      <w:pPr>
        <w:pStyle w:val="paragraph"/>
      </w:pPr>
      <w:r w:rsidRPr="008B1975">
        <w:tab/>
        <w:t>(d)</w:t>
      </w:r>
      <w:r w:rsidRPr="008B1975">
        <w:tab/>
        <w:t>a service counter;</w:t>
      </w:r>
    </w:p>
    <w:p w14:paraId="34B6589C" w14:textId="77777777" w:rsidR="00390EA0" w:rsidRPr="008B1975" w:rsidRDefault="00390EA0" w:rsidP="00390EA0">
      <w:pPr>
        <w:pStyle w:val="paragraph"/>
      </w:pPr>
      <w:r w:rsidRPr="008B1975">
        <w:tab/>
        <w:t>(e)</w:t>
      </w:r>
      <w:r w:rsidRPr="008B1975">
        <w:tab/>
        <w:t>staff doors;</w:t>
      </w:r>
    </w:p>
    <w:p w14:paraId="527231C3" w14:textId="77777777" w:rsidR="00390EA0" w:rsidRPr="008B1975" w:rsidRDefault="00390EA0" w:rsidP="00390EA0">
      <w:pPr>
        <w:pStyle w:val="paragraph"/>
      </w:pPr>
      <w:r w:rsidRPr="008B1975">
        <w:tab/>
        <w:t>(f)</w:t>
      </w:r>
      <w:r w:rsidRPr="008B1975">
        <w:tab/>
        <w:t>public toilet doors;</w:t>
      </w:r>
    </w:p>
    <w:p w14:paraId="01EBDE8F" w14:textId="77777777" w:rsidR="00390EA0" w:rsidRPr="008B1975" w:rsidRDefault="00390EA0" w:rsidP="00390EA0">
      <w:pPr>
        <w:pStyle w:val="paragraph"/>
      </w:pPr>
      <w:r w:rsidRPr="008B1975">
        <w:tab/>
        <w:t>(g)</w:t>
      </w:r>
      <w:r w:rsidRPr="008B1975">
        <w:tab/>
        <w:t>an entry or exist point to an access corridor;</w:t>
      </w:r>
    </w:p>
    <w:p w14:paraId="50C5C9D2" w14:textId="77777777" w:rsidR="00390EA0" w:rsidRPr="008B1975" w:rsidRDefault="00390EA0" w:rsidP="00390EA0">
      <w:pPr>
        <w:pStyle w:val="paragraph"/>
      </w:pPr>
      <w:r w:rsidRPr="008B1975">
        <w:tab/>
        <w:t>(h)</w:t>
      </w:r>
      <w:r w:rsidRPr="008B1975">
        <w:tab/>
        <w:t>a point similar to those mentioned in paragraphs (a) to (g).</w:t>
      </w:r>
    </w:p>
    <w:p w14:paraId="4EDC6E22" w14:textId="77777777" w:rsidR="008D0C53" w:rsidRPr="008B1975" w:rsidRDefault="008D0C53" w:rsidP="008F27E0">
      <w:pPr>
        <w:pStyle w:val="SubsectionHead"/>
      </w:pPr>
      <w:r w:rsidRPr="008B1975">
        <w:t>Handrail must not infringe roadside boarding point</w:t>
      </w:r>
    </w:p>
    <w:p w14:paraId="7979EDF5" w14:textId="77777777" w:rsidR="008D0C53" w:rsidRPr="008B1975" w:rsidRDefault="008D0C53" w:rsidP="008F27E0">
      <w:pPr>
        <w:pStyle w:val="subsection"/>
      </w:pPr>
      <w:r w:rsidRPr="008B1975">
        <w:tab/>
      </w:r>
      <w:r w:rsidR="001024C7" w:rsidRPr="008B1975">
        <w:t>(</w:t>
      </w:r>
      <w:r w:rsidR="00AC3EF1" w:rsidRPr="008B1975">
        <w:t>5</w:t>
      </w:r>
      <w:r w:rsidR="001024C7" w:rsidRPr="008B1975">
        <w:t>)</w:t>
      </w:r>
      <w:r w:rsidRPr="008B1975">
        <w:tab/>
        <w:t>A handrail must not infringe an area on a roadside boarding point that may be needed to deploy a boarding device.</w:t>
      </w:r>
    </w:p>
    <w:p w14:paraId="55AAC783" w14:textId="77777777" w:rsidR="008D0C53" w:rsidRPr="008B1975" w:rsidRDefault="000A511B" w:rsidP="000A511B">
      <w:pPr>
        <w:pStyle w:val="ItemHead"/>
      </w:pPr>
      <w:bookmarkStart w:id="151" w:name="_Ref180406377"/>
      <w:r w:rsidRPr="008B1975">
        <w:t xml:space="preserve">4  </w:t>
      </w:r>
      <w:r w:rsidR="008D0C53" w:rsidRPr="008B1975">
        <w:t>Section 11.2 (table)</w:t>
      </w:r>
      <w:bookmarkEnd w:id="151"/>
    </w:p>
    <w:p w14:paraId="13B4E201" w14:textId="77777777" w:rsidR="008D0C53" w:rsidRPr="008B1975" w:rsidRDefault="008D0C53" w:rsidP="008F27E0">
      <w:pPr>
        <w:pStyle w:val="Item"/>
      </w:pPr>
      <w:r w:rsidRPr="008B1975">
        <w:t>Repeal the table, substitute:</w:t>
      </w:r>
    </w:p>
    <w:p w14:paraId="1D4F0C0B" w14:textId="77777777" w:rsidR="008D0C53" w:rsidRPr="008B1975" w:rsidRDefault="008D0C53" w:rsidP="008F27E0">
      <w:pPr>
        <w:pStyle w:val="subsection"/>
      </w:pPr>
      <w:r w:rsidRPr="008B1975">
        <w:tab/>
        <w:t>(</w:t>
      </w:r>
      <w:r w:rsidR="007174EA" w:rsidRPr="008B1975">
        <w:t>6</w:t>
      </w:r>
      <w:r w:rsidRPr="008B1975">
        <w:t>)</w:t>
      </w:r>
      <w:r w:rsidRPr="008B1975">
        <w:tab/>
        <w:t>The following table specifies conveyances, premises and infrastructure this section applies to.</w:t>
      </w:r>
    </w:p>
    <w:p w14:paraId="7C8DC700" w14:textId="77777777" w:rsidR="008D0C53" w:rsidRPr="008B1975" w:rsidRDefault="008D0C53"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4EB6284B"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6618565D" w14:textId="77777777" w:rsidR="008D0C53" w:rsidRPr="008B1975" w:rsidRDefault="008D0C53" w:rsidP="008F27E0">
            <w:pPr>
              <w:pStyle w:val="TableHeading"/>
            </w:pPr>
            <w:r w:rsidRPr="008B1975">
              <w:t>Application of this section</w:t>
            </w:r>
          </w:p>
        </w:tc>
      </w:tr>
      <w:tr w:rsidR="008D0C53" w:rsidRPr="008B1975" w14:paraId="2DF0B535" w14:textId="77777777" w:rsidTr="004E6262">
        <w:trPr>
          <w:trHeight w:val="300"/>
          <w:tblHeader/>
        </w:trPr>
        <w:tc>
          <w:tcPr>
            <w:tcW w:w="1667" w:type="pct"/>
            <w:tcBorders>
              <w:top w:val="single" w:sz="6" w:space="0" w:color="auto"/>
              <w:bottom w:val="single" w:sz="12" w:space="0" w:color="auto"/>
            </w:tcBorders>
            <w:shd w:val="clear" w:color="auto" w:fill="auto"/>
            <w:hideMark/>
          </w:tcPr>
          <w:p w14:paraId="3D349E69" w14:textId="77777777" w:rsidR="008D0C53" w:rsidRPr="008B1975" w:rsidRDefault="008D0C53" w:rsidP="008F27E0">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6AE01D4" w14:textId="77777777" w:rsidR="008D0C53" w:rsidRPr="008B1975" w:rsidRDefault="008D0C53" w:rsidP="008F27E0">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C88FA21" w14:textId="77777777" w:rsidR="008D0C53" w:rsidRPr="008B1975" w:rsidRDefault="008D0C53" w:rsidP="008F27E0">
            <w:pPr>
              <w:pStyle w:val="TableHeading"/>
            </w:pPr>
            <w:r w:rsidRPr="008B1975">
              <w:t>Infrastructure</w:t>
            </w:r>
          </w:p>
        </w:tc>
      </w:tr>
      <w:tr w:rsidR="008D0C53" w:rsidRPr="008B1975" w14:paraId="0D18401C" w14:textId="77777777" w:rsidTr="004E6262">
        <w:trPr>
          <w:trHeight w:val="300"/>
        </w:trPr>
        <w:tc>
          <w:tcPr>
            <w:tcW w:w="1667" w:type="pct"/>
            <w:tcBorders>
              <w:top w:val="single" w:sz="12" w:space="0" w:color="auto"/>
              <w:bottom w:val="single" w:sz="12" w:space="0" w:color="auto"/>
            </w:tcBorders>
            <w:shd w:val="clear" w:color="auto" w:fill="auto"/>
            <w:hideMark/>
          </w:tcPr>
          <w:p w14:paraId="0664776B" w14:textId="77777777" w:rsidR="008D0C53" w:rsidRPr="008B1975" w:rsidRDefault="008D0C53" w:rsidP="008F27E0">
            <w:pPr>
              <w:pStyle w:val="Tabletext"/>
            </w:pPr>
            <w:r w:rsidRPr="008B1975">
              <w:t>None</w:t>
            </w:r>
          </w:p>
        </w:tc>
        <w:tc>
          <w:tcPr>
            <w:tcW w:w="1667" w:type="pct"/>
            <w:tcBorders>
              <w:top w:val="single" w:sz="12" w:space="0" w:color="auto"/>
              <w:bottom w:val="single" w:sz="12" w:space="0" w:color="auto"/>
            </w:tcBorders>
            <w:shd w:val="clear" w:color="auto" w:fill="auto"/>
            <w:hideMark/>
          </w:tcPr>
          <w:p w14:paraId="5745EA15" w14:textId="77777777" w:rsidR="008D0C53" w:rsidRPr="008B1975" w:rsidRDefault="008D0C53" w:rsidP="008F27E0">
            <w:pPr>
              <w:pStyle w:val="Tabletext"/>
              <w:rPr>
                <w:color w:val="0000FF"/>
              </w:rPr>
            </w:pPr>
            <w:r w:rsidRPr="008B1975">
              <w:rPr>
                <w:color w:val="000000" w:themeColor="text1"/>
              </w:rPr>
              <w:t xml:space="preserve">All, except premises </w:t>
            </w:r>
            <w:r w:rsidRPr="008B1975">
              <w:t>to which the Premises Standards apply</w:t>
            </w:r>
          </w:p>
        </w:tc>
        <w:tc>
          <w:tcPr>
            <w:tcW w:w="1667" w:type="pct"/>
            <w:tcBorders>
              <w:top w:val="single" w:sz="12" w:space="0" w:color="auto"/>
              <w:bottom w:val="single" w:sz="12" w:space="0" w:color="auto"/>
            </w:tcBorders>
            <w:shd w:val="clear" w:color="auto" w:fill="auto"/>
          </w:tcPr>
          <w:p w14:paraId="303219E5" w14:textId="77777777" w:rsidR="008D0C53" w:rsidRPr="008B1975" w:rsidRDefault="008D0C53" w:rsidP="008F27E0">
            <w:pPr>
              <w:pStyle w:val="Tabletext"/>
            </w:pPr>
            <w:r w:rsidRPr="008B1975">
              <w:t>All</w:t>
            </w:r>
          </w:p>
        </w:tc>
      </w:tr>
    </w:tbl>
    <w:p w14:paraId="76602472" w14:textId="77777777" w:rsidR="008D0C53" w:rsidRPr="008B1975" w:rsidRDefault="000A511B" w:rsidP="000A511B">
      <w:pPr>
        <w:pStyle w:val="ItemHead"/>
      </w:pPr>
      <w:bookmarkStart w:id="152" w:name="_Ref175300438"/>
      <w:r w:rsidRPr="008B1975">
        <w:t xml:space="preserve">5  </w:t>
      </w:r>
      <w:r w:rsidR="008D0C53" w:rsidRPr="008B1975">
        <w:t>Section 11.3</w:t>
      </w:r>
      <w:bookmarkEnd w:id="152"/>
    </w:p>
    <w:p w14:paraId="6163250B" w14:textId="77777777" w:rsidR="008D0C53" w:rsidRPr="008B1975" w:rsidRDefault="008D0C53" w:rsidP="008F27E0">
      <w:pPr>
        <w:pStyle w:val="Item"/>
      </w:pPr>
      <w:r w:rsidRPr="008B1975">
        <w:t>Repeal the section, substitute:</w:t>
      </w:r>
    </w:p>
    <w:p w14:paraId="33910C1C" w14:textId="77777777" w:rsidR="008D0C53" w:rsidRPr="008B1975" w:rsidRDefault="008D0C53" w:rsidP="008F27E0">
      <w:pPr>
        <w:pStyle w:val="ActHead5"/>
        <w:outlineLvl w:val="9"/>
      </w:pPr>
      <w:r w:rsidRPr="008B1975">
        <w:t>11.3  Handrails on steps and stairs—conveyances</w:t>
      </w:r>
    </w:p>
    <w:p w14:paraId="5E8A6456" w14:textId="77777777" w:rsidR="008D0C53" w:rsidRPr="008B1975" w:rsidRDefault="008D0C53" w:rsidP="008F27E0">
      <w:pPr>
        <w:pStyle w:val="subsection"/>
        <w:rPr>
          <w:color w:val="000000" w:themeColor="text1"/>
        </w:rPr>
      </w:pPr>
      <w:r w:rsidRPr="008B1975">
        <w:rPr>
          <w:color w:val="000000" w:themeColor="text1"/>
        </w:rPr>
        <w:tab/>
      </w:r>
      <w:r w:rsidR="00EF0A3A" w:rsidRPr="008B1975">
        <w:rPr>
          <w:color w:val="000000" w:themeColor="text1"/>
        </w:rPr>
        <w:t>(1)</w:t>
      </w:r>
      <w:r w:rsidRPr="008B1975">
        <w:rPr>
          <w:color w:val="000000" w:themeColor="text1"/>
        </w:rPr>
        <w:tab/>
        <w:t>If a handrail on stairs extends beyond the top or bottom step, the handrail must not compromise any access path.</w:t>
      </w:r>
    </w:p>
    <w:p w14:paraId="7E383318" w14:textId="77777777" w:rsidR="008D0C53" w:rsidRPr="008B1975" w:rsidRDefault="008D0C53" w:rsidP="008F27E0">
      <w:pPr>
        <w:pStyle w:val="subsection"/>
      </w:pPr>
      <w:r w:rsidRPr="008B1975">
        <w:tab/>
      </w:r>
      <w:r w:rsidR="00EF0A3A" w:rsidRPr="008B1975">
        <w:t>(2)</w:t>
      </w:r>
      <w:r w:rsidRPr="008B1975">
        <w:tab/>
        <w:t>If a handrail on stairs does not extend beyond, or is interrupted at, the top or bottom step, the handrail must have a domed warning indicator that:</w:t>
      </w:r>
    </w:p>
    <w:p w14:paraId="4D0D2996" w14:textId="77777777" w:rsidR="008D0C53" w:rsidRPr="008B1975" w:rsidRDefault="008D0C53" w:rsidP="008F27E0">
      <w:pPr>
        <w:pStyle w:val="paragraph"/>
        <w:rPr>
          <w:color w:val="000000" w:themeColor="text1"/>
        </w:rPr>
      </w:pPr>
      <w:r w:rsidRPr="008B1975">
        <w:tab/>
      </w:r>
      <w:r w:rsidR="00EF0A3A" w:rsidRPr="008B1975">
        <w:rPr>
          <w:color w:val="000000" w:themeColor="text1"/>
        </w:rPr>
        <w:t>(a)</w:t>
      </w:r>
      <w:r w:rsidRPr="008B1975">
        <w:rPr>
          <w:color w:val="000000" w:themeColor="text1"/>
        </w:rPr>
        <w:tab/>
        <w:t>is located on the top of the handrail; and</w:t>
      </w:r>
    </w:p>
    <w:p w14:paraId="0D0141BA" w14:textId="77777777" w:rsidR="008D0C53" w:rsidRPr="008B1975" w:rsidRDefault="008D0C53" w:rsidP="008F27E0">
      <w:pPr>
        <w:pStyle w:val="paragraph"/>
        <w:rPr>
          <w:color w:val="000000" w:themeColor="text1"/>
        </w:rPr>
      </w:pPr>
      <w:r w:rsidRPr="008B1975">
        <w:rPr>
          <w:color w:val="000000" w:themeColor="text1"/>
        </w:rPr>
        <w:tab/>
      </w:r>
      <w:r w:rsidR="00EF0A3A" w:rsidRPr="008B1975">
        <w:rPr>
          <w:color w:val="000000" w:themeColor="text1"/>
        </w:rPr>
        <w:t>(b)</w:t>
      </w:r>
      <w:r w:rsidRPr="008B1975">
        <w:rPr>
          <w:color w:val="000000" w:themeColor="text1"/>
        </w:rPr>
        <w:tab/>
        <w:t>is positioned 150 mm from the end of the handrail or the interruption, as the case may be; and</w:t>
      </w:r>
    </w:p>
    <w:p w14:paraId="04433512" w14:textId="77777777" w:rsidR="008D0C53" w:rsidRPr="008B1975" w:rsidRDefault="008D0C53" w:rsidP="008F27E0">
      <w:pPr>
        <w:pStyle w:val="paragraph"/>
        <w:rPr>
          <w:color w:val="000000" w:themeColor="text1"/>
        </w:rPr>
      </w:pPr>
      <w:r w:rsidRPr="008B1975">
        <w:rPr>
          <w:color w:val="000000" w:themeColor="text1"/>
        </w:rPr>
        <w:tab/>
      </w:r>
      <w:r w:rsidR="00EF0A3A" w:rsidRPr="008B1975">
        <w:rPr>
          <w:color w:val="000000" w:themeColor="text1"/>
        </w:rPr>
        <w:t>(c)</w:t>
      </w:r>
      <w:r w:rsidRPr="008B1975">
        <w:rPr>
          <w:color w:val="000000" w:themeColor="text1"/>
        </w:rPr>
        <w:tab/>
        <w:t>has a height of no less than 4 mm and no more than 5 mm; and</w:t>
      </w:r>
    </w:p>
    <w:p w14:paraId="2157A55E" w14:textId="77777777" w:rsidR="008D0C53" w:rsidRPr="008B1975" w:rsidRDefault="008D0C53" w:rsidP="008F27E0">
      <w:pPr>
        <w:pStyle w:val="paragraph"/>
        <w:rPr>
          <w:color w:val="000000" w:themeColor="text1"/>
        </w:rPr>
      </w:pPr>
      <w:r w:rsidRPr="008B1975">
        <w:rPr>
          <w:color w:val="000000" w:themeColor="text1"/>
        </w:rPr>
        <w:tab/>
      </w:r>
      <w:r w:rsidR="00EF0A3A" w:rsidRPr="008B1975">
        <w:rPr>
          <w:color w:val="000000" w:themeColor="text1"/>
        </w:rPr>
        <w:t>(d)</w:t>
      </w:r>
      <w:r w:rsidRPr="008B1975">
        <w:rPr>
          <w:color w:val="000000" w:themeColor="text1"/>
        </w:rPr>
        <w:tab/>
        <w:t>has a diameter of no less than 10 mm and no more than 12 mm.</w:t>
      </w:r>
    </w:p>
    <w:p w14:paraId="3A6FD8F9" w14:textId="77777777" w:rsidR="008D0C53" w:rsidRPr="008B1975" w:rsidRDefault="008D0C53" w:rsidP="008F27E0">
      <w:pPr>
        <w:pStyle w:val="subsection"/>
      </w:pPr>
      <w:r w:rsidRPr="008B1975">
        <w:tab/>
      </w:r>
      <w:r w:rsidR="00EF0A3A" w:rsidRPr="008B1975">
        <w:t>(3)</w:t>
      </w:r>
      <w:r w:rsidRPr="008B1975">
        <w:tab/>
        <w:t>A handrail on stairs must comply with clause 12 of AS1428.1 (2009).</w:t>
      </w:r>
    </w:p>
    <w:p w14:paraId="6FE3896B" w14:textId="77777777" w:rsidR="008D0C53" w:rsidRPr="008B1975" w:rsidRDefault="008D0C53" w:rsidP="008F27E0">
      <w:pPr>
        <w:pStyle w:val="subsection"/>
      </w:pPr>
      <w:r w:rsidRPr="008B1975">
        <w:tab/>
      </w:r>
      <w:r w:rsidR="00EF0A3A" w:rsidRPr="008B1975">
        <w:t>(4)</w:t>
      </w:r>
      <w:r w:rsidRPr="008B1975">
        <w:tab/>
        <w:t>A handrail is not required for a single step in a bus.</w:t>
      </w:r>
    </w:p>
    <w:p w14:paraId="071BBA39" w14:textId="77777777" w:rsidR="008D0C53" w:rsidRPr="008B1975" w:rsidRDefault="008D0C53" w:rsidP="008F27E0">
      <w:pPr>
        <w:pStyle w:val="subsection"/>
        <w:rPr>
          <w:color w:val="000000" w:themeColor="text1"/>
        </w:rPr>
      </w:pPr>
      <w:r w:rsidRPr="008B1975">
        <w:rPr>
          <w:color w:val="000000" w:themeColor="text1"/>
        </w:rPr>
        <w:lastRenderedPageBreak/>
        <w:tab/>
      </w:r>
      <w:r w:rsidR="00EF0A3A" w:rsidRPr="008B1975">
        <w:rPr>
          <w:color w:val="000000" w:themeColor="text1"/>
        </w:rPr>
        <w:t>(5)</w:t>
      </w:r>
      <w:r w:rsidRPr="008B1975">
        <w:rPr>
          <w:color w:val="000000" w:themeColor="text1"/>
        </w:rPr>
        <w:tab/>
        <w:t>A handrail must have a luminance contrast of not less than 30%, as tested in accordance with Appendix B of AS1428.1 (2021), when viewed against any background wall or surface adjacent to the handrail that is within 2 metres of the handrail.</w:t>
      </w:r>
    </w:p>
    <w:p w14:paraId="4DC3C2FF" w14:textId="77777777" w:rsidR="008D0C53" w:rsidRPr="008B1975" w:rsidRDefault="008D0C53" w:rsidP="008F27E0">
      <w:pPr>
        <w:pStyle w:val="subsection"/>
      </w:pPr>
      <w:r w:rsidRPr="008B1975">
        <w:tab/>
        <w:t>(6)</w:t>
      </w:r>
      <w:r w:rsidRPr="008B1975">
        <w:tab/>
        <w:t>The following table specifies conveyances, premises and infrastructure this section applies to.</w:t>
      </w:r>
    </w:p>
    <w:p w14:paraId="6A1C8381" w14:textId="77777777" w:rsidR="008D0C53" w:rsidRPr="008B1975" w:rsidRDefault="008D0C53" w:rsidP="008C3151">
      <w:pPr>
        <w:pStyle w:val="Tabletext"/>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771"/>
        <w:gridCol w:w="2771"/>
        <w:gridCol w:w="2771"/>
      </w:tblGrid>
      <w:tr w:rsidR="008D0C53" w:rsidRPr="008B1975" w14:paraId="5BEAE0D4" w14:textId="77777777" w:rsidTr="004E6262">
        <w:trPr>
          <w:trHeight w:val="300"/>
          <w:tblHeader/>
        </w:trPr>
        <w:tc>
          <w:tcPr>
            <w:tcW w:w="8313" w:type="dxa"/>
            <w:gridSpan w:val="3"/>
            <w:tcBorders>
              <w:top w:val="single" w:sz="12" w:space="0" w:color="auto"/>
              <w:bottom w:val="single" w:sz="6" w:space="0" w:color="auto"/>
            </w:tcBorders>
            <w:shd w:val="clear" w:color="auto" w:fill="auto"/>
            <w:hideMark/>
          </w:tcPr>
          <w:p w14:paraId="62EDE805" w14:textId="77777777" w:rsidR="008D0C53" w:rsidRPr="008B1975" w:rsidRDefault="008D0C53" w:rsidP="008F27E0">
            <w:pPr>
              <w:pStyle w:val="TableHeading"/>
            </w:pPr>
            <w:r w:rsidRPr="008B1975">
              <w:t>Application of this section</w:t>
            </w:r>
          </w:p>
        </w:tc>
      </w:tr>
      <w:tr w:rsidR="008D0C53" w:rsidRPr="008B1975" w14:paraId="2BF7DFCC" w14:textId="77777777" w:rsidTr="004E6262">
        <w:trPr>
          <w:trHeight w:val="300"/>
          <w:tblHeader/>
        </w:trPr>
        <w:tc>
          <w:tcPr>
            <w:tcW w:w="2771" w:type="dxa"/>
            <w:tcBorders>
              <w:top w:val="single" w:sz="6" w:space="0" w:color="auto"/>
              <w:bottom w:val="single" w:sz="12" w:space="0" w:color="auto"/>
            </w:tcBorders>
            <w:shd w:val="clear" w:color="auto" w:fill="auto"/>
            <w:hideMark/>
          </w:tcPr>
          <w:p w14:paraId="5CC01D20" w14:textId="77777777" w:rsidR="008D0C53" w:rsidRPr="008B1975" w:rsidRDefault="008D0C53" w:rsidP="008F27E0">
            <w:pPr>
              <w:pStyle w:val="TableHeading"/>
            </w:pPr>
            <w:r w:rsidRPr="008B1975">
              <w:t>Conveyances</w:t>
            </w:r>
          </w:p>
        </w:tc>
        <w:tc>
          <w:tcPr>
            <w:tcW w:w="2771" w:type="dxa"/>
            <w:tcBorders>
              <w:top w:val="single" w:sz="6" w:space="0" w:color="auto"/>
              <w:bottom w:val="single" w:sz="12" w:space="0" w:color="auto"/>
            </w:tcBorders>
            <w:shd w:val="clear" w:color="auto" w:fill="auto"/>
            <w:hideMark/>
          </w:tcPr>
          <w:p w14:paraId="512A34FB" w14:textId="77777777" w:rsidR="008D0C53" w:rsidRPr="008B1975" w:rsidRDefault="008D0C53" w:rsidP="008F27E0">
            <w:pPr>
              <w:pStyle w:val="TableHeading"/>
            </w:pPr>
            <w:r w:rsidRPr="008B1975">
              <w:t>Premises</w:t>
            </w:r>
          </w:p>
        </w:tc>
        <w:tc>
          <w:tcPr>
            <w:tcW w:w="2771" w:type="dxa"/>
            <w:tcBorders>
              <w:top w:val="single" w:sz="6" w:space="0" w:color="auto"/>
              <w:bottom w:val="single" w:sz="12" w:space="0" w:color="auto"/>
            </w:tcBorders>
            <w:shd w:val="clear" w:color="auto" w:fill="auto"/>
            <w:hideMark/>
          </w:tcPr>
          <w:p w14:paraId="5B3F71A6" w14:textId="77777777" w:rsidR="008D0C53" w:rsidRPr="008B1975" w:rsidRDefault="008D0C53" w:rsidP="008F27E0">
            <w:pPr>
              <w:pStyle w:val="TableHeading"/>
            </w:pPr>
            <w:r w:rsidRPr="008B1975">
              <w:t>Infrastructure</w:t>
            </w:r>
          </w:p>
        </w:tc>
      </w:tr>
      <w:tr w:rsidR="008D0C53" w:rsidRPr="008B1975" w14:paraId="625D2A24" w14:textId="77777777" w:rsidTr="004E6262">
        <w:trPr>
          <w:trHeight w:val="300"/>
        </w:trPr>
        <w:tc>
          <w:tcPr>
            <w:tcW w:w="2771" w:type="dxa"/>
            <w:tcBorders>
              <w:top w:val="single" w:sz="12" w:space="0" w:color="auto"/>
              <w:bottom w:val="single" w:sz="12" w:space="0" w:color="auto"/>
            </w:tcBorders>
            <w:shd w:val="clear" w:color="auto" w:fill="auto"/>
            <w:hideMark/>
          </w:tcPr>
          <w:p w14:paraId="5F515D90" w14:textId="77777777" w:rsidR="008D0C53" w:rsidRPr="008B1975" w:rsidRDefault="008D0C53" w:rsidP="008F27E0">
            <w:pPr>
              <w:pStyle w:val="Tabletext"/>
            </w:pPr>
            <w:r w:rsidRPr="008B1975">
              <w:t>All, except</w:t>
            </w:r>
            <w:r w:rsidR="001024C7" w:rsidRPr="008B1975">
              <w:t xml:space="preserve"> the following</w:t>
            </w:r>
            <w:r w:rsidR="00D633C3" w:rsidRPr="008B1975">
              <w:t>:</w:t>
            </w:r>
          </w:p>
          <w:p w14:paraId="4F7F4FF4" w14:textId="77777777" w:rsidR="008D0C53" w:rsidRPr="008B1975" w:rsidRDefault="008D0C53" w:rsidP="008F27E0">
            <w:pPr>
              <w:pStyle w:val="Tablea"/>
            </w:pPr>
            <w:r w:rsidRPr="008B1975">
              <w:t>(a) ferries;</w:t>
            </w:r>
          </w:p>
          <w:p w14:paraId="622B1A08" w14:textId="77777777" w:rsidR="008D0C53" w:rsidRPr="008B1975" w:rsidRDefault="008D0C53" w:rsidP="008F27E0">
            <w:pPr>
              <w:pStyle w:val="Tablea"/>
            </w:pPr>
            <w:r w:rsidRPr="008B1975">
              <w:t>(b) dedicated school buses;</w:t>
            </w:r>
          </w:p>
          <w:p w14:paraId="2A928F4E" w14:textId="77777777" w:rsidR="008D0C53" w:rsidRPr="008B1975" w:rsidRDefault="008D0C53" w:rsidP="008F27E0">
            <w:pPr>
              <w:pStyle w:val="Tablea"/>
            </w:pPr>
            <w:r w:rsidRPr="008B1975">
              <w:t>(c) small aircraft</w:t>
            </w:r>
          </w:p>
        </w:tc>
        <w:tc>
          <w:tcPr>
            <w:tcW w:w="2771" w:type="dxa"/>
            <w:tcBorders>
              <w:top w:val="single" w:sz="12" w:space="0" w:color="auto"/>
              <w:bottom w:val="single" w:sz="12" w:space="0" w:color="auto"/>
            </w:tcBorders>
            <w:shd w:val="clear" w:color="auto" w:fill="auto"/>
            <w:hideMark/>
          </w:tcPr>
          <w:p w14:paraId="53907A7A" w14:textId="77777777" w:rsidR="008D0C53" w:rsidRPr="008B1975" w:rsidRDefault="008D0C53" w:rsidP="008F27E0">
            <w:pPr>
              <w:pStyle w:val="Tabletext"/>
              <w:rPr>
                <w:color w:val="0000FF"/>
              </w:rPr>
            </w:pPr>
            <w:r w:rsidRPr="008B1975">
              <w:rPr>
                <w:color w:val="000000" w:themeColor="text1"/>
              </w:rPr>
              <w:t>None</w:t>
            </w:r>
          </w:p>
        </w:tc>
        <w:tc>
          <w:tcPr>
            <w:tcW w:w="2771" w:type="dxa"/>
            <w:tcBorders>
              <w:top w:val="single" w:sz="12" w:space="0" w:color="auto"/>
              <w:bottom w:val="single" w:sz="12" w:space="0" w:color="auto"/>
            </w:tcBorders>
            <w:shd w:val="clear" w:color="auto" w:fill="auto"/>
          </w:tcPr>
          <w:p w14:paraId="68B77DAC" w14:textId="77777777" w:rsidR="008D0C53" w:rsidRPr="008B1975" w:rsidRDefault="008D0C53" w:rsidP="008F27E0">
            <w:pPr>
              <w:pStyle w:val="Tabletext"/>
            </w:pPr>
            <w:r w:rsidRPr="008B1975">
              <w:t>None</w:t>
            </w:r>
          </w:p>
        </w:tc>
      </w:tr>
    </w:tbl>
    <w:p w14:paraId="2B268E2E" w14:textId="77777777" w:rsidR="0017016F" w:rsidRPr="008B1975" w:rsidRDefault="000A511B" w:rsidP="000A511B">
      <w:pPr>
        <w:pStyle w:val="ItemHead"/>
      </w:pPr>
      <w:bookmarkStart w:id="153" w:name="_Ref185263876"/>
      <w:r w:rsidRPr="008B1975">
        <w:t xml:space="preserve">6  </w:t>
      </w:r>
      <w:r w:rsidR="0017016F" w:rsidRPr="008B1975">
        <w:t>Section 11.4</w:t>
      </w:r>
      <w:bookmarkEnd w:id="153"/>
    </w:p>
    <w:p w14:paraId="01295228" w14:textId="77777777" w:rsidR="0017016F" w:rsidRPr="008B1975" w:rsidRDefault="0017016F" w:rsidP="008F27E0">
      <w:pPr>
        <w:pStyle w:val="Item"/>
      </w:pPr>
      <w:r w:rsidRPr="008B1975">
        <w:t>Before “If”, insert “(1)”.</w:t>
      </w:r>
    </w:p>
    <w:p w14:paraId="29417B09" w14:textId="77777777" w:rsidR="00F575C1" w:rsidRPr="008B1975" w:rsidRDefault="000A511B" w:rsidP="000A511B">
      <w:pPr>
        <w:pStyle w:val="ItemHead"/>
      </w:pPr>
      <w:bookmarkStart w:id="154" w:name="_Ref185263846"/>
      <w:r w:rsidRPr="008B1975">
        <w:t xml:space="preserve">7  </w:t>
      </w:r>
      <w:r w:rsidR="00F575C1" w:rsidRPr="008B1975">
        <w:t>Section 11.4</w:t>
      </w:r>
      <w:bookmarkEnd w:id="154"/>
    </w:p>
    <w:p w14:paraId="5019CC15" w14:textId="77777777" w:rsidR="00F575C1" w:rsidRPr="008B1975" w:rsidRDefault="00F575C1" w:rsidP="008F27E0">
      <w:pPr>
        <w:pStyle w:val="Item"/>
      </w:pPr>
      <w:r w:rsidRPr="008B1975">
        <w:t xml:space="preserve">Omit “with </w:t>
      </w:r>
      <w:r w:rsidRPr="008B1975">
        <w:rPr>
          <w:b/>
        </w:rPr>
        <w:t>AS1428.1 (2001) Clause 6.1 (c)</w:t>
      </w:r>
      <w:r w:rsidRPr="008B1975">
        <w:t xml:space="preserve">, </w:t>
      </w:r>
      <w:r w:rsidRPr="008B1975">
        <w:rPr>
          <w:i/>
        </w:rPr>
        <w:t xml:space="preserve">Handrails </w:t>
      </w:r>
      <w:r w:rsidRPr="008B1975">
        <w:t xml:space="preserve">and </w:t>
      </w:r>
      <w:r w:rsidRPr="008B1975">
        <w:rPr>
          <w:b/>
        </w:rPr>
        <w:t>Figure 9</w:t>
      </w:r>
      <w:r w:rsidRPr="008B1975">
        <w:t>”, substitute “with the following from AS 1428.1 (2021):</w:t>
      </w:r>
    </w:p>
    <w:p w14:paraId="08B70F5F" w14:textId="77777777" w:rsidR="00F575C1" w:rsidRPr="008B1975" w:rsidRDefault="00F575C1" w:rsidP="008F27E0">
      <w:pPr>
        <w:pStyle w:val="paragraph"/>
      </w:pPr>
      <w:r w:rsidRPr="008B1975">
        <w:tab/>
      </w:r>
      <w:r w:rsidR="00EF0A3A" w:rsidRPr="008B1975">
        <w:t>(a)</w:t>
      </w:r>
      <w:r w:rsidRPr="008B1975">
        <w:tab/>
      </w:r>
      <w:r w:rsidRPr="008B1975">
        <w:rPr>
          <w:color w:val="000000" w:themeColor="text1"/>
        </w:rPr>
        <w:t>item</w:t>
      </w:r>
      <w:r w:rsidRPr="008B1975">
        <w:t xml:space="preserve"> 9(d) (handrails);</w:t>
      </w:r>
    </w:p>
    <w:p w14:paraId="71D5611D" w14:textId="77777777" w:rsidR="00F575C1" w:rsidRPr="008B1975" w:rsidRDefault="00F575C1" w:rsidP="008F27E0">
      <w:pPr>
        <w:pStyle w:val="paragraph"/>
      </w:pPr>
      <w:r w:rsidRPr="008B1975">
        <w:tab/>
      </w:r>
      <w:r w:rsidR="00EF0A3A" w:rsidRPr="008B1975">
        <w:t>(b)</w:t>
      </w:r>
      <w:r w:rsidRPr="008B1975">
        <w:tab/>
        <w:t>figure 29</w:t>
      </w:r>
      <w:r w:rsidR="008A6287" w:rsidRPr="008B1975">
        <w:t>”</w:t>
      </w:r>
      <w:r w:rsidRPr="008B1975">
        <w:t>.</w:t>
      </w:r>
    </w:p>
    <w:p w14:paraId="21FB78D1" w14:textId="77777777" w:rsidR="0017016F" w:rsidRPr="008B1975" w:rsidRDefault="000A511B" w:rsidP="000A511B">
      <w:pPr>
        <w:pStyle w:val="ItemHead"/>
      </w:pPr>
      <w:bookmarkStart w:id="155" w:name="_Ref185263884"/>
      <w:r w:rsidRPr="008B1975">
        <w:t xml:space="preserve">8  </w:t>
      </w:r>
      <w:r w:rsidR="0017016F" w:rsidRPr="008B1975">
        <w:t>Section 11.4 (table)</w:t>
      </w:r>
      <w:bookmarkEnd w:id="155"/>
    </w:p>
    <w:p w14:paraId="4756B754" w14:textId="77777777" w:rsidR="0017016F" w:rsidRPr="008B1975" w:rsidRDefault="0017016F" w:rsidP="008F27E0">
      <w:pPr>
        <w:pStyle w:val="Item"/>
      </w:pPr>
      <w:r w:rsidRPr="008B1975">
        <w:t xml:space="preserve">Repeal the table, substitute: </w:t>
      </w:r>
    </w:p>
    <w:p w14:paraId="64C3DD57" w14:textId="77777777" w:rsidR="0017016F" w:rsidRPr="008B1975" w:rsidRDefault="0017016F" w:rsidP="008F27E0">
      <w:pPr>
        <w:pStyle w:val="subsection"/>
      </w:pPr>
      <w:r w:rsidRPr="008B1975">
        <w:tab/>
        <w:t>(2)</w:t>
      </w:r>
      <w:r w:rsidRPr="008B1975">
        <w:tab/>
        <w:t>The following table specifies conveyances, premises and infrastructure this section applies to.</w:t>
      </w:r>
    </w:p>
    <w:p w14:paraId="490F4BEA" w14:textId="77777777" w:rsidR="0017016F" w:rsidRPr="008B1975" w:rsidRDefault="0017016F" w:rsidP="008C3151">
      <w:pPr>
        <w:pStyle w:val="Tabletext"/>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771"/>
        <w:gridCol w:w="2771"/>
        <w:gridCol w:w="2771"/>
      </w:tblGrid>
      <w:tr w:rsidR="0017016F" w:rsidRPr="008B1975" w14:paraId="35225676" w14:textId="77777777" w:rsidTr="004E6262">
        <w:trPr>
          <w:trHeight w:val="300"/>
          <w:tblHeader/>
        </w:trPr>
        <w:tc>
          <w:tcPr>
            <w:tcW w:w="8313" w:type="dxa"/>
            <w:gridSpan w:val="3"/>
            <w:tcBorders>
              <w:top w:val="single" w:sz="12" w:space="0" w:color="auto"/>
              <w:bottom w:val="single" w:sz="6" w:space="0" w:color="auto"/>
            </w:tcBorders>
            <w:shd w:val="clear" w:color="auto" w:fill="auto"/>
            <w:hideMark/>
          </w:tcPr>
          <w:p w14:paraId="6AE02CC4" w14:textId="77777777" w:rsidR="0017016F" w:rsidRPr="008B1975" w:rsidRDefault="0017016F" w:rsidP="008F27E0">
            <w:pPr>
              <w:pStyle w:val="TableHeading"/>
            </w:pPr>
            <w:r w:rsidRPr="008B1975">
              <w:t>Application of this section</w:t>
            </w:r>
          </w:p>
        </w:tc>
      </w:tr>
      <w:tr w:rsidR="0017016F" w:rsidRPr="008B1975" w14:paraId="02FC9BEC" w14:textId="77777777" w:rsidTr="004E6262">
        <w:trPr>
          <w:trHeight w:val="300"/>
          <w:tblHeader/>
        </w:trPr>
        <w:tc>
          <w:tcPr>
            <w:tcW w:w="2771" w:type="dxa"/>
            <w:tcBorders>
              <w:top w:val="single" w:sz="6" w:space="0" w:color="auto"/>
              <w:bottom w:val="single" w:sz="12" w:space="0" w:color="auto"/>
            </w:tcBorders>
            <w:shd w:val="clear" w:color="auto" w:fill="auto"/>
            <w:hideMark/>
          </w:tcPr>
          <w:p w14:paraId="015BBF11" w14:textId="77777777" w:rsidR="0017016F" w:rsidRPr="008B1975" w:rsidRDefault="0017016F" w:rsidP="008F27E0">
            <w:pPr>
              <w:pStyle w:val="TableHeading"/>
            </w:pPr>
            <w:r w:rsidRPr="008B1975">
              <w:t>Conveyances</w:t>
            </w:r>
          </w:p>
        </w:tc>
        <w:tc>
          <w:tcPr>
            <w:tcW w:w="2771" w:type="dxa"/>
            <w:tcBorders>
              <w:top w:val="single" w:sz="6" w:space="0" w:color="auto"/>
              <w:bottom w:val="single" w:sz="12" w:space="0" w:color="auto"/>
            </w:tcBorders>
            <w:shd w:val="clear" w:color="auto" w:fill="auto"/>
            <w:hideMark/>
          </w:tcPr>
          <w:p w14:paraId="37BDAC9E" w14:textId="77777777" w:rsidR="0017016F" w:rsidRPr="008B1975" w:rsidRDefault="0017016F" w:rsidP="008F27E0">
            <w:pPr>
              <w:pStyle w:val="TableHeading"/>
            </w:pPr>
            <w:r w:rsidRPr="008B1975">
              <w:t>Premises</w:t>
            </w:r>
          </w:p>
        </w:tc>
        <w:tc>
          <w:tcPr>
            <w:tcW w:w="2771" w:type="dxa"/>
            <w:tcBorders>
              <w:top w:val="single" w:sz="6" w:space="0" w:color="auto"/>
              <w:bottom w:val="single" w:sz="12" w:space="0" w:color="auto"/>
            </w:tcBorders>
            <w:shd w:val="clear" w:color="auto" w:fill="auto"/>
            <w:hideMark/>
          </w:tcPr>
          <w:p w14:paraId="02940125" w14:textId="77777777" w:rsidR="0017016F" w:rsidRPr="008B1975" w:rsidRDefault="0017016F" w:rsidP="008F27E0">
            <w:pPr>
              <w:pStyle w:val="TableHeading"/>
            </w:pPr>
            <w:r w:rsidRPr="008B1975">
              <w:t>Infrastructure</w:t>
            </w:r>
          </w:p>
        </w:tc>
      </w:tr>
      <w:tr w:rsidR="0017016F" w:rsidRPr="008B1975" w14:paraId="65B73264" w14:textId="77777777" w:rsidTr="004E6262">
        <w:trPr>
          <w:trHeight w:val="300"/>
        </w:trPr>
        <w:tc>
          <w:tcPr>
            <w:tcW w:w="2771" w:type="dxa"/>
            <w:tcBorders>
              <w:top w:val="single" w:sz="12" w:space="0" w:color="auto"/>
              <w:bottom w:val="single" w:sz="12" w:space="0" w:color="auto"/>
            </w:tcBorders>
            <w:shd w:val="clear" w:color="auto" w:fill="auto"/>
            <w:hideMark/>
          </w:tcPr>
          <w:p w14:paraId="2FF6580C" w14:textId="77777777" w:rsidR="0017016F" w:rsidRPr="008B1975" w:rsidRDefault="007B7F2B" w:rsidP="007B7F2B">
            <w:pPr>
              <w:pStyle w:val="Tabletext"/>
            </w:pPr>
            <w:r w:rsidRPr="008B1975">
              <w:t>All, except dedicated school buses and small aircraft</w:t>
            </w:r>
          </w:p>
        </w:tc>
        <w:tc>
          <w:tcPr>
            <w:tcW w:w="2771" w:type="dxa"/>
            <w:tcBorders>
              <w:top w:val="single" w:sz="12" w:space="0" w:color="auto"/>
              <w:bottom w:val="single" w:sz="12" w:space="0" w:color="auto"/>
            </w:tcBorders>
            <w:shd w:val="clear" w:color="auto" w:fill="auto"/>
            <w:hideMark/>
          </w:tcPr>
          <w:p w14:paraId="189C8E63" w14:textId="77777777" w:rsidR="0017016F" w:rsidRPr="008B1975" w:rsidRDefault="007B7F2B" w:rsidP="008F27E0">
            <w:pPr>
              <w:pStyle w:val="Tabletext"/>
            </w:pPr>
            <w:r w:rsidRPr="008B1975">
              <w:t>None</w:t>
            </w:r>
          </w:p>
        </w:tc>
        <w:tc>
          <w:tcPr>
            <w:tcW w:w="2771" w:type="dxa"/>
            <w:tcBorders>
              <w:top w:val="single" w:sz="12" w:space="0" w:color="auto"/>
              <w:bottom w:val="single" w:sz="12" w:space="0" w:color="auto"/>
            </w:tcBorders>
            <w:shd w:val="clear" w:color="auto" w:fill="auto"/>
          </w:tcPr>
          <w:p w14:paraId="490F297B" w14:textId="77777777" w:rsidR="0017016F" w:rsidRPr="008B1975" w:rsidRDefault="007B7F2B" w:rsidP="008F27E0">
            <w:pPr>
              <w:pStyle w:val="Tabletext"/>
            </w:pPr>
            <w:r w:rsidRPr="008B1975">
              <w:t>None</w:t>
            </w:r>
          </w:p>
        </w:tc>
      </w:tr>
    </w:tbl>
    <w:p w14:paraId="401516F2" w14:textId="77777777" w:rsidR="00C85D55" w:rsidRPr="008B1975" w:rsidRDefault="000A511B" w:rsidP="000A511B">
      <w:pPr>
        <w:pStyle w:val="ItemHead"/>
      </w:pPr>
      <w:bookmarkStart w:id="156" w:name="_Ref185263995"/>
      <w:bookmarkStart w:id="157" w:name="_Hlk185263706"/>
      <w:bookmarkStart w:id="158" w:name="_Ref180596718"/>
      <w:r w:rsidRPr="008B1975">
        <w:t xml:space="preserve">9  </w:t>
      </w:r>
      <w:r w:rsidR="00C85D55" w:rsidRPr="008B1975">
        <w:t>After section 11.4</w:t>
      </w:r>
      <w:bookmarkEnd w:id="156"/>
    </w:p>
    <w:p w14:paraId="041E1BFB" w14:textId="77777777" w:rsidR="00C85D55" w:rsidRPr="008B1975" w:rsidRDefault="00C85D55" w:rsidP="008F27E0">
      <w:pPr>
        <w:pStyle w:val="Item"/>
      </w:pPr>
      <w:r w:rsidRPr="008B1975">
        <w:t>Insert:</w:t>
      </w:r>
    </w:p>
    <w:p w14:paraId="12242C66" w14:textId="77777777" w:rsidR="00C85D55" w:rsidRPr="008B1975" w:rsidRDefault="00C85D55" w:rsidP="008F27E0">
      <w:pPr>
        <w:pStyle w:val="ActHead5"/>
        <w:outlineLvl w:val="9"/>
      </w:pPr>
      <w:r w:rsidRPr="008B1975">
        <w:t xml:space="preserve">11.4A  Handrails </w:t>
      </w:r>
      <w:r w:rsidR="007B7F2B" w:rsidRPr="008B1975">
        <w:t>on stairs—</w:t>
      </w:r>
      <w:r w:rsidRPr="008B1975">
        <w:t>ferries</w:t>
      </w:r>
    </w:p>
    <w:p w14:paraId="10C81216" w14:textId="77777777" w:rsidR="00C85D55" w:rsidRPr="008B1975" w:rsidRDefault="00C85D55" w:rsidP="008F27E0">
      <w:pPr>
        <w:pStyle w:val="subsection"/>
      </w:pPr>
      <w:r w:rsidRPr="008B1975">
        <w:tab/>
        <w:t>(1)</w:t>
      </w:r>
      <w:r w:rsidRPr="008B1975">
        <w:tab/>
        <w:t>The cross-section of a handrail</w:t>
      </w:r>
      <w:r w:rsidR="007B7F2B" w:rsidRPr="008B1975">
        <w:t xml:space="preserve"> on stairs</w:t>
      </w:r>
      <w:r w:rsidRPr="008B1975">
        <w:t xml:space="preserve"> must comply with item 12(b) of AS 1428.1 (2019).</w:t>
      </w:r>
    </w:p>
    <w:p w14:paraId="666A7EFA" w14:textId="77777777" w:rsidR="00C85D55" w:rsidRPr="008B1975" w:rsidRDefault="00C85D55" w:rsidP="008F27E0">
      <w:pPr>
        <w:pStyle w:val="subsection"/>
      </w:pPr>
      <w:r w:rsidRPr="008B1975">
        <w:tab/>
        <w:t>(2)</w:t>
      </w:r>
      <w:r w:rsidRPr="008B1975">
        <w:tab/>
        <w:t>A handrail</w:t>
      </w:r>
      <w:r w:rsidR="007B7F2B" w:rsidRPr="008B1975">
        <w:t xml:space="preserve"> on stairs</w:t>
      </w:r>
      <w:r w:rsidRPr="008B1975">
        <w:t xml:space="preserve"> must have a luminance contrast of not less than 30%, as tested in accordance with Appendix B of AS1428.1 (2021), when viewed against any background wall or surface adjacent to the handrail that is within 2 metres of the handrail.</w:t>
      </w:r>
    </w:p>
    <w:p w14:paraId="1E962460" w14:textId="77777777" w:rsidR="00C85D55" w:rsidRPr="008B1975" w:rsidRDefault="00C85D55" w:rsidP="008F27E0">
      <w:pPr>
        <w:pStyle w:val="subsection"/>
      </w:pPr>
      <w:r w:rsidRPr="008B1975">
        <w:lastRenderedPageBreak/>
        <w:tab/>
        <w:t>(3)</w:t>
      </w:r>
      <w:r w:rsidRPr="008B1975">
        <w:tab/>
        <w:t>If a handrail on stairs does not extend beyond, or is interrupted at, the top or bottom step, the handrail must have a domed warning indicator that:</w:t>
      </w:r>
    </w:p>
    <w:p w14:paraId="00FE2B67" w14:textId="77777777" w:rsidR="00C85D55" w:rsidRPr="008B1975" w:rsidRDefault="00C85D55" w:rsidP="008F27E0">
      <w:pPr>
        <w:pStyle w:val="paragraph"/>
      </w:pPr>
      <w:r w:rsidRPr="008B1975">
        <w:tab/>
        <w:t>(a)</w:t>
      </w:r>
      <w:r w:rsidRPr="008B1975">
        <w:tab/>
        <w:t>is located on the top of the handrail; and</w:t>
      </w:r>
    </w:p>
    <w:p w14:paraId="31D3CE8F" w14:textId="77777777" w:rsidR="00C85D55" w:rsidRPr="008B1975" w:rsidRDefault="00C85D55" w:rsidP="008F27E0">
      <w:pPr>
        <w:pStyle w:val="paragraph"/>
      </w:pPr>
      <w:r w:rsidRPr="008B1975">
        <w:tab/>
        <w:t>(b)</w:t>
      </w:r>
      <w:r w:rsidRPr="008B1975">
        <w:tab/>
        <w:t>is positioned 150 mm from the end of the handrail or the interruption, as the case may be; and</w:t>
      </w:r>
    </w:p>
    <w:p w14:paraId="25A80A03" w14:textId="77777777" w:rsidR="00C85D55" w:rsidRPr="008B1975" w:rsidRDefault="00C85D55" w:rsidP="008F27E0">
      <w:pPr>
        <w:pStyle w:val="paragraph"/>
      </w:pPr>
      <w:r w:rsidRPr="008B1975">
        <w:tab/>
        <w:t>(c)</w:t>
      </w:r>
      <w:r w:rsidRPr="008B1975">
        <w:tab/>
        <w:t>has a height of no less than 4 mm and no more than 5 mm; and</w:t>
      </w:r>
    </w:p>
    <w:p w14:paraId="3A94CDB3" w14:textId="77777777" w:rsidR="00C85D55" w:rsidRPr="008B1975" w:rsidRDefault="00C85D55" w:rsidP="008F27E0">
      <w:pPr>
        <w:pStyle w:val="paragraph"/>
      </w:pPr>
      <w:r w:rsidRPr="008B1975">
        <w:tab/>
        <w:t>(d)</w:t>
      </w:r>
      <w:r w:rsidRPr="008B1975">
        <w:tab/>
        <w:t>has a diameter of no less than 10 mm and no more than 12 mm.</w:t>
      </w:r>
    </w:p>
    <w:p w14:paraId="79A41B7C" w14:textId="77777777" w:rsidR="00C85D55" w:rsidRPr="008B1975" w:rsidRDefault="00C85D55" w:rsidP="008F27E0">
      <w:pPr>
        <w:pStyle w:val="subsection"/>
      </w:pPr>
      <w:r w:rsidRPr="008B1975">
        <w:tab/>
        <w:t>(4)</w:t>
      </w:r>
      <w:r w:rsidRPr="008B1975">
        <w:tab/>
        <w:t>The following table specifies conveyances, premises and infrastructure this section applies to.</w:t>
      </w:r>
    </w:p>
    <w:p w14:paraId="27BF6945" w14:textId="77777777" w:rsidR="00C85D55" w:rsidRPr="008B1975" w:rsidRDefault="00C85D55"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85D55" w:rsidRPr="008B1975" w14:paraId="4050F98A" w14:textId="77777777" w:rsidTr="00E93C13">
        <w:trPr>
          <w:trHeight w:val="300"/>
          <w:tblHeader/>
        </w:trPr>
        <w:tc>
          <w:tcPr>
            <w:tcW w:w="5000" w:type="pct"/>
            <w:gridSpan w:val="3"/>
            <w:tcBorders>
              <w:top w:val="single" w:sz="12" w:space="0" w:color="auto"/>
              <w:left w:val="nil"/>
              <w:bottom w:val="single" w:sz="6" w:space="0" w:color="auto"/>
              <w:right w:val="nil"/>
            </w:tcBorders>
            <w:hideMark/>
          </w:tcPr>
          <w:p w14:paraId="75365467" w14:textId="77777777" w:rsidR="00C85D55" w:rsidRPr="008B1975" w:rsidRDefault="00C85D55" w:rsidP="008F27E0">
            <w:pPr>
              <w:pStyle w:val="TableHeading"/>
            </w:pPr>
            <w:r w:rsidRPr="008B1975">
              <w:t>Application of this section</w:t>
            </w:r>
          </w:p>
        </w:tc>
      </w:tr>
      <w:tr w:rsidR="00C85D55" w:rsidRPr="008B1975" w14:paraId="721102E0" w14:textId="77777777" w:rsidTr="00BD76E0">
        <w:trPr>
          <w:trHeight w:val="300"/>
          <w:tblHeader/>
        </w:trPr>
        <w:tc>
          <w:tcPr>
            <w:tcW w:w="1667" w:type="pct"/>
            <w:tcBorders>
              <w:top w:val="single" w:sz="6" w:space="0" w:color="auto"/>
              <w:left w:val="nil"/>
              <w:bottom w:val="single" w:sz="12" w:space="0" w:color="auto"/>
              <w:right w:val="nil"/>
            </w:tcBorders>
            <w:hideMark/>
          </w:tcPr>
          <w:p w14:paraId="7D82025D" w14:textId="77777777" w:rsidR="00C85D55" w:rsidRPr="008B1975" w:rsidRDefault="00C85D55"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7FA1A4D0" w14:textId="77777777" w:rsidR="00C85D55" w:rsidRPr="008B1975" w:rsidRDefault="00C85D55"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773CC9A7" w14:textId="77777777" w:rsidR="00C85D55" w:rsidRPr="008B1975" w:rsidRDefault="00C85D55" w:rsidP="008F27E0">
            <w:pPr>
              <w:pStyle w:val="TableHeading"/>
            </w:pPr>
            <w:r w:rsidRPr="008B1975">
              <w:t>Infrastructure</w:t>
            </w:r>
          </w:p>
        </w:tc>
      </w:tr>
      <w:tr w:rsidR="00C85D55" w:rsidRPr="008B1975" w14:paraId="45937E92" w14:textId="77777777" w:rsidTr="00BD76E0">
        <w:trPr>
          <w:trHeight w:val="342"/>
        </w:trPr>
        <w:tc>
          <w:tcPr>
            <w:tcW w:w="1667" w:type="pct"/>
            <w:tcBorders>
              <w:top w:val="single" w:sz="12" w:space="0" w:color="auto"/>
              <w:left w:val="nil"/>
              <w:bottom w:val="single" w:sz="12" w:space="0" w:color="auto"/>
              <w:right w:val="nil"/>
            </w:tcBorders>
            <w:hideMark/>
          </w:tcPr>
          <w:p w14:paraId="11A84B48" w14:textId="77777777" w:rsidR="00C85D55" w:rsidRPr="008B1975" w:rsidRDefault="00C85D55" w:rsidP="008F27E0">
            <w:pPr>
              <w:pStyle w:val="Tablea"/>
            </w:pPr>
            <w:r w:rsidRPr="008B1975">
              <w:t>Ferries</w:t>
            </w:r>
          </w:p>
        </w:tc>
        <w:tc>
          <w:tcPr>
            <w:tcW w:w="1667" w:type="pct"/>
            <w:tcBorders>
              <w:top w:val="single" w:sz="12" w:space="0" w:color="auto"/>
              <w:left w:val="nil"/>
              <w:bottom w:val="single" w:sz="12" w:space="0" w:color="auto"/>
              <w:right w:val="nil"/>
            </w:tcBorders>
            <w:hideMark/>
          </w:tcPr>
          <w:p w14:paraId="005CBF09" w14:textId="77777777" w:rsidR="00C85D55" w:rsidRPr="008B1975" w:rsidRDefault="00C85D55" w:rsidP="008F27E0">
            <w:pPr>
              <w:pStyle w:val="Tabletext"/>
            </w:pPr>
            <w:r w:rsidRPr="008B1975">
              <w:t>None</w:t>
            </w:r>
          </w:p>
        </w:tc>
        <w:tc>
          <w:tcPr>
            <w:tcW w:w="1667" w:type="pct"/>
            <w:tcBorders>
              <w:top w:val="single" w:sz="12" w:space="0" w:color="auto"/>
              <w:left w:val="nil"/>
              <w:bottom w:val="single" w:sz="12" w:space="0" w:color="auto"/>
              <w:right w:val="nil"/>
            </w:tcBorders>
            <w:hideMark/>
          </w:tcPr>
          <w:p w14:paraId="01196064" w14:textId="77777777" w:rsidR="00C85D55" w:rsidRPr="008B1975" w:rsidRDefault="00C85D55" w:rsidP="008F27E0">
            <w:pPr>
              <w:pStyle w:val="Tabletext"/>
            </w:pPr>
            <w:r w:rsidRPr="008B1975">
              <w:t>None</w:t>
            </w:r>
          </w:p>
        </w:tc>
      </w:tr>
    </w:tbl>
    <w:p w14:paraId="466B8FA0" w14:textId="77777777" w:rsidR="00F575C1" w:rsidRPr="008B1975" w:rsidRDefault="000A511B" w:rsidP="000A511B">
      <w:pPr>
        <w:pStyle w:val="ItemHead"/>
      </w:pPr>
      <w:bookmarkStart w:id="159" w:name="_Ref185336572"/>
      <w:bookmarkEnd w:id="157"/>
      <w:r w:rsidRPr="008B1975">
        <w:t xml:space="preserve">10  </w:t>
      </w:r>
      <w:r w:rsidR="00F575C1" w:rsidRPr="008B1975">
        <w:t>Section 11.5 (heading)</w:t>
      </w:r>
      <w:bookmarkEnd w:id="158"/>
      <w:bookmarkEnd w:id="159"/>
    </w:p>
    <w:p w14:paraId="2771D175" w14:textId="77777777" w:rsidR="00F575C1" w:rsidRPr="008B1975" w:rsidRDefault="00F575C1" w:rsidP="008F27E0">
      <w:pPr>
        <w:pStyle w:val="Item"/>
      </w:pPr>
      <w:r w:rsidRPr="008B1975">
        <w:t>Repeal the heading, substitute:</w:t>
      </w:r>
    </w:p>
    <w:p w14:paraId="547D314C" w14:textId="77777777" w:rsidR="00F575C1" w:rsidRPr="008B1975" w:rsidRDefault="00F575C1" w:rsidP="008F27E0">
      <w:pPr>
        <w:pStyle w:val="ActHead5"/>
        <w:outlineLvl w:val="9"/>
      </w:pPr>
      <w:r w:rsidRPr="008B1975">
        <w:t>11.5  Grabrails must comply with applicable Australian Standard</w:t>
      </w:r>
    </w:p>
    <w:p w14:paraId="61D90880" w14:textId="77777777" w:rsidR="00F575C1" w:rsidRPr="008B1975" w:rsidRDefault="000A511B" w:rsidP="000A511B">
      <w:pPr>
        <w:pStyle w:val="ItemHead"/>
      </w:pPr>
      <w:bookmarkStart w:id="160" w:name="_Ref185336573"/>
      <w:r w:rsidRPr="008B1975">
        <w:t xml:space="preserve">11  </w:t>
      </w:r>
      <w:r w:rsidR="00F575C1" w:rsidRPr="008B1975">
        <w:t>Section 11.5</w:t>
      </w:r>
      <w:bookmarkEnd w:id="160"/>
    </w:p>
    <w:p w14:paraId="5E27F2CF" w14:textId="77777777" w:rsidR="00F575C1" w:rsidRPr="008B1975" w:rsidRDefault="00F575C1" w:rsidP="008F27E0">
      <w:pPr>
        <w:pStyle w:val="Item"/>
      </w:pPr>
      <w:r w:rsidRPr="008B1975">
        <w:t>Before “A”, insert “(1)”.</w:t>
      </w:r>
    </w:p>
    <w:p w14:paraId="3D9AE703" w14:textId="77777777" w:rsidR="00F575C1" w:rsidRPr="008B1975" w:rsidRDefault="000A511B" w:rsidP="000A511B">
      <w:pPr>
        <w:pStyle w:val="ItemHead"/>
      </w:pPr>
      <w:bookmarkStart w:id="161" w:name="_Ref180596732"/>
      <w:r w:rsidRPr="008B1975">
        <w:t xml:space="preserve">12  </w:t>
      </w:r>
      <w:r w:rsidR="00F575C1" w:rsidRPr="008B1975">
        <w:t>Section 11.5</w:t>
      </w:r>
      <w:bookmarkEnd w:id="161"/>
    </w:p>
    <w:p w14:paraId="7A9D2292" w14:textId="77777777" w:rsidR="00F575C1" w:rsidRPr="008B1975" w:rsidRDefault="00F575C1" w:rsidP="008F27E0">
      <w:pPr>
        <w:pStyle w:val="Item"/>
      </w:pPr>
      <w:r w:rsidRPr="008B1975">
        <w:t>Omit “</w:t>
      </w:r>
      <w:r w:rsidRPr="008B1975">
        <w:rPr>
          <w:b/>
        </w:rPr>
        <w:t>AS1428.2 (</w:t>
      </w:r>
      <w:r w:rsidR="004B7F4D" w:rsidRPr="008B1975">
        <w:rPr>
          <w:b/>
        </w:rPr>
        <w:t>1992</w:t>
      </w:r>
      <w:r w:rsidRPr="008B1975">
        <w:rPr>
          <w:b/>
        </w:rPr>
        <w:t>) Clause 10.2,</w:t>
      </w:r>
      <w:r w:rsidRPr="008B1975">
        <w:t xml:space="preserve"> </w:t>
      </w:r>
      <w:r w:rsidRPr="008B1975">
        <w:rPr>
          <w:i/>
        </w:rPr>
        <w:t>Grabrails</w:t>
      </w:r>
      <w:r w:rsidRPr="008B1975">
        <w:t>”, substitute “clause 14 of AS1428.1 (2021) (grabrails)”.</w:t>
      </w:r>
    </w:p>
    <w:p w14:paraId="79443BFD" w14:textId="77777777" w:rsidR="00F575C1" w:rsidRPr="008B1975" w:rsidRDefault="000A511B" w:rsidP="000A511B">
      <w:pPr>
        <w:pStyle w:val="ItemHead"/>
      </w:pPr>
      <w:bookmarkStart w:id="162" w:name="_Ref180596752"/>
      <w:bookmarkStart w:id="163" w:name="_Ref190098689"/>
      <w:r w:rsidRPr="008B1975">
        <w:t xml:space="preserve">13  </w:t>
      </w:r>
      <w:r w:rsidR="00F575C1" w:rsidRPr="008B1975">
        <w:t>Section 11.5 (table)</w:t>
      </w:r>
      <w:bookmarkEnd w:id="162"/>
      <w:bookmarkEnd w:id="163"/>
    </w:p>
    <w:p w14:paraId="49BE49FA" w14:textId="77777777" w:rsidR="00F575C1" w:rsidRPr="008B1975" w:rsidRDefault="00F575C1" w:rsidP="008F27E0">
      <w:pPr>
        <w:pStyle w:val="Item"/>
      </w:pPr>
      <w:r w:rsidRPr="008B1975">
        <w:t>Repeal the table, substitute:</w:t>
      </w:r>
    </w:p>
    <w:p w14:paraId="2428D968" w14:textId="77777777" w:rsidR="00F575C1" w:rsidRPr="008B1975" w:rsidRDefault="00F575C1" w:rsidP="008F27E0">
      <w:pPr>
        <w:pStyle w:val="subsection"/>
      </w:pPr>
      <w:r w:rsidRPr="008B1975">
        <w:tab/>
        <w:t>(2)</w:t>
      </w:r>
      <w:r w:rsidRPr="008B1975">
        <w:tab/>
        <w:t>The following table specifies conveyances, premises and infrastructure this section applies to.</w:t>
      </w:r>
    </w:p>
    <w:p w14:paraId="4E293F99" w14:textId="77777777" w:rsidR="00F575C1" w:rsidRPr="008B1975" w:rsidRDefault="00F575C1"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575C1" w:rsidRPr="008B1975" w14:paraId="1D181A0B"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1F79C21A" w14:textId="77777777" w:rsidR="00F575C1" w:rsidRPr="008B1975" w:rsidRDefault="00F575C1" w:rsidP="008F27E0">
            <w:pPr>
              <w:pStyle w:val="TableHeading"/>
            </w:pPr>
            <w:r w:rsidRPr="008B1975">
              <w:t>Application of this section</w:t>
            </w:r>
          </w:p>
        </w:tc>
      </w:tr>
      <w:tr w:rsidR="00F575C1" w:rsidRPr="008B1975" w14:paraId="79C8A16C" w14:textId="77777777" w:rsidTr="0010439E">
        <w:trPr>
          <w:trHeight w:val="300"/>
          <w:tblHeader/>
        </w:trPr>
        <w:tc>
          <w:tcPr>
            <w:tcW w:w="1667" w:type="pct"/>
            <w:tcBorders>
              <w:top w:val="single" w:sz="6" w:space="0" w:color="auto"/>
              <w:left w:val="nil"/>
              <w:bottom w:val="single" w:sz="12" w:space="0" w:color="auto"/>
              <w:right w:val="nil"/>
            </w:tcBorders>
            <w:hideMark/>
          </w:tcPr>
          <w:p w14:paraId="40ABCD1F" w14:textId="77777777" w:rsidR="00F575C1" w:rsidRPr="008B1975" w:rsidRDefault="00F575C1"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19E8EFC9" w14:textId="77777777" w:rsidR="00F575C1" w:rsidRPr="008B1975" w:rsidRDefault="00F575C1"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1843BD7A" w14:textId="77777777" w:rsidR="00F575C1" w:rsidRPr="008B1975" w:rsidRDefault="00F575C1" w:rsidP="008F27E0">
            <w:pPr>
              <w:pStyle w:val="TableHeading"/>
            </w:pPr>
            <w:r w:rsidRPr="008B1975">
              <w:t>Infrastructure</w:t>
            </w:r>
          </w:p>
        </w:tc>
      </w:tr>
      <w:tr w:rsidR="00F575C1" w:rsidRPr="008B1975" w14:paraId="2AF17B88" w14:textId="77777777" w:rsidTr="0010439E">
        <w:trPr>
          <w:trHeight w:val="300"/>
        </w:trPr>
        <w:tc>
          <w:tcPr>
            <w:tcW w:w="1667" w:type="pct"/>
            <w:tcBorders>
              <w:top w:val="single" w:sz="12" w:space="0" w:color="auto"/>
              <w:left w:val="nil"/>
              <w:bottom w:val="single" w:sz="12" w:space="0" w:color="auto"/>
              <w:right w:val="nil"/>
            </w:tcBorders>
            <w:hideMark/>
          </w:tcPr>
          <w:p w14:paraId="20E59D9A" w14:textId="77777777" w:rsidR="00F575C1" w:rsidRPr="008B1975" w:rsidRDefault="005D3034" w:rsidP="008F27E0">
            <w:pPr>
              <w:pStyle w:val="Tabletext"/>
            </w:pPr>
            <w:r w:rsidRPr="008B1975">
              <w:t>All, except dedicated school buses and small aircraft</w:t>
            </w:r>
            <w:r w:rsidR="00E43ECF" w:rsidRPr="008B1975">
              <w:t>.</w:t>
            </w:r>
          </w:p>
        </w:tc>
        <w:tc>
          <w:tcPr>
            <w:tcW w:w="1667" w:type="pct"/>
            <w:tcBorders>
              <w:top w:val="single" w:sz="12" w:space="0" w:color="auto"/>
              <w:left w:val="nil"/>
              <w:bottom w:val="single" w:sz="12" w:space="0" w:color="auto"/>
              <w:right w:val="nil"/>
            </w:tcBorders>
            <w:hideMark/>
          </w:tcPr>
          <w:p w14:paraId="23DBF00B" w14:textId="77777777" w:rsidR="00F575C1" w:rsidRPr="008B1975" w:rsidRDefault="00F575C1" w:rsidP="008F27E0">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47949A55" w14:textId="77777777" w:rsidR="00F575C1" w:rsidRPr="008B1975" w:rsidRDefault="00F575C1" w:rsidP="008F27E0">
            <w:pPr>
              <w:pStyle w:val="Tabletext"/>
            </w:pPr>
            <w:r w:rsidRPr="008B1975">
              <w:t>All</w:t>
            </w:r>
          </w:p>
        </w:tc>
      </w:tr>
    </w:tbl>
    <w:p w14:paraId="0D1CE348" w14:textId="77777777" w:rsidR="0017016F" w:rsidRPr="008B1975" w:rsidRDefault="000A511B" w:rsidP="000A511B">
      <w:pPr>
        <w:pStyle w:val="ItemHead"/>
      </w:pPr>
      <w:bookmarkStart w:id="164" w:name="_Ref185336643"/>
      <w:r w:rsidRPr="008B1975">
        <w:t xml:space="preserve">14  </w:t>
      </w:r>
      <w:r w:rsidR="0017016F" w:rsidRPr="008B1975">
        <w:t>Section 11.6</w:t>
      </w:r>
      <w:bookmarkEnd w:id="164"/>
    </w:p>
    <w:p w14:paraId="2847F096" w14:textId="77777777" w:rsidR="0017016F" w:rsidRPr="008B1975" w:rsidRDefault="0017016F" w:rsidP="008F27E0">
      <w:pPr>
        <w:pStyle w:val="Item"/>
      </w:pPr>
      <w:r w:rsidRPr="008B1975">
        <w:t>Before “A”, insert “(1)”.</w:t>
      </w:r>
    </w:p>
    <w:p w14:paraId="6AE58381" w14:textId="77777777" w:rsidR="0017016F" w:rsidRPr="008B1975" w:rsidRDefault="000A511B" w:rsidP="000A511B">
      <w:pPr>
        <w:pStyle w:val="ItemHead"/>
      </w:pPr>
      <w:bookmarkStart w:id="165" w:name="_Ref185336646"/>
      <w:r w:rsidRPr="008B1975">
        <w:t xml:space="preserve">15  </w:t>
      </w:r>
      <w:r w:rsidR="0017016F" w:rsidRPr="008B1975">
        <w:t>Section 11.6 (table)</w:t>
      </w:r>
      <w:bookmarkEnd w:id="165"/>
    </w:p>
    <w:p w14:paraId="01F2E3FA" w14:textId="77777777" w:rsidR="0017016F" w:rsidRPr="008B1975" w:rsidRDefault="0017016F" w:rsidP="008F27E0">
      <w:pPr>
        <w:pStyle w:val="Item"/>
      </w:pPr>
      <w:r w:rsidRPr="008B1975">
        <w:t>Repeal the table, substitute:</w:t>
      </w:r>
    </w:p>
    <w:p w14:paraId="5E20A7E3" w14:textId="77777777" w:rsidR="0017016F" w:rsidRPr="008B1975" w:rsidRDefault="0017016F" w:rsidP="008F27E0">
      <w:pPr>
        <w:pStyle w:val="subsection"/>
      </w:pPr>
      <w:r w:rsidRPr="008B1975">
        <w:tab/>
        <w:t>(2)</w:t>
      </w:r>
      <w:r w:rsidRPr="008B1975">
        <w:tab/>
        <w:t>The following table specifies conveyances, premises and infrastructure this section applies to.</w:t>
      </w:r>
    </w:p>
    <w:p w14:paraId="25D5A6E8" w14:textId="77777777" w:rsidR="0017016F" w:rsidRPr="008B1975" w:rsidRDefault="0017016F"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7016F" w:rsidRPr="008B1975" w14:paraId="5225CC39"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1070CAEE" w14:textId="77777777" w:rsidR="0017016F" w:rsidRPr="008B1975" w:rsidRDefault="0017016F" w:rsidP="008F27E0">
            <w:pPr>
              <w:pStyle w:val="TableHeading"/>
            </w:pPr>
            <w:r w:rsidRPr="008B1975">
              <w:lastRenderedPageBreak/>
              <w:t>Application of this section</w:t>
            </w:r>
          </w:p>
        </w:tc>
      </w:tr>
      <w:tr w:rsidR="0017016F" w:rsidRPr="008B1975" w14:paraId="16698A27" w14:textId="77777777" w:rsidTr="0010439E">
        <w:trPr>
          <w:trHeight w:val="300"/>
          <w:tblHeader/>
        </w:trPr>
        <w:tc>
          <w:tcPr>
            <w:tcW w:w="1667" w:type="pct"/>
            <w:tcBorders>
              <w:top w:val="single" w:sz="6" w:space="0" w:color="auto"/>
              <w:left w:val="nil"/>
              <w:bottom w:val="single" w:sz="12" w:space="0" w:color="auto"/>
              <w:right w:val="nil"/>
            </w:tcBorders>
            <w:hideMark/>
          </w:tcPr>
          <w:p w14:paraId="0F1896A7" w14:textId="77777777" w:rsidR="0017016F" w:rsidRPr="008B1975" w:rsidRDefault="0017016F" w:rsidP="008F27E0">
            <w:pPr>
              <w:pStyle w:val="TableHeading"/>
            </w:pPr>
            <w:r w:rsidRPr="008B1975">
              <w:t>Conveyances</w:t>
            </w:r>
          </w:p>
        </w:tc>
        <w:tc>
          <w:tcPr>
            <w:tcW w:w="1667" w:type="pct"/>
            <w:tcBorders>
              <w:top w:val="single" w:sz="6" w:space="0" w:color="auto"/>
              <w:left w:val="nil"/>
              <w:bottom w:val="single" w:sz="12" w:space="0" w:color="auto"/>
              <w:right w:val="nil"/>
            </w:tcBorders>
            <w:hideMark/>
          </w:tcPr>
          <w:p w14:paraId="3D584661" w14:textId="77777777" w:rsidR="0017016F" w:rsidRPr="008B1975" w:rsidRDefault="0017016F" w:rsidP="008F27E0">
            <w:pPr>
              <w:pStyle w:val="TableHeading"/>
            </w:pPr>
            <w:r w:rsidRPr="008B1975">
              <w:t>Premises</w:t>
            </w:r>
          </w:p>
        </w:tc>
        <w:tc>
          <w:tcPr>
            <w:tcW w:w="1667" w:type="pct"/>
            <w:tcBorders>
              <w:top w:val="single" w:sz="6" w:space="0" w:color="auto"/>
              <w:left w:val="nil"/>
              <w:bottom w:val="single" w:sz="12" w:space="0" w:color="auto"/>
              <w:right w:val="nil"/>
            </w:tcBorders>
            <w:hideMark/>
          </w:tcPr>
          <w:p w14:paraId="7E90DC8A" w14:textId="77777777" w:rsidR="0017016F" w:rsidRPr="008B1975" w:rsidRDefault="0017016F" w:rsidP="008F27E0">
            <w:pPr>
              <w:pStyle w:val="TableHeading"/>
            </w:pPr>
            <w:r w:rsidRPr="008B1975">
              <w:t>Infrastructure</w:t>
            </w:r>
          </w:p>
        </w:tc>
      </w:tr>
      <w:tr w:rsidR="0017016F" w:rsidRPr="008B1975" w14:paraId="5AFA8168" w14:textId="77777777" w:rsidTr="0010439E">
        <w:trPr>
          <w:trHeight w:val="300"/>
        </w:trPr>
        <w:tc>
          <w:tcPr>
            <w:tcW w:w="1667" w:type="pct"/>
            <w:tcBorders>
              <w:top w:val="single" w:sz="12" w:space="0" w:color="auto"/>
              <w:left w:val="nil"/>
              <w:bottom w:val="single" w:sz="12" w:space="0" w:color="auto"/>
              <w:right w:val="nil"/>
            </w:tcBorders>
            <w:hideMark/>
          </w:tcPr>
          <w:p w14:paraId="69E5C2EC" w14:textId="77777777" w:rsidR="0017016F" w:rsidRPr="008B1975" w:rsidRDefault="00FF0A44" w:rsidP="008F27E0">
            <w:pPr>
              <w:pStyle w:val="Tabletext"/>
            </w:pPr>
            <w:r w:rsidRPr="008B1975">
              <w:t>All, except dedicated school buses and small aircraft</w:t>
            </w:r>
          </w:p>
        </w:tc>
        <w:tc>
          <w:tcPr>
            <w:tcW w:w="1667" w:type="pct"/>
            <w:tcBorders>
              <w:top w:val="single" w:sz="12" w:space="0" w:color="auto"/>
              <w:left w:val="nil"/>
              <w:bottom w:val="single" w:sz="12" w:space="0" w:color="auto"/>
              <w:right w:val="nil"/>
            </w:tcBorders>
            <w:hideMark/>
          </w:tcPr>
          <w:p w14:paraId="2E73BFE3" w14:textId="77777777" w:rsidR="0017016F" w:rsidRPr="008B1975" w:rsidRDefault="0017016F" w:rsidP="008F27E0">
            <w:pPr>
              <w:pStyle w:val="Tabletext"/>
            </w:pPr>
            <w:r w:rsidRPr="008B1975">
              <w:t>All</w:t>
            </w:r>
          </w:p>
        </w:tc>
        <w:tc>
          <w:tcPr>
            <w:tcW w:w="1667" w:type="pct"/>
            <w:tcBorders>
              <w:top w:val="single" w:sz="12" w:space="0" w:color="auto"/>
              <w:left w:val="nil"/>
              <w:bottom w:val="single" w:sz="12" w:space="0" w:color="auto"/>
              <w:right w:val="nil"/>
            </w:tcBorders>
            <w:hideMark/>
          </w:tcPr>
          <w:p w14:paraId="29952D60" w14:textId="77777777" w:rsidR="0017016F" w:rsidRPr="008B1975" w:rsidRDefault="0017016F" w:rsidP="008F27E0">
            <w:pPr>
              <w:pStyle w:val="Tabletext"/>
            </w:pPr>
            <w:r w:rsidRPr="008B1975">
              <w:t>All</w:t>
            </w:r>
          </w:p>
        </w:tc>
      </w:tr>
    </w:tbl>
    <w:p w14:paraId="57436233" w14:textId="77777777" w:rsidR="008D0C53" w:rsidRPr="008B1975" w:rsidRDefault="000A511B" w:rsidP="000A511B">
      <w:pPr>
        <w:pStyle w:val="ItemHead"/>
      </w:pPr>
      <w:bookmarkStart w:id="166" w:name="_Ref180768745"/>
      <w:bookmarkStart w:id="167" w:name="_Ref185336748"/>
      <w:r w:rsidRPr="008B1975">
        <w:t xml:space="preserve">16  </w:t>
      </w:r>
      <w:r w:rsidR="008D0C53" w:rsidRPr="008B1975">
        <w:t>Section 11.7</w:t>
      </w:r>
      <w:bookmarkEnd w:id="166"/>
      <w:bookmarkEnd w:id="167"/>
    </w:p>
    <w:p w14:paraId="4F1B1C30" w14:textId="77777777" w:rsidR="008D0C53" w:rsidRPr="008B1975" w:rsidRDefault="008D0C53" w:rsidP="008F27E0">
      <w:pPr>
        <w:pStyle w:val="Item"/>
      </w:pPr>
      <w:r w:rsidRPr="008B1975">
        <w:t>Repeal the section, substitute:</w:t>
      </w:r>
    </w:p>
    <w:p w14:paraId="5E153939" w14:textId="77777777" w:rsidR="008D0C53" w:rsidRPr="008B1975" w:rsidRDefault="008D0C53" w:rsidP="008F27E0">
      <w:pPr>
        <w:pStyle w:val="ActHead5"/>
        <w:outlineLvl w:val="9"/>
      </w:pPr>
      <w:r w:rsidRPr="008B1975">
        <w:t>11.7  Grabrails to be provided in allocated spaces</w:t>
      </w:r>
    </w:p>
    <w:p w14:paraId="6F412D1A" w14:textId="77777777" w:rsidR="008D0C53" w:rsidRPr="008B1975" w:rsidRDefault="008D0C53" w:rsidP="008F27E0">
      <w:pPr>
        <w:pStyle w:val="subsection"/>
      </w:pPr>
      <w:r w:rsidRPr="008B1975">
        <w:tab/>
      </w:r>
      <w:r w:rsidR="00EF0A3A" w:rsidRPr="008B1975">
        <w:t>(1)</w:t>
      </w:r>
      <w:r w:rsidRPr="008B1975">
        <w:tab/>
        <w:t>Grabrails that comply with clause 14 of AS</w:t>
      </w:r>
      <w:r w:rsidR="00BA7325" w:rsidRPr="008B1975">
        <w:t xml:space="preserve"> </w:t>
      </w:r>
      <w:r w:rsidRPr="008B1975">
        <w:t>1428.1 (2021) must be provided in all allocated spaces.</w:t>
      </w:r>
    </w:p>
    <w:p w14:paraId="326C1FC7" w14:textId="79262F86" w:rsidR="008D0C53" w:rsidRPr="008B1975" w:rsidRDefault="008D0C53" w:rsidP="008F27E0">
      <w:pPr>
        <w:pStyle w:val="subsection"/>
      </w:pPr>
      <w:r w:rsidRPr="008B1975">
        <w:tab/>
      </w:r>
      <w:r w:rsidR="00EF0A3A" w:rsidRPr="008B1975">
        <w:rPr>
          <w:color w:val="000000" w:themeColor="text1"/>
        </w:rPr>
        <w:t>(2)</w:t>
      </w:r>
      <w:r w:rsidRPr="008B1975">
        <w:tab/>
        <w:t>Grabrails (other than their attachment points) must be no closer than 50 mm to any adjacent surface or obstruction</w:t>
      </w:r>
      <w:r w:rsidR="00356CEE" w:rsidRPr="008B1975">
        <w:t>.</w:t>
      </w:r>
    </w:p>
    <w:p w14:paraId="790BED55" w14:textId="77777777" w:rsidR="008D0C53" w:rsidRPr="008B1975" w:rsidRDefault="008D0C53" w:rsidP="008F27E0">
      <w:pPr>
        <w:pStyle w:val="subsection"/>
      </w:pPr>
      <w:r w:rsidRPr="008B1975">
        <w:tab/>
      </w:r>
      <w:r w:rsidR="00EF0A3A" w:rsidRPr="008B1975">
        <w:rPr>
          <w:color w:val="000000" w:themeColor="text1"/>
        </w:rPr>
        <w:t>(3)</w:t>
      </w:r>
      <w:r w:rsidRPr="008B1975">
        <w:tab/>
        <w:t>Grabrails must have a luminance contrast of not less than 30%, as tested in accordance with Appendix B of AS</w:t>
      </w:r>
      <w:r w:rsidR="00BA7325" w:rsidRPr="008B1975">
        <w:t xml:space="preserve"> </w:t>
      </w:r>
      <w:r w:rsidRPr="008B1975">
        <w:t>1428.1 (2021), when viewed against:</w:t>
      </w:r>
    </w:p>
    <w:p w14:paraId="599CC020" w14:textId="77777777" w:rsidR="008D0C53" w:rsidRPr="008B1975" w:rsidRDefault="008D0C53" w:rsidP="008F27E0">
      <w:pPr>
        <w:pStyle w:val="paragraph"/>
      </w:pPr>
      <w:r w:rsidRPr="008B1975">
        <w:tab/>
      </w:r>
      <w:r w:rsidR="00EF0A3A" w:rsidRPr="008B1975">
        <w:t>(a)</w:t>
      </w:r>
      <w:r w:rsidRPr="008B1975">
        <w:tab/>
        <w:t>the attachment points of the grabrails; or</w:t>
      </w:r>
    </w:p>
    <w:p w14:paraId="6D837B57" w14:textId="77777777" w:rsidR="008D0C53" w:rsidRPr="008B1975" w:rsidRDefault="008D0C53" w:rsidP="008F27E0">
      <w:pPr>
        <w:pStyle w:val="paragraph"/>
      </w:pPr>
      <w:r w:rsidRPr="008B1975">
        <w:tab/>
      </w:r>
      <w:r w:rsidR="00EF0A3A" w:rsidRPr="008B1975">
        <w:t>(b)</w:t>
      </w:r>
      <w:r w:rsidRPr="008B1975">
        <w:tab/>
        <w:t>surfaces adjacent to the grabrails; or</w:t>
      </w:r>
    </w:p>
    <w:p w14:paraId="681FB223" w14:textId="77777777" w:rsidR="008D0C53" w:rsidRPr="008B1975" w:rsidRDefault="008D0C53" w:rsidP="008F27E0">
      <w:pPr>
        <w:pStyle w:val="paragraph"/>
      </w:pPr>
      <w:r w:rsidRPr="008B1975">
        <w:tab/>
      </w:r>
      <w:r w:rsidR="00EF0A3A" w:rsidRPr="008B1975">
        <w:t>(c)</w:t>
      </w:r>
      <w:r w:rsidRPr="008B1975">
        <w:tab/>
        <w:t xml:space="preserve">other fixed surfaces that are </w:t>
      </w:r>
      <w:r w:rsidRPr="008B1975">
        <w:rPr>
          <w:color w:val="000000" w:themeColor="text1"/>
        </w:rPr>
        <w:t>within 2 metres of the grabrail</w:t>
      </w:r>
      <w:r w:rsidRPr="008B1975">
        <w:t>.</w:t>
      </w:r>
    </w:p>
    <w:p w14:paraId="2301DA88" w14:textId="77777777" w:rsidR="008D0C53" w:rsidRPr="008B1975" w:rsidRDefault="008D0C53" w:rsidP="008F27E0">
      <w:pPr>
        <w:pStyle w:val="subsection"/>
      </w:pPr>
      <w:r w:rsidRPr="008B1975">
        <w:tab/>
        <w:t>(4)</w:t>
      </w:r>
      <w:r w:rsidRPr="008B1975">
        <w:tab/>
        <w:t>The following table specifies conveyances, premises and infrastructure this section applies to.</w:t>
      </w:r>
    </w:p>
    <w:p w14:paraId="192969E0" w14:textId="77777777" w:rsidR="008D0C53" w:rsidRPr="008B1975" w:rsidRDefault="008D0C53"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07A33943"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64CF8160" w14:textId="77777777" w:rsidR="008D0C53" w:rsidRPr="008B1975" w:rsidRDefault="008D0C53" w:rsidP="008F27E0">
            <w:pPr>
              <w:pStyle w:val="TableHeading"/>
            </w:pPr>
            <w:r w:rsidRPr="008B1975">
              <w:t>Application of this section</w:t>
            </w:r>
          </w:p>
        </w:tc>
      </w:tr>
      <w:tr w:rsidR="008D0C53" w:rsidRPr="008B1975" w14:paraId="1CB71C73" w14:textId="77777777" w:rsidTr="0010439E">
        <w:trPr>
          <w:trHeight w:val="300"/>
          <w:tblHeader/>
        </w:trPr>
        <w:tc>
          <w:tcPr>
            <w:tcW w:w="1667" w:type="pct"/>
            <w:tcBorders>
              <w:top w:val="single" w:sz="6" w:space="0" w:color="auto"/>
              <w:bottom w:val="single" w:sz="12" w:space="0" w:color="auto"/>
            </w:tcBorders>
            <w:shd w:val="clear" w:color="auto" w:fill="auto"/>
            <w:hideMark/>
          </w:tcPr>
          <w:p w14:paraId="1BD87CB5" w14:textId="77777777" w:rsidR="008D0C53" w:rsidRPr="008B1975" w:rsidRDefault="008D0C53" w:rsidP="008F27E0">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B34FC86" w14:textId="77777777" w:rsidR="008D0C53" w:rsidRPr="008B1975" w:rsidRDefault="008D0C53" w:rsidP="008F27E0">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1AC8998B" w14:textId="77777777" w:rsidR="008D0C53" w:rsidRPr="008B1975" w:rsidRDefault="008D0C53" w:rsidP="008F27E0">
            <w:pPr>
              <w:pStyle w:val="TableHeading"/>
            </w:pPr>
            <w:r w:rsidRPr="008B1975">
              <w:t>Infrastructure</w:t>
            </w:r>
          </w:p>
        </w:tc>
      </w:tr>
      <w:tr w:rsidR="008D0C53" w:rsidRPr="008B1975" w14:paraId="14AF18ED" w14:textId="77777777" w:rsidTr="0010439E">
        <w:trPr>
          <w:trHeight w:val="300"/>
        </w:trPr>
        <w:tc>
          <w:tcPr>
            <w:tcW w:w="1667" w:type="pct"/>
            <w:tcBorders>
              <w:top w:val="single" w:sz="12" w:space="0" w:color="auto"/>
              <w:bottom w:val="single" w:sz="12" w:space="0" w:color="auto"/>
            </w:tcBorders>
            <w:shd w:val="clear" w:color="auto" w:fill="auto"/>
            <w:hideMark/>
          </w:tcPr>
          <w:p w14:paraId="37CB2F09" w14:textId="77777777" w:rsidR="008D0C53" w:rsidRPr="008B1975" w:rsidRDefault="008D0C53" w:rsidP="008F27E0">
            <w:pPr>
              <w:pStyle w:val="Tabletext"/>
            </w:pPr>
            <w:r w:rsidRPr="008B1975">
              <w:t xml:space="preserve">The following: </w:t>
            </w:r>
          </w:p>
          <w:p w14:paraId="08D83C26" w14:textId="770AA354" w:rsidR="008D0C53" w:rsidRPr="008B1975" w:rsidRDefault="008D0C53" w:rsidP="008F27E0">
            <w:pPr>
              <w:pStyle w:val="Tablea"/>
            </w:pPr>
            <w:r w:rsidRPr="008B1975">
              <w:t>(a)</w:t>
            </w:r>
            <w:r w:rsidR="00B0751E" w:rsidRPr="008B1975">
              <w:t xml:space="preserve"> </w:t>
            </w:r>
            <w:r w:rsidRPr="008B1975">
              <w:t>buses, except dedicated school buses;</w:t>
            </w:r>
          </w:p>
          <w:p w14:paraId="6A88230B" w14:textId="77777777" w:rsidR="008D0C53" w:rsidRPr="008B1975" w:rsidRDefault="008D0C53" w:rsidP="008F27E0">
            <w:pPr>
              <w:pStyle w:val="Tablea"/>
            </w:pPr>
            <w:r w:rsidRPr="008B1975">
              <w:t xml:space="preserve">(b) </w:t>
            </w:r>
            <w:r w:rsidRPr="008B1975">
              <w:tab/>
              <w:t>coaches</w:t>
            </w:r>
            <w:r w:rsidR="00883788" w:rsidRPr="008B1975">
              <w:t>;</w:t>
            </w:r>
          </w:p>
          <w:p w14:paraId="03B54167" w14:textId="77777777" w:rsidR="008D0C53" w:rsidRPr="008B1975" w:rsidRDefault="008D0C53" w:rsidP="008F27E0">
            <w:pPr>
              <w:pStyle w:val="Tablea"/>
            </w:pPr>
            <w:r w:rsidRPr="008B1975">
              <w:t>(c) ferries</w:t>
            </w:r>
            <w:r w:rsidR="00883788" w:rsidRPr="008B1975">
              <w:t>;</w:t>
            </w:r>
          </w:p>
          <w:p w14:paraId="5B9ACF2D" w14:textId="77777777" w:rsidR="008D0C53" w:rsidRPr="008B1975" w:rsidRDefault="008D0C53" w:rsidP="008F27E0">
            <w:pPr>
              <w:pStyle w:val="Tablea"/>
            </w:pPr>
            <w:r w:rsidRPr="008B1975">
              <w:t>(d) trains</w:t>
            </w:r>
            <w:r w:rsidR="00883788" w:rsidRPr="008B1975">
              <w:t>;</w:t>
            </w:r>
          </w:p>
          <w:p w14:paraId="5D0AEB7B" w14:textId="77777777" w:rsidR="005D3034" w:rsidRPr="008B1975" w:rsidRDefault="005D3034" w:rsidP="008F27E0">
            <w:pPr>
              <w:pStyle w:val="Tablea"/>
            </w:pPr>
            <w:r w:rsidRPr="008B1975">
              <w:t>(e) trams;</w:t>
            </w:r>
          </w:p>
          <w:p w14:paraId="06F8AA60" w14:textId="77777777" w:rsidR="008D0C53" w:rsidRPr="008B1975" w:rsidRDefault="008D0C53" w:rsidP="008F27E0">
            <w:pPr>
              <w:pStyle w:val="Tablea"/>
            </w:pPr>
            <w:r w:rsidRPr="008B1975">
              <w:t>(</w:t>
            </w:r>
            <w:r w:rsidR="005D3034" w:rsidRPr="008B1975">
              <w:t>f</w:t>
            </w:r>
            <w:r w:rsidRPr="008B1975">
              <w:t>) light rail</w:t>
            </w:r>
          </w:p>
        </w:tc>
        <w:tc>
          <w:tcPr>
            <w:tcW w:w="1667" w:type="pct"/>
            <w:tcBorders>
              <w:top w:val="single" w:sz="12" w:space="0" w:color="auto"/>
              <w:bottom w:val="single" w:sz="12" w:space="0" w:color="auto"/>
            </w:tcBorders>
            <w:shd w:val="clear" w:color="auto" w:fill="auto"/>
            <w:hideMark/>
          </w:tcPr>
          <w:p w14:paraId="0CACCC71" w14:textId="77777777" w:rsidR="008D0C53" w:rsidRPr="008B1975" w:rsidRDefault="008D0C53" w:rsidP="008F27E0">
            <w:pPr>
              <w:pStyle w:val="Tabletext"/>
            </w:pPr>
            <w:r w:rsidRPr="008B1975">
              <w:t>None</w:t>
            </w:r>
          </w:p>
        </w:tc>
        <w:tc>
          <w:tcPr>
            <w:tcW w:w="1667" w:type="pct"/>
            <w:tcBorders>
              <w:top w:val="single" w:sz="12" w:space="0" w:color="auto"/>
              <w:bottom w:val="single" w:sz="12" w:space="0" w:color="auto"/>
            </w:tcBorders>
            <w:shd w:val="clear" w:color="auto" w:fill="auto"/>
          </w:tcPr>
          <w:p w14:paraId="5C2BBAEE" w14:textId="77777777" w:rsidR="008D0C53" w:rsidRPr="008B1975" w:rsidRDefault="008D0C53" w:rsidP="008F27E0">
            <w:pPr>
              <w:pStyle w:val="Tabletext"/>
            </w:pPr>
            <w:r w:rsidRPr="008B1975">
              <w:t>None</w:t>
            </w:r>
          </w:p>
        </w:tc>
      </w:tr>
    </w:tbl>
    <w:p w14:paraId="1C5BF51F" w14:textId="77777777" w:rsidR="00C85D55" w:rsidRPr="008B1975" w:rsidRDefault="000A511B" w:rsidP="000A511B">
      <w:pPr>
        <w:pStyle w:val="ItemHead"/>
      </w:pPr>
      <w:bookmarkStart w:id="168" w:name="_Ref185264083"/>
      <w:r w:rsidRPr="008B1975">
        <w:t xml:space="preserve">17  </w:t>
      </w:r>
      <w:r w:rsidR="00C85D55" w:rsidRPr="008B1975">
        <w:t>At the end of Part 11</w:t>
      </w:r>
      <w:bookmarkEnd w:id="168"/>
    </w:p>
    <w:p w14:paraId="0ED76282" w14:textId="77777777" w:rsidR="00C85D55" w:rsidRPr="008B1975" w:rsidRDefault="00C85D55" w:rsidP="008F27E0">
      <w:pPr>
        <w:pStyle w:val="Item"/>
      </w:pPr>
      <w:r w:rsidRPr="008B1975">
        <w:t>Add:</w:t>
      </w:r>
    </w:p>
    <w:p w14:paraId="77EACA33" w14:textId="77777777" w:rsidR="00C85D55" w:rsidRPr="008B1975" w:rsidRDefault="00C85D55" w:rsidP="008F27E0">
      <w:pPr>
        <w:pStyle w:val="ActHead5"/>
        <w:outlineLvl w:val="9"/>
      </w:pPr>
      <w:r w:rsidRPr="008B1975">
        <w:t>11.8  Grabrails on access paths</w:t>
      </w:r>
    </w:p>
    <w:p w14:paraId="055BF07B" w14:textId="77777777" w:rsidR="00C85D55" w:rsidRPr="008B1975" w:rsidRDefault="00C85D55" w:rsidP="008F27E0">
      <w:pPr>
        <w:pStyle w:val="subsection"/>
        <w:rPr>
          <w:i/>
        </w:rPr>
      </w:pPr>
      <w:r w:rsidRPr="008B1975">
        <w:tab/>
        <w:t>(1)</w:t>
      </w:r>
      <w:r w:rsidRPr="008B1975">
        <w:tab/>
        <w:t>Grabrails that comply with items 14(a), (b) and (c) of AS</w:t>
      </w:r>
      <w:r w:rsidR="00BA7325" w:rsidRPr="008B1975">
        <w:t xml:space="preserve"> </w:t>
      </w:r>
      <w:r w:rsidRPr="008B1975">
        <w:t>1428.1 (2021) must be provided at any point on an access path</w:t>
      </w:r>
      <w:r w:rsidR="00E44EC2" w:rsidRPr="008B1975">
        <w:t xml:space="preserve"> </w:t>
      </w:r>
      <w:r w:rsidRPr="008B1975">
        <w:t>where a person is likely to require support or stability during boarding, alighting or transit.</w:t>
      </w:r>
    </w:p>
    <w:p w14:paraId="33254C2B" w14:textId="77777777" w:rsidR="00C85D55" w:rsidRPr="008B1975" w:rsidRDefault="00C85D55" w:rsidP="008F27E0">
      <w:pPr>
        <w:pStyle w:val="subsection"/>
      </w:pPr>
      <w:r w:rsidRPr="008B1975">
        <w:tab/>
        <w:t>(2)</w:t>
      </w:r>
      <w:r w:rsidRPr="008B1975">
        <w:tab/>
        <w:t>Grabrails (other than their attachment points) must be no closer than 50 mm to any adjacent surface or obstruction.</w:t>
      </w:r>
    </w:p>
    <w:p w14:paraId="38E7CAEA" w14:textId="77777777" w:rsidR="00C85D55" w:rsidRPr="008B1975" w:rsidRDefault="00C85D55" w:rsidP="008F27E0">
      <w:pPr>
        <w:pStyle w:val="subsection"/>
      </w:pPr>
      <w:r w:rsidRPr="008B1975">
        <w:lastRenderedPageBreak/>
        <w:tab/>
        <w:t>(3)</w:t>
      </w:r>
      <w:r w:rsidRPr="008B1975">
        <w:tab/>
        <w:t>Grabrails must have a luminance contrast of not less than 30%, as tested in accordance with Appendix B of AS1428.1 (2021), when viewed against:</w:t>
      </w:r>
    </w:p>
    <w:p w14:paraId="2F603CD0" w14:textId="77777777" w:rsidR="00C85D55" w:rsidRPr="008B1975" w:rsidRDefault="00C85D55" w:rsidP="008F27E0">
      <w:pPr>
        <w:pStyle w:val="paragraph"/>
      </w:pPr>
      <w:r w:rsidRPr="008B1975">
        <w:tab/>
        <w:t>(a)</w:t>
      </w:r>
      <w:r w:rsidRPr="008B1975">
        <w:tab/>
        <w:t>the attachment points of the grabrails; or</w:t>
      </w:r>
    </w:p>
    <w:p w14:paraId="1A09CE2F" w14:textId="77777777" w:rsidR="00C85D55" w:rsidRPr="008B1975" w:rsidRDefault="00C85D55" w:rsidP="008F27E0">
      <w:pPr>
        <w:pStyle w:val="paragraph"/>
      </w:pPr>
      <w:r w:rsidRPr="008B1975">
        <w:tab/>
        <w:t>(b)</w:t>
      </w:r>
      <w:r w:rsidRPr="008B1975">
        <w:tab/>
        <w:t>surfaces adjacent to the grabrails; or</w:t>
      </w:r>
    </w:p>
    <w:p w14:paraId="053793A8" w14:textId="77777777" w:rsidR="00C85D55" w:rsidRPr="008B1975" w:rsidRDefault="00C85D55" w:rsidP="008F27E0">
      <w:pPr>
        <w:pStyle w:val="paragraph"/>
      </w:pPr>
      <w:r w:rsidRPr="008B1975">
        <w:tab/>
        <w:t>(c)</w:t>
      </w:r>
      <w:r w:rsidRPr="008B1975">
        <w:tab/>
        <w:t>other fixed surfaces that are within 2 metres of the grabrail.</w:t>
      </w:r>
    </w:p>
    <w:p w14:paraId="40283872" w14:textId="77777777" w:rsidR="00C85D55" w:rsidRPr="008B1975" w:rsidRDefault="00C85D55" w:rsidP="008F27E0">
      <w:pPr>
        <w:pStyle w:val="subsection"/>
      </w:pPr>
      <w:r w:rsidRPr="008B1975">
        <w:tab/>
        <w:t>(4)</w:t>
      </w:r>
      <w:r w:rsidRPr="008B1975">
        <w:tab/>
        <w:t>The following table specifies conveyances, premises and infrastructure this section applies to.</w:t>
      </w:r>
    </w:p>
    <w:p w14:paraId="620A51E4" w14:textId="77777777" w:rsidR="00C85D55" w:rsidRPr="008B1975" w:rsidRDefault="00C85D55" w:rsidP="008F27E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85D55" w:rsidRPr="008B1975" w14:paraId="000F3863" w14:textId="77777777" w:rsidTr="00E93C13">
        <w:trPr>
          <w:trHeight w:val="300"/>
          <w:tblHeader/>
        </w:trPr>
        <w:tc>
          <w:tcPr>
            <w:tcW w:w="5000" w:type="pct"/>
            <w:gridSpan w:val="3"/>
            <w:tcBorders>
              <w:top w:val="single" w:sz="12" w:space="0" w:color="auto"/>
              <w:bottom w:val="single" w:sz="6" w:space="0" w:color="auto"/>
            </w:tcBorders>
            <w:shd w:val="clear" w:color="auto" w:fill="auto"/>
            <w:hideMark/>
          </w:tcPr>
          <w:p w14:paraId="40F487EC" w14:textId="77777777" w:rsidR="00C85D55" w:rsidRPr="008B1975" w:rsidRDefault="00C85D55" w:rsidP="008F27E0">
            <w:pPr>
              <w:pStyle w:val="TableHeading"/>
            </w:pPr>
            <w:r w:rsidRPr="008B1975">
              <w:t>Application of this section</w:t>
            </w:r>
          </w:p>
        </w:tc>
      </w:tr>
      <w:tr w:rsidR="00C85D55" w:rsidRPr="008B1975" w14:paraId="310B8BFD" w14:textId="77777777" w:rsidTr="0010439E">
        <w:trPr>
          <w:trHeight w:val="300"/>
          <w:tblHeader/>
        </w:trPr>
        <w:tc>
          <w:tcPr>
            <w:tcW w:w="1667" w:type="pct"/>
            <w:tcBorders>
              <w:top w:val="single" w:sz="6" w:space="0" w:color="auto"/>
              <w:bottom w:val="single" w:sz="12" w:space="0" w:color="auto"/>
            </w:tcBorders>
            <w:shd w:val="clear" w:color="auto" w:fill="auto"/>
            <w:hideMark/>
          </w:tcPr>
          <w:p w14:paraId="62F2E4A9" w14:textId="77777777" w:rsidR="00C85D55" w:rsidRPr="008B1975" w:rsidRDefault="00C85D55" w:rsidP="008F27E0">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1B3B182A" w14:textId="77777777" w:rsidR="00C85D55" w:rsidRPr="008B1975" w:rsidRDefault="00C85D55" w:rsidP="008F27E0">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51AD288" w14:textId="77777777" w:rsidR="00C85D55" w:rsidRPr="008B1975" w:rsidRDefault="00C85D55" w:rsidP="008F27E0">
            <w:pPr>
              <w:pStyle w:val="TableHeading"/>
            </w:pPr>
            <w:r w:rsidRPr="008B1975">
              <w:t>Infrastructure</w:t>
            </w:r>
          </w:p>
        </w:tc>
      </w:tr>
      <w:tr w:rsidR="00C85D55" w:rsidRPr="008B1975" w14:paraId="584D093B" w14:textId="77777777" w:rsidTr="0010439E">
        <w:trPr>
          <w:trHeight w:val="300"/>
        </w:trPr>
        <w:tc>
          <w:tcPr>
            <w:tcW w:w="1667" w:type="pct"/>
            <w:tcBorders>
              <w:top w:val="single" w:sz="12" w:space="0" w:color="auto"/>
              <w:bottom w:val="single" w:sz="12" w:space="0" w:color="auto"/>
            </w:tcBorders>
            <w:shd w:val="clear" w:color="auto" w:fill="auto"/>
            <w:hideMark/>
          </w:tcPr>
          <w:p w14:paraId="230647EC" w14:textId="77777777" w:rsidR="00C85D55" w:rsidRPr="008B1975" w:rsidRDefault="00C85D55" w:rsidP="008F27E0">
            <w:pPr>
              <w:pStyle w:val="Tabletext"/>
            </w:pPr>
            <w:r w:rsidRPr="008B1975">
              <w:t xml:space="preserve">The following: </w:t>
            </w:r>
          </w:p>
          <w:p w14:paraId="4301E880" w14:textId="76A0EEAE" w:rsidR="00C85D55" w:rsidRPr="008B1975" w:rsidRDefault="00C85D55" w:rsidP="008F27E0">
            <w:pPr>
              <w:pStyle w:val="Tablea"/>
            </w:pPr>
            <w:r w:rsidRPr="008B1975">
              <w:t>(a)</w:t>
            </w:r>
            <w:r w:rsidR="00356CEE" w:rsidRPr="008B1975">
              <w:t xml:space="preserve"> </w:t>
            </w:r>
            <w:r w:rsidRPr="008B1975">
              <w:t>buses;</w:t>
            </w:r>
          </w:p>
          <w:p w14:paraId="3B414015" w14:textId="77777777" w:rsidR="00C85D55" w:rsidRPr="008B1975" w:rsidRDefault="00C85D55" w:rsidP="008F27E0">
            <w:pPr>
              <w:pStyle w:val="Tablea"/>
            </w:pPr>
            <w:r w:rsidRPr="008B1975">
              <w:t xml:space="preserve">(b) </w:t>
            </w:r>
            <w:r w:rsidRPr="008B1975">
              <w:tab/>
              <w:t>coaches</w:t>
            </w:r>
            <w:r w:rsidR="00CA775E" w:rsidRPr="008B1975">
              <w:t>;</w:t>
            </w:r>
          </w:p>
          <w:p w14:paraId="51442757" w14:textId="77777777" w:rsidR="00C85D55" w:rsidRPr="008B1975" w:rsidRDefault="00C85D55" w:rsidP="008F27E0">
            <w:pPr>
              <w:pStyle w:val="Tablea"/>
            </w:pPr>
            <w:r w:rsidRPr="008B1975">
              <w:t>(c) ferries</w:t>
            </w:r>
            <w:r w:rsidR="00CA775E" w:rsidRPr="008B1975">
              <w:t>;</w:t>
            </w:r>
          </w:p>
          <w:p w14:paraId="3EA619E9" w14:textId="77777777" w:rsidR="00C85D55" w:rsidRPr="008B1975" w:rsidRDefault="00C85D55" w:rsidP="008F27E0">
            <w:pPr>
              <w:pStyle w:val="Tablea"/>
            </w:pPr>
            <w:r w:rsidRPr="008B1975">
              <w:t>(d) trains</w:t>
            </w:r>
            <w:r w:rsidR="00CA775E" w:rsidRPr="008B1975">
              <w:t>;</w:t>
            </w:r>
          </w:p>
          <w:p w14:paraId="053CC94E" w14:textId="77777777" w:rsidR="00CA775E" w:rsidRPr="008B1975" w:rsidRDefault="00CA775E" w:rsidP="008F27E0">
            <w:pPr>
              <w:pStyle w:val="Tablea"/>
            </w:pPr>
            <w:r w:rsidRPr="008B1975">
              <w:t>(e) trams;</w:t>
            </w:r>
          </w:p>
          <w:p w14:paraId="080357A8" w14:textId="77777777" w:rsidR="00C85D55" w:rsidRPr="008B1975" w:rsidRDefault="00C85D55" w:rsidP="008F27E0">
            <w:pPr>
              <w:pStyle w:val="Tablea"/>
            </w:pPr>
            <w:r w:rsidRPr="008B1975">
              <w:t>(</w:t>
            </w:r>
            <w:r w:rsidR="00CA775E" w:rsidRPr="008B1975">
              <w:t>f</w:t>
            </w:r>
            <w:r w:rsidRPr="008B1975">
              <w:t>) light rail</w:t>
            </w:r>
          </w:p>
        </w:tc>
        <w:tc>
          <w:tcPr>
            <w:tcW w:w="1667" w:type="pct"/>
            <w:tcBorders>
              <w:top w:val="single" w:sz="12" w:space="0" w:color="auto"/>
              <w:bottom w:val="single" w:sz="12" w:space="0" w:color="auto"/>
            </w:tcBorders>
            <w:shd w:val="clear" w:color="auto" w:fill="auto"/>
            <w:hideMark/>
          </w:tcPr>
          <w:p w14:paraId="034682DB" w14:textId="77777777" w:rsidR="00C85D55" w:rsidRPr="008B1975" w:rsidRDefault="00C85D55" w:rsidP="008F27E0">
            <w:pPr>
              <w:pStyle w:val="Tabletext"/>
            </w:pPr>
            <w:r w:rsidRPr="008B1975">
              <w:t>None</w:t>
            </w:r>
          </w:p>
        </w:tc>
        <w:tc>
          <w:tcPr>
            <w:tcW w:w="1667" w:type="pct"/>
            <w:tcBorders>
              <w:top w:val="single" w:sz="12" w:space="0" w:color="auto"/>
              <w:bottom w:val="single" w:sz="12" w:space="0" w:color="auto"/>
            </w:tcBorders>
            <w:shd w:val="clear" w:color="auto" w:fill="auto"/>
          </w:tcPr>
          <w:p w14:paraId="4316AF39" w14:textId="77777777" w:rsidR="00C85D55" w:rsidRPr="008B1975" w:rsidRDefault="00C85D55" w:rsidP="008F27E0">
            <w:pPr>
              <w:pStyle w:val="Tabletext"/>
            </w:pPr>
            <w:r w:rsidRPr="008B1975">
              <w:t>None</w:t>
            </w:r>
          </w:p>
        </w:tc>
      </w:tr>
    </w:tbl>
    <w:p w14:paraId="1E680004" w14:textId="77777777" w:rsidR="00824838" w:rsidRPr="008B1975" w:rsidRDefault="00824838" w:rsidP="00824838">
      <w:pPr>
        <w:pStyle w:val="ActHead6"/>
        <w:pageBreakBefore/>
      </w:pPr>
      <w:bookmarkStart w:id="169" w:name="_Toc197178952"/>
      <w:r w:rsidRPr="008B1975">
        <w:lastRenderedPageBreak/>
        <w:t>Schedule 12—Part 12 (Doorways and doors) Amendments</w:t>
      </w:r>
      <w:bookmarkEnd w:id="169"/>
    </w:p>
    <w:p w14:paraId="16D55C4B" w14:textId="77777777" w:rsidR="00824838" w:rsidRPr="008B1975" w:rsidRDefault="00824838" w:rsidP="00824838">
      <w:pPr>
        <w:pStyle w:val="ActHead9"/>
      </w:pPr>
      <w:bookmarkStart w:id="170" w:name="_Toc197178953"/>
      <w:r w:rsidRPr="008B1975">
        <w:t>Disability Standards for Accessible Public Transport 2002</w:t>
      </w:r>
      <w:bookmarkEnd w:id="170"/>
    </w:p>
    <w:p w14:paraId="12425DA0" w14:textId="77777777" w:rsidR="0017016F" w:rsidRPr="008B1975" w:rsidRDefault="000A511B" w:rsidP="000A511B">
      <w:pPr>
        <w:pStyle w:val="ItemHead"/>
      </w:pPr>
      <w:bookmarkStart w:id="171" w:name="_Ref185264671"/>
      <w:bookmarkStart w:id="172" w:name="_Ref180597610"/>
      <w:bookmarkStart w:id="173" w:name="_Ref180597604"/>
      <w:r w:rsidRPr="008B1975">
        <w:t xml:space="preserve">1  </w:t>
      </w:r>
      <w:r w:rsidR="0017016F" w:rsidRPr="008B1975">
        <w:t>Section 12.1 (table)</w:t>
      </w:r>
      <w:bookmarkEnd w:id="171"/>
    </w:p>
    <w:p w14:paraId="170E7554" w14:textId="77777777" w:rsidR="0017016F" w:rsidRPr="008B1975" w:rsidRDefault="0017016F" w:rsidP="002A367E">
      <w:pPr>
        <w:pStyle w:val="Item"/>
      </w:pPr>
      <w:r w:rsidRPr="008B1975">
        <w:t>Repeal the table, substitute:</w:t>
      </w:r>
    </w:p>
    <w:p w14:paraId="20B7E5D1" w14:textId="77777777" w:rsidR="0017016F" w:rsidRPr="008B1975" w:rsidRDefault="0017016F" w:rsidP="002A367E">
      <w:pPr>
        <w:pStyle w:val="subsection"/>
      </w:pPr>
      <w:r w:rsidRPr="008B1975">
        <w:tab/>
        <w:t>(3)</w:t>
      </w:r>
      <w:r w:rsidRPr="008B1975">
        <w:tab/>
        <w:t>The following table specifies conveyances, premises and infrastructure this section applies to.</w:t>
      </w:r>
    </w:p>
    <w:p w14:paraId="49F855A5" w14:textId="77777777" w:rsidR="0017016F" w:rsidRPr="008B1975" w:rsidRDefault="0017016F"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7016F" w:rsidRPr="008B1975" w14:paraId="646CCB26" w14:textId="77777777" w:rsidTr="0017016F">
        <w:trPr>
          <w:trHeight w:val="300"/>
          <w:tblHeader/>
        </w:trPr>
        <w:tc>
          <w:tcPr>
            <w:tcW w:w="5000" w:type="pct"/>
            <w:gridSpan w:val="3"/>
            <w:tcBorders>
              <w:top w:val="single" w:sz="12" w:space="0" w:color="auto"/>
              <w:left w:val="nil"/>
              <w:bottom w:val="single" w:sz="6" w:space="0" w:color="auto"/>
              <w:right w:val="nil"/>
            </w:tcBorders>
            <w:hideMark/>
          </w:tcPr>
          <w:p w14:paraId="56FA8929" w14:textId="77777777" w:rsidR="0017016F" w:rsidRPr="008B1975" w:rsidRDefault="0017016F" w:rsidP="002A367E">
            <w:pPr>
              <w:pStyle w:val="TableHeading"/>
            </w:pPr>
            <w:r w:rsidRPr="008B1975">
              <w:t>Application of this section</w:t>
            </w:r>
          </w:p>
        </w:tc>
      </w:tr>
      <w:tr w:rsidR="0017016F" w:rsidRPr="008B1975" w14:paraId="659408B6" w14:textId="77777777" w:rsidTr="00CC36E0">
        <w:trPr>
          <w:trHeight w:val="300"/>
          <w:tblHeader/>
        </w:trPr>
        <w:tc>
          <w:tcPr>
            <w:tcW w:w="1667" w:type="pct"/>
            <w:tcBorders>
              <w:top w:val="single" w:sz="6" w:space="0" w:color="auto"/>
              <w:left w:val="nil"/>
              <w:bottom w:val="single" w:sz="12" w:space="0" w:color="auto"/>
              <w:right w:val="nil"/>
            </w:tcBorders>
            <w:hideMark/>
          </w:tcPr>
          <w:p w14:paraId="3CBA682A" w14:textId="77777777" w:rsidR="0017016F" w:rsidRPr="008B1975" w:rsidRDefault="0017016F" w:rsidP="002A367E">
            <w:pPr>
              <w:pStyle w:val="TableHeading"/>
            </w:pPr>
            <w:r w:rsidRPr="008B1975">
              <w:t>Conveyances</w:t>
            </w:r>
          </w:p>
        </w:tc>
        <w:tc>
          <w:tcPr>
            <w:tcW w:w="1667" w:type="pct"/>
            <w:tcBorders>
              <w:top w:val="single" w:sz="6" w:space="0" w:color="auto"/>
              <w:left w:val="nil"/>
              <w:bottom w:val="single" w:sz="12" w:space="0" w:color="auto"/>
              <w:right w:val="nil"/>
            </w:tcBorders>
            <w:hideMark/>
          </w:tcPr>
          <w:p w14:paraId="563AFAA8" w14:textId="77777777" w:rsidR="0017016F" w:rsidRPr="008B1975" w:rsidRDefault="0017016F" w:rsidP="002A367E">
            <w:pPr>
              <w:pStyle w:val="TableHeading"/>
            </w:pPr>
            <w:r w:rsidRPr="008B1975">
              <w:t>Premises</w:t>
            </w:r>
          </w:p>
        </w:tc>
        <w:tc>
          <w:tcPr>
            <w:tcW w:w="1667" w:type="pct"/>
            <w:tcBorders>
              <w:top w:val="single" w:sz="6" w:space="0" w:color="auto"/>
              <w:left w:val="nil"/>
              <w:bottom w:val="single" w:sz="12" w:space="0" w:color="auto"/>
              <w:right w:val="nil"/>
            </w:tcBorders>
            <w:hideMark/>
          </w:tcPr>
          <w:p w14:paraId="2FAEF259" w14:textId="77777777" w:rsidR="0017016F" w:rsidRPr="008B1975" w:rsidRDefault="0017016F" w:rsidP="002A367E">
            <w:pPr>
              <w:pStyle w:val="TableHeading"/>
            </w:pPr>
            <w:r w:rsidRPr="008B1975">
              <w:t>Infrastructure</w:t>
            </w:r>
          </w:p>
        </w:tc>
      </w:tr>
      <w:tr w:rsidR="0017016F" w:rsidRPr="008B1975" w14:paraId="17E15BB9" w14:textId="77777777" w:rsidTr="00CC36E0">
        <w:trPr>
          <w:trHeight w:val="300"/>
        </w:trPr>
        <w:tc>
          <w:tcPr>
            <w:tcW w:w="1667" w:type="pct"/>
            <w:tcBorders>
              <w:top w:val="single" w:sz="12" w:space="0" w:color="auto"/>
              <w:left w:val="nil"/>
              <w:bottom w:val="single" w:sz="12" w:space="0" w:color="auto"/>
              <w:right w:val="nil"/>
            </w:tcBorders>
            <w:hideMark/>
          </w:tcPr>
          <w:p w14:paraId="7B1F19C9" w14:textId="77777777" w:rsidR="0017016F" w:rsidRPr="008B1975" w:rsidRDefault="0017016F" w:rsidP="002A367E">
            <w:pPr>
              <w:pStyle w:val="Tabletext"/>
            </w:pPr>
            <w:r w:rsidRPr="008B1975">
              <w:t>All, except dedicated school buses and small aircraft</w:t>
            </w:r>
          </w:p>
        </w:tc>
        <w:tc>
          <w:tcPr>
            <w:tcW w:w="1667" w:type="pct"/>
            <w:tcBorders>
              <w:top w:val="single" w:sz="12" w:space="0" w:color="auto"/>
              <w:left w:val="nil"/>
              <w:bottom w:val="single" w:sz="12" w:space="0" w:color="auto"/>
              <w:right w:val="nil"/>
            </w:tcBorders>
            <w:hideMark/>
          </w:tcPr>
          <w:p w14:paraId="732D34E5" w14:textId="77777777" w:rsidR="0017016F" w:rsidRPr="008B1975" w:rsidRDefault="00E43ECF" w:rsidP="002A367E">
            <w:pPr>
              <w:pStyle w:val="Tabletext"/>
            </w:pPr>
            <w:r w:rsidRPr="008B1975">
              <w:t>All</w:t>
            </w:r>
          </w:p>
        </w:tc>
        <w:tc>
          <w:tcPr>
            <w:tcW w:w="1667" w:type="pct"/>
            <w:tcBorders>
              <w:top w:val="single" w:sz="12" w:space="0" w:color="auto"/>
              <w:left w:val="nil"/>
              <w:bottom w:val="single" w:sz="12" w:space="0" w:color="auto"/>
              <w:right w:val="nil"/>
            </w:tcBorders>
            <w:hideMark/>
          </w:tcPr>
          <w:p w14:paraId="28531F37" w14:textId="77777777" w:rsidR="0017016F" w:rsidRPr="008B1975" w:rsidRDefault="0017016F" w:rsidP="002A367E">
            <w:pPr>
              <w:pStyle w:val="Tabletext"/>
            </w:pPr>
            <w:r w:rsidRPr="008B1975">
              <w:t>All</w:t>
            </w:r>
          </w:p>
        </w:tc>
      </w:tr>
    </w:tbl>
    <w:p w14:paraId="3B887A69" w14:textId="77777777" w:rsidR="00F575C1" w:rsidRPr="008B1975" w:rsidRDefault="000A511B" w:rsidP="000A511B">
      <w:pPr>
        <w:pStyle w:val="ItemHead"/>
      </w:pPr>
      <w:bookmarkStart w:id="174" w:name="_Ref185264598"/>
      <w:bookmarkStart w:id="175" w:name="_Ref190099589"/>
      <w:r w:rsidRPr="008B1975">
        <w:t xml:space="preserve">2  </w:t>
      </w:r>
      <w:r w:rsidR="00F575C1" w:rsidRPr="008B1975">
        <w:t>Section 12.2 (heading)</w:t>
      </w:r>
      <w:bookmarkEnd w:id="172"/>
      <w:bookmarkEnd w:id="174"/>
      <w:bookmarkEnd w:id="175"/>
    </w:p>
    <w:p w14:paraId="7DCCDC71" w14:textId="77777777" w:rsidR="00F575C1" w:rsidRPr="008B1975" w:rsidRDefault="00F575C1" w:rsidP="002A367E">
      <w:pPr>
        <w:pStyle w:val="Item"/>
      </w:pPr>
      <w:r w:rsidRPr="008B1975">
        <w:t>Repeal the heading, substitute:</w:t>
      </w:r>
    </w:p>
    <w:p w14:paraId="3731D423" w14:textId="77777777" w:rsidR="00F575C1" w:rsidRPr="008B1975" w:rsidRDefault="00F575C1" w:rsidP="002A367E">
      <w:pPr>
        <w:pStyle w:val="ActHead5"/>
        <w:outlineLvl w:val="9"/>
      </w:pPr>
      <w:r w:rsidRPr="008B1975">
        <w:t>12.2  Doorways and doors must comply with applicable Australian Standards</w:t>
      </w:r>
    </w:p>
    <w:p w14:paraId="0DA40A93" w14:textId="77777777" w:rsidR="00F575C1" w:rsidRPr="008B1975" w:rsidRDefault="000A511B" w:rsidP="000A511B">
      <w:pPr>
        <w:pStyle w:val="ItemHead"/>
      </w:pPr>
      <w:bookmarkStart w:id="176" w:name="_Ref185264707"/>
      <w:r w:rsidRPr="008B1975">
        <w:t xml:space="preserve">3  </w:t>
      </w:r>
      <w:r w:rsidR="00F575C1" w:rsidRPr="008B1975">
        <w:t>Section 12.2</w:t>
      </w:r>
      <w:bookmarkEnd w:id="176"/>
    </w:p>
    <w:p w14:paraId="6936644B" w14:textId="77777777" w:rsidR="00F575C1" w:rsidRPr="008B1975" w:rsidRDefault="00F575C1" w:rsidP="002A367E">
      <w:pPr>
        <w:pStyle w:val="Item"/>
      </w:pPr>
      <w:r w:rsidRPr="008B1975">
        <w:t>Before “Doorways”, insert “(1)”.</w:t>
      </w:r>
    </w:p>
    <w:p w14:paraId="66B2889B" w14:textId="77777777" w:rsidR="00F575C1" w:rsidRPr="008B1975" w:rsidRDefault="000A511B" w:rsidP="000A511B">
      <w:pPr>
        <w:pStyle w:val="ItemHead"/>
      </w:pPr>
      <w:bookmarkStart w:id="177" w:name="_Ref185264549"/>
      <w:r w:rsidRPr="008B1975">
        <w:t xml:space="preserve">4  </w:t>
      </w:r>
      <w:r w:rsidR="00F575C1" w:rsidRPr="008B1975">
        <w:t>Section 12.2</w:t>
      </w:r>
      <w:bookmarkEnd w:id="173"/>
      <w:bookmarkEnd w:id="177"/>
    </w:p>
    <w:p w14:paraId="6A2F89B5" w14:textId="77777777" w:rsidR="00F575C1" w:rsidRPr="008B1975" w:rsidRDefault="00F575C1" w:rsidP="002A367E">
      <w:pPr>
        <w:pStyle w:val="Item"/>
      </w:pPr>
      <w:r w:rsidRPr="008B1975">
        <w:t>Omit “</w:t>
      </w:r>
      <w:r w:rsidRPr="008B1975">
        <w:rPr>
          <w:b/>
        </w:rPr>
        <w:t>AS1428.2 (1992) Clause 11</w:t>
      </w:r>
      <w:r w:rsidRPr="008B1975">
        <w:t xml:space="preserve"> (except </w:t>
      </w:r>
      <w:r w:rsidRPr="008B1975">
        <w:rPr>
          <w:b/>
        </w:rPr>
        <w:t>Clause 11.5.2</w:t>
      </w:r>
      <w:r w:rsidRPr="008B1975">
        <w:t>)”, substitute “clause 13 of AS1428.1 (2009) (doorways, doors and circulation space at doorways)”.</w:t>
      </w:r>
    </w:p>
    <w:p w14:paraId="3CC2D812" w14:textId="77777777" w:rsidR="00F575C1" w:rsidRPr="008B1975" w:rsidRDefault="000A511B" w:rsidP="000A511B">
      <w:pPr>
        <w:pStyle w:val="ItemHead"/>
      </w:pPr>
      <w:bookmarkStart w:id="178" w:name="_Ref180597616"/>
      <w:r w:rsidRPr="008B1975">
        <w:t xml:space="preserve">5  </w:t>
      </w:r>
      <w:r w:rsidR="00F575C1" w:rsidRPr="008B1975">
        <w:t>Section 12.2 (table)</w:t>
      </w:r>
      <w:bookmarkEnd w:id="178"/>
    </w:p>
    <w:p w14:paraId="19E7F2EC" w14:textId="77777777" w:rsidR="00F575C1" w:rsidRPr="008B1975" w:rsidRDefault="00F575C1" w:rsidP="002A367E">
      <w:pPr>
        <w:pStyle w:val="Item"/>
      </w:pPr>
      <w:r w:rsidRPr="008B1975">
        <w:t>Repeal the table, substitute:</w:t>
      </w:r>
    </w:p>
    <w:p w14:paraId="725F0D0A" w14:textId="77777777" w:rsidR="00F575C1" w:rsidRPr="008B1975" w:rsidRDefault="00F575C1" w:rsidP="002A367E">
      <w:pPr>
        <w:pStyle w:val="subsection"/>
      </w:pPr>
      <w:r w:rsidRPr="008B1975">
        <w:tab/>
        <w:t>(2)</w:t>
      </w:r>
      <w:r w:rsidRPr="008B1975">
        <w:tab/>
        <w:t>The following table specifies conveyances, premises and infrastructure this section applies to.</w:t>
      </w:r>
    </w:p>
    <w:p w14:paraId="43843982" w14:textId="77777777" w:rsidR="00F575C1" w:rsidRPr="008B1975" w:rsidRDefault="00F575C1"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575C1" w:rsidRPr="008B1975" w14:paraId="6CBEE3E9"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429F1A40" w14:textId="77777777" w:rsidR="00F575C1" w:rsidRPr="008B1975" w:rsidRDefault="00F575C1" w:rsidP="002A367E">
            <w:pPr>
              <w:pStyle w:val="TableHeading"/>
            </w:pPr>
            <w:r w:rsidRPr="008B1975">
              <w:t>Application of this section</w:t>
            </w:r>
          </w:p>
        </w:tc>
      </w:tr>
      <w:tr w:rsidR="00F575C1" w:rsidRPr="008B1975" w14:paraId="031C804D" w14:textId="77777777" w:rsidTr="00CC36E0">
        <w:trPr>
          <w:trHeight w:val="300"/>
          <w:tblHeader/>
        </w:trPr>
        <w:tc>
          <w:tcPr>
            <w:tcW w:w="1667" w:type="pct"/>
            <w:tcBorders>
              <w:top w:val="single" w:sz="6" w:space="0" w:color="auto"/>
              <w:left w:val="nil"/>
              <w:bottom w:val="single" w:sz="12" w:space="0" w:color="auto"/>
              <w:right w:val="nil"/>
            </w:tcBorders>
            <w:hideMark/>
          </w:tcPr>
          <w:p w14:paraId="723A599A" w14:textId="77777777" w:rsidR="00F575C1" w:rsidRPr="008B1975" w:rsidRDefault="00F575C1" w:rsidP="002A367E">
            <w:pPr>
              <w:pStyle w:val="TableHeading"/>
            </w:pPr>
            <w:r w:rsidRPr="008B1975">
              <w:t>Conveyances</w:t>
            </w:r>
          </w:p>
        </w:tc>
        <w:tc>
          <w:tcPr>
            <w:tcW w:w="1667" w:type="pct"/>
            <w:tcBorders>
              <w:top w:val="single" w:sz="6" w:space="0" w:color="auto"/>
              <w:left w:val="nil"/>
              <w:bottom w:val="single" w:sz="12" w:space="0" w:color="auto"/>
              <w:right w:val="nil"/>
            </w:tcBorders>
            <w:hideMark/>
          </w:tcPr>
          <w:p w14:paraId="438C61CE" w14:textId="77777777" w:rsidR="00F575C1" w:rsidRPr="008B1975" w:rsidRDefault="00F575C1" w:rsidP="002A367E">
            <w:pPr>
              <w:pStyle w:val="TableHeading"/>
            </w:pPr>
            <w:r w:rsidRPr="008B1975">
              <w:t>Premises</w:t>
            </w:r>
          </w:p>
        </w:tc>
        <w:tc>
          <w:tcPr>
            <w:tcW w:w="1667" w:type="pct"/>
            <w:tcBorders>
              <w:top w:val="single" w:sz="6" w:space="0" w:color="auto"/>
              <w:left w:val="nil"/>
              <w:bottom w:val="single" w:sz="12" w:space="0" w:color="auto"/>
              <w:right w:val="nil"/>
            </w:tcBorders>
            <w:hideMark/>
          </w:tcPr>
          <w:p w14:paraId="7B90F539" w14:textId="77777777" w:rsidR="00F575C1" w:rsidRPr="008B1975" w:rsidRDefault="00F575C1" w:rsidP="002A367E">
            <w:pPr>
              <w:pStyle w:val="TableHeading"/>
            </w:pPr>
            <w:r w:rsidRPr="008B1975">
              <w:t>Infrastructure</w:t>
            </w:r>
          </w:p>
        </w:tc>
      </w:tr>
      <w:tr w:rsidR="00F575C1" w:rsidRPr="008B1975" w14:paraId="70A038E4" w14:textId="77777777" w:rsidTr="00CC36E0">
        <w:trPr>
          <w:trHeight w:val="300"/>
        </w:trPr>
        <w:tc>
          <w:tcPr>
            <w:tcW w:w="1667" w:type="pct"/>
            <w:tcBorders>
              <w:top w:val="single" w:sz="12" w:space="0" w:color="auto"/>
              <w:left w:val="nil"/>
              <w:bottom w:val="single" w:sz="12" w:space="0" w:color="auto"/>
              <w:right w:val="nil"/>
            </w:tcBorders>
            <w:hideMark/>
          </w:tcPr>
          <w:p w14:paraId="7772AF5C" w14:textId="77777777" w:rsidR="00F575C1" w:rsidRPr="008B1975" w:rsidRDefault="00F575C1" w:rsidP="002A367E">
            <w:pPr>
              <w:pStyle w:val="Tabletext"/>
            </w:pPr>
            <w:r w:rsidRPr="008B1975">
              <w:t>None</w:t>
            </w:r>
          </w:p>
        </w:tc>
        <w:tc>
          <w:tcPr>
            <w:tcW w:w="1667" w:type="pct"/>
            <w:tcBorders>
              <w:top w:val="single" w:sz="12" w:space="0" w:color="auto"/>
              <w:left w:val="nil"/>
              <w:bottom w:val="single" w:sz="12" w:space="0" w:color="auto"/>
              <w:right w:val="nil"/>
            </w:tcBorders>
            <w:hideMark/>
          </w:tcPr>
          <w:p w14:paraId="05BE4EC5" w14:textId="72A9C80D" w:rsidR="00F575C1" w:rsidRPr="008B1975" w:rsidRDefault="00F575C1" w:rsidP="002A367E">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70E086CC" w14:textId="77777777" w:rsidR="00F575C1" w:rsidRPr="008B1975" w:rsidRDefault="00F575C1" w:rsidP="002A367E">
            <w:pPr>
              <w:pStyle w:val="Tabletext"/>
            </w:pPr>
            <w:r w:rsidRPr="008B1975">
              <w:t>All</w:t>
            </w:r>
          </w:p>
        </w:tc>
      </w:tr>
    </w:tbl>
    <w:p w14:paraId="4DB37B89" w14:textId="77777777" w:rsidR="00F575C1" w:rsidRPr="008B1975" w:rsidRDefault="000A511B" w:rsidP="000A511B">
      <w:pPr>
        <w:pStyle w:val="ItemHead"/>
      </w:pPr>
      <w:bookmarkStart w:id="179" w:name="_Ref180418707"/>
      <w:r w:rsidRPr="008B1975">
        <w:t xml:space="preserve">6  </w:t>
      </w:r>
      <w:r w:rsidR="00F575C1" w:rsidRPr="008B1975">
        <w:t>Subsection 12.3(1)</w:t>
      </w:r>
      <w:bookmarkEnd w:id="179"/>
    </w:p>
    <w:p w14:paraId="79972895" w14:textId="77777777" w:rsidR="00F575C1" w:rsidRPr="008B1975" w:rsidRDefault="00F575C1" w:rsidP="002A367E">
      <w:pPr>
        <w:pStyle w:val="Item"/>
      </w:pPr>
      <w:r w:rsidRPr="008B1975">
        <w:t>Omit “service”, substitute “assistance”.</w:t>
      </w:r>
    </w:p>
    <w:p w14:paraId="36FCD8F6" w14:textId="77777777" w:rsidR="00F575C1" w:rsidRPr="008B1975" w:rsidRDefault="000A511B" w:rsidP="000A511B">
      <w:pPr>
        <w:pStyle w:val="ItemHead"/>
      </w:pPr>
      <w:bookmarkStart w:id="180" w:name="_Ref180418718"/>
      <w:r w:rsidRPr="008B1975">
        <w:t xml:space="preserve">7  </w:t>
      </w:r>
      <w:r w:rsidR="00F575C1" w:rsidRPr="008B1975">
        <w:t>Subsection 12.3 (table)</w:t>
      </w:r>
      <w:bookmarkEnd w:id="180"/>
    </w:p>
    <w:p w14:paraId="1D1C2086" w14:textId="77777777" w:rsidR="00F575C1" w:rsidRPr="008B1975" w:rsidRDefault="00F575C1" w:rsidP="002A367E">
      <w:pPr>
        <w:pStyle w:val="Item"/>
      </w:pPr>
      <w:r w:rsidRPr="008B1975">
        <w:t>Repeal the table, substitute:</w:t>
      </w:r>
    </w:p>
    <w:p w14:paraId="5B186F46" w14:textId="77777777" w:rsidR="00F575C1" w:rsidRPr="008B1975" w:rsidRDefault="00F575C1" w:rsidP="002A367E">
      <w:pPr>
        <w:pStyle w:val="subsection"/>
      </w:pPr>
      <w:r w:rsidRPr="008B1975">
        <w:tab/>
        <w:t>(3)</w:t>
      </w:r>
      <w:r w:rsidRPr="008B1975">
        <w:tab/>
        <w:t>The following table specifies conveyances, premises and infrastructure this section applies to.</w:t>
      </w:r>
    </w:p>
    <w:p w14:paraId="5371ABEB" w14:textId="77777777" w:rsidR="00F575C1" w:rsidRPr="008B1975" w:rsidRDefault="00F575C1"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575C1" w:rsidRPr="008B1975" w14:paraId="215047A5"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4ADD27E5" w14:textId="77777777" w:rsidR="00F575C1" w:rsidRPr="008B1975" w:rsidRDefault="00F575C1" w:rsidP="002A367E">
            <w:pPr>
              <w:pStyle w:val="TableHeading"/>
            </w:pPr>
            <w:r w:rsidRPr="008B1975">
              <w:t>Application of this section</w:t>
            </w:r>
          </w:p>
        </w:tc>
      </w:tr>
      <w:tr w:rsidR="00F575C1" w:rsidRPr="008B1975" w14:paraId="31E63C62" w14:textId="77777777" w:rsidTr="00CC36E0">
        <w:trPr>
          <w:trHeight w:val="300"/>
          <w:tblHeader/>
        </w:trPr>
        <w:tc>
          <w:tcPr>
            <w:tcW w:w="1667" w:type="pct"/>
            <w:tcBorders>
              <w:top w:val="single" w:sz="6" w:space="0" w:color="auto"/>
              <w:left w:val="nil"/>
              <w:bottom w:val="single" w:sz="12" w:space="0" w:color="auto"/>
              <w:right w:val="nil"/>
            </w:tcBorders>
            <w:hideMark/>
          </w:tcPr>
          <w:p w14:paraId="1FD95B69" w14:textId="77777777" w:rsidR="00F575C1" w:rsidRPr="008B1975" w:rsidRDefault="00F575C1" w:rsidP="002A367E">
            <w:pPr>
              <w:pStyle w:val="TableHeading"/>
            </w:pPr>
            <w:r w:rsidRPr="008B1975">
              <w:t>Conveyances</w:t>
            </w:r>
          </w:p>
        </w:tc>
        <w:tc>
          <w:tcPr>
            <w:tcW w:w="1667" w:type="pct"/>
            <w:tcBorders>
              <w:top w:val="single" w:sz="6" w:space="0" w:color="auto"/>
              <w:left w:val="nil"/>
              <w:bottom w:val="single" w:sz="12" w:space="0" w:color="auto"/>
              <w:right w:val="nil"/>
            </w:tcBorders>
            <w:hideMark/>
          </w:tcPr>
          <w:p w14:paraId="70949625" w14:textId="77777777" w:rsidR="00F575C1" w:rsidRPr="008B1975" w:rsidRDefault="00F575C1" w:rsidP="002A367E">
            <w:pPr>
              <w:pStyle w:val="TableHeading"/>
            </w:pPr>
            <w:r w:rsidRPr="008B1975">
              <w:t>Premises</w:t>
            </w:r>
          </w:p>
        </w:tc>
        <w:tc>
          <w:tcPr>
            <w:tcW w:w="1667" w:type="pct"/>
            <w:tcBorders>
              <w:top w:val="single" w:sz="6" w:space="0" w:color="auto"/>
              <w:left w:val="nil"/>
              <w:bottom w:val="single" w:sz="12" w:space="0" w:color="auto"/>
              <w:right w:val="nil"/>
            </w:tcBorders>
            <w:hideMark/>
          </w:tcPr>
          <w:p w14:paraId="0F5102D4" w14:textId="77777777" w:rsidR="00F575C1" w:rsidRPr="008B1975" w:rsidRDefault="00F575C1" w:rsidP="002A367E">
            <w:pPr>
              <w:pStyle w:val="TableHeading"/>
            </w:pPr>
            <w:r w:rsidRPr="008B1975">
              <w:t>Infrastructure</w:t>
            </w:r>
          </w:p>
        </w:tc>
      </w:tr>
      <w:tr w:rsidR="00F575C1" w:rsidRPr="008B1975" w14:paraId="45434646" w14:textId="77777777" w:rsidTr="00CC36E0">
        <w:trPr>
          <w:trHeight w:val="300"/>
        </w:trPr>
        <w:tc>
          <w:tcPr>
            <w:tcW w:w="1667" w:type="pct"/>
            <w:tcBorders>
              <w:top w:val="single" w:sz="12" w:space="0" w:color="auto"/>
              <w:left w:val="nil"/>
              <w:bottom w:val="single" w:sz="12" w:space="0" w:color="auto"/>
              <w:right w:val="nil"/>
            </w:tcBorders>
            <w:hideMark/>
          </w:tcPr>
          <w:p w14:paraId="68A74C5F" w14:textId="77777777" w:rsidR="00F575C1" w:rsidRPr="008B1975" w:rsidRDefault="00F575C1" w:rsidP="002A367E">
            <w:pPr>
              <w:pStyle w:val="Tabletext"/>
            </w:pPr>
            <w:r w:rsidRPr="008B1975">
              <w:t>None</w:t>
            </w:r>
          </w:p>
        </w:tc>
        <w:tc>
          <w:tcPr>
            <w:tcW w:w="1667" w:type="pct"/>
            <w:tcBorders>
              <w:top w:val="single" w:sz="12" w:space="0" w:color="auto"/>
              <w:left w:val="nil"/>
              <w:bottom w:val="single" w:sz="12" w:space="0" w:color="auto"/>
              <w:right w:val="nil"/>
            </w:tcBorders>
            <w:hideMark/>
          </w:tcPr>
          <w:p w14:paraId="7529D15E" w14:textId="77777777" w:rsidR="00F575C1" w:rsidRPr="008B1975" w:rsidRDefault="00F575C1" w:rsidP="002A367E">
            <w:pPr>
              <w:pStyle w:val="Tabletext"/>
            </w:pPr>
            <w:r w:rsidRPr="008B1975">
              <w:t>All</w:t>
            </w:r>
          </w:p>
        </w:tc>
        <w:tc>
          <w:tcPr>
            <w:tcW w:w="1667" w:type="pct"/>
            <w:tcBorders>
              <w:top w:val="single" w:sz="12" w:space="0" w:color="auto"/>
              <w:left w:val="nil"/>
              <w:bottom w:val="single" w:sz="12" w:space="0" w:color="auto"/>
              <w:right w:val="nil"/>
            </w:tcBorders>
            <w:hideMark/>
          </w:tcPr>
          <w:p w14:paraId="605202D3" w14:textId="77777777" w:rsidR="00F575C1" w:rsidRPr="008B1975" w:rsidRDefault="00F575C1" w:rsidP="002A367E">
            <w:pPr>
              <w:pStyle w:val="Tabletext"/>
            </w:pPr>
            <w:r w:rsidRPr="008B1975">
              <w:t>All</w:t>
            </w:r>
          </w:p>
        </w:tc>
      </w:tr>
    </w:tbl>
    <w:p w14:paraId="40EBBB4E" w14:textId="77777777" w:rsidR="008D0C53" w:rsidRPr="008B1975" w:rsidRDefault="000A511B" w:rsidP="000A511B">
      <w:pPr>
        <w:pStyle w:val="ItemHead"/>
      </w:pPr>
      <w:bookmarkStart w:id="181" w:name="_Ref185264855"/>
      <w:r w:rsidRPr="008B1975">
        <w:t xml:space="preserve">8  </w:t>
      </w:r>
      <w:r w:rsidR="008D0C53" w:rsidRPr="008B1975">
        <w:t>Section 12.4</w:t>
      </w:r>
      <w:bookmarkEnd w:id="181"/>
    </w:p>
    <w:p w14:paraId="2E7D6AF1" w14:textId="77777777" w:rsidR="008D0C53" w:rsidRPr="008B1975" w:rsidRDefault="008D0C53" w:rsidP="002A367E">
      <w:pPr>
        <w:pStyle w:val="Item"/>
      </w:pPr>
      <w:r w:rsidRPr="008B1975">
        <w:t>Repeal the section, substitute:</w:t>
      </w:r>
    </w:p>
    <w:p w14:paraId="1C7C5D98" w14:textId="77777777" w:rsidR="008D0C53" w:rsidRPr="008B1975" w:rsidRDefault="008D0C53" w:rsidP="002A367E">
      <w:pPr>
        <w:pStyle w:val="ActHead5"/>
        <w:outlineLvl w:val="9"/>
      </w:pPr>
      <w:r w:rsidRPr="008B1975">
        <w:t>12.4  Clear opening of doorways</w:t>
      </w:r>
    </w:p>
    <w:p w14:paraId="6A1F52FA" w14:textId="77777777" w:rsidR="008D0C53" w:rsidRPr="008B1975" w:rsidRDefault="008D0C53" w:rsidP="002A367E">
      <w:pPr>
        <w:pStyle w:val="subsection"/>
        <w:rPr>
          <w:rFonts w:eastAsia="Calibri"/>
          <w:lang w:val="en-US"/>
        </w:rPr>
      </w:pPr>
      <w:r w:rsidRPr="008B1975">
        <w:tab/>
      </w:r>
      <w:r w:rsidR="00EF0A3A" w:rsidRPr="008B1975">
        <w:t>(1)</w:t>
      </w:r>
      <w:r w:rsidRPr="008B1975">
        <w:tab/>
        <w:t xml:space="preserve">Doorways must comply with clause 13.2 of </w:t>
      </w:r>
      <w:r w:rsidRPr="008B1975">
        <w:rPr>
          <w:rFonts w:eastAsia="Calibri"/>
          <w:lang w:val="en-US"/>
        </w:rPr>
        <w:t>AS</w:t>
      </w:r>
      <w:r w:rsidR="00BA7325" w:rsidRPr="008B1975">
        <w:rPr>
          <w:rFonts w:eastAsia="Calibri"/>
          <w:lang w:val="en-US"/>
        </w:rPr>
        <w:t xml:space="preserve"> </w:t>
      </w:r>
      <w:r w:rsidRPr="008B1975">
        <w:rPr>
          <w:rFonts w:eastAsia="Calibri"/>
          <w:lang w:val="en-US"/>
        </w:rPr>
        <w:t>1428.1 (2009).</w:t>
      </w:r>
    </w:p>
    <w:p w14:paraId="4EBF3AF4" w14:textId="77777777" w:rsidR="008D0C53" w:rsidRPr="008B1975" w:rsidRDefault="008D0C53" w:rsidP="002A367E">
      <w:pPr>
        <w:pStyle w:val="subsection"/>
      </w:pPr>
      <w:r w:rsidRPr="008B1975">
        <w:tab/>
      </w:r>
      <w:r w:rsidR="00EF0A3A" w:rsidRPr="008B1975">
        <w:t>(2)</w:t>
      </w:r>
      <w:r w:rsidRPr="008B1975">
        <w:tab/>
        <w:t>If a door is located on an access path in a conveyance other than a bus or a coach:</w:t>
      </w:r>
    </w:p>
    <w:p w14:paraId="19457F54" w14:textId="77777777" w:rsidR="008D0C53" w:rsidRPr="008B1975" w:rsidRDefault="008D0C53" w:rsidP="002A367E">
      <w:pPr>
        <w:pStyle w:val="paragraph"/>
      </w:pPr>
      <w:r w:rsidRPr="008B1975">
        <w:tab/>
      </w:r>
      <w:r w:rsidR="00EF0A3A" w:rsidRPr="008B1975">
        <w:t>(a)</w:t>
      </w:r>
      <w:r w:rsidRPr="008B1975">
        <w:tab/>
        <w:t>the door must have a width of no less than 850 mm; and</w:t>
      </w:r>
    </w:p>
    <w:p w14:paraId="1A328772" w14:textId="77777777" w:rsidR="008D0C53" w:rsidRPr="008B1975" w:rsidRDefault="008D0C53" w:rsidP="002A367E">
      <w:pPr>
        <w:pStyle w:val="paragraph"/>
      </w:pPr>
      <w:r w:rsidRPr="008B1975">
        <w:tab/>
      </w:r>
      <w:r w:rsidR="00EF0A3A" w:rsidRPr="008B1975">
        <w:t>(b)</w:t>
      </w:r>
      <w:r w:rsidRPr="008B1975">
        <w:tab/>
        <w:t>any curved section on the upper vertical frame of the door must have a radius of no more than 225 mm where that frame meets the upper horizontal frame; and</w:t>
      </w:r>
    </w:p>
    <w:p w14:paraId="1F82D04C" w14:textId="77777777" w:rsidR="008D0C53" w:rsidRPr="008B1975" w:rsidRDefault="008D0C53" w:rsidP="002A367E">
      <w:pPr>
        <w:pStyle w:val="paragraph"/>
      </w:pPr>
      <w:r w:rsidRPr="008B1975">
        <w:tab/>
      </w:r>
      <w:r w:rsidR="00EF0A3A" w:rsidRPr="008B1975">
        <w:t>(c)</w:t>
      </w:r>
      <w:r w:rsidRPr="008B1975">
        <w:tab/>
        <w:t>any curved section on the lower vertical frame of the door must have a radius of no more than 50 mm where that frame meets the floor.</w:t>
      </w:r>
    </w:p>
    <w:p w14:paraId="787DA9B4" w14:textId="77777777" w:rsidR="008D0C53" w:rsidRPr="008B1975" w:rsidRDefault="008D0C53" w:rsidP="002A367E">
      <w:pPr>
        <w:pStyle w:val="subsection"/>
      </w:pPr>
      <w:r w:rsidRPr="008B1975">
        <w:tab/>
      </w:r>
      <w:r w:rsidR="00CD71DC" w:rsidRPr="008B1975">
        <w:t>(3)</w:t>
      </w:r>
      <w:r w:rsidRPr="008B1975">
        <w:tab/>
        <w:t>The luminance contrast of a door</w:t>
      </w:r>
      <w:r w:rsidR="006C750B" w:rsidRPr="008B1975">
        <w:t xml:space="preserve"> </w:t>
      </w:r>
      <w:r w:rsidRPr="008B1975">
        <w:t>on an accessway must comply with clause 13.1 of AS</w:t>
      </w:r>
      <w:r w:rsidR="00BA7325" w:rsidRPr="008B1975">
        <w:t xml:space="preserve"> </w:t>
      </w:r>
      <w:r w:rsidRPr="008B1975">
        <w:t>1428.1 (2009).</w:t>
      </w:r>
    </w:p>
    <w:p w14:paraId="07E46424" w14:textId="77777777" w:rsidR="008D0C53" w:rsidRPr="008B1975" w:rsidRDefault="008D0C53" w:rsidP="002A367E">
      <w:pPr>
        <w:pStyle w:val="subsection"/>
      </w:pPr>
      <w:r w:rsidRPr="008B1975">
        <w:tab/>
        <w:t>(</w:t>
      </w:r>
      <w:r w:rsidR="00CD71DC" w:rsidRPr="008B1975">
        <w:t>4</w:t>
      </w:r>
      <w:r w:rsidRPr="008B1975">
        <w:t>)</w:t>
      </w:r>
      <w:r w:rsidRPr="008B1975">
        <w:tab/>
        <w:t>A fully glazed door must have a luminance contrasting strip in accordance with clause 6.6 of AS</w:t>
      </w:r>
      <w:r w:rsidR="00BA7325" w:rsidRPr="008B1975">
        <w:t xml:space="preserve"> </w:t>
      </w:r>
      <w:r w:rsidRPr="008B1975">
        <w:t>1428.1 (2009).</w:t>
      </w:r>
    </w:p>
    <w:p w14:paraId="5FE27565" w14:textId="77777777" w:rsidR="008D0C53" w:rsidRPr="008B1975" w:rsidRDefault="008D0C53" w:rsidP="002A367E">
      <w:pPr>
        <w:pStyle w:val="subsection"/>
      </w:pPr>
      <w:r w:rsidRPr="008B1975">
        <w:tab/>
        <w:t>(</w:t>
      </w:r>
      <w:r w:rsidR="00CD71DC" w:rsidRPr="008B1975">
        <w:t>5</w:t>
      </w:r>
      <w:r w:rsidRPr="008B1975">
        <w:t>)</w:t>
      </w:r>
      <w:r w:rsidRPr="008B1975">
        <w:tab/>
        <w:t>Any luminance contrast treatment of a door must:</w:t>
      </w:r>
    </w:p>
    <w:p w14:paraId="0DBE8600" w14:textId="77777777" w:rsidR="008D0C53" w:rsidRPr="008B1975" w:rsidRDefault="008D0C53" w:rsidP="002A367E">
      <w:pPr>
        <w:pStyle w:val="paragraph"/>
      </w:pPr>
      <w:r w:rsidRPr="008B1975">
        <w:tab/>
      </w:r>
      <w:r w:rsidR="00CD71DC" w:rsidRPr="008B1975">
        <w:t>(a)</w:t>
      </w:r>
      <w:r w:rsidRPr="008B1975">
        <w:tab/>
        <w:t>not compromise the driver’s vision; and</w:t>
      </w:r>
    </w:p>
    <w:p w14:paraId="61276D76" w14:textId="77777777" w:rsidR="008D0C53" w:rsidRPr="008B1975" w:rsidRDefault="008D0C53" w:rsidP="002A367E">
      <w:pPr>
        <w:pStyle w:val="paragraph"/>
      </w:pPr>
      <w:r w:rsidRPr="008B1975">
        <w:tab/>
      </w:r>
      <w:r w:rsidR="00CD71DC" w:rsidRPr="008B1975">
        <w:t>(b)</w:t>
      </w:r>
      <w:r w:rsidRPr="008B1975">
        <w:tab/>
        <w:t>comply with any applicable state or territory technical requirement for visibility.</w:t>
      </w:r>
    </w:p>
    <w:p w14:paraId="409F424D" w14:textId="77777777" w:rsidR="008D0C53" w:rsidRPr="008B1975" w:rsidRDefault="008D0C53" w:rsidP="002A367E">
      <w:pPr>
        <w:pStyle w:val="subsection"/>
      </w:pPr>
      <w:r w:rsidRPr="008B1975">
        <w:tab/>
      </w:r>
      <w:r w:rsidR="00CD71DC" w:rsidRPr="008B1975">
        <w:t>(6)</w:t>
      </w:r>
      <w:r w:rsidRPr="008B1975">
        <w:tab/>
        <w:t xml:space="preserve">Subsections </w:t>
      </w:r>
      <w:r w:rsidR="00CD71DC" w:rsidRPr="008B1975">
        <w:t>(3) to (5)</w:t>
      </w:r>
      <w:r w:rsidRPr="008B1975">
        <w:t xml:space="preserve"> do not apply to a door on a coach.</w:t>
      </w:r>
    </w:p>
    <w:p w14:paraId="38BF562B" w14:textId="12CE5218" w:rsidR="008D0C53" w:rsidRPr="008B1975" w:rsidRDefault="008D0C53" w:rsidP="002A367E">
      <w:pPr>
        <w:pStyle w:val="notetext"/>
      </w:pPr>
      <w:r w:rsidRPr="008B1975">
        <w:t>Note:</w:t>
      </w:r>
      <w:r w:rsidRPr="008B1975">
        <w:tab/>
        <w:t>Australian Design Rule 58 imposes other obligations in relation to buses and coaches.</w:t>
      </w:r>
    </w:p>
    <w:p w14:paraId="1F59936E" w14:textId="77777777" w:rsidR="008D0C53" w:rsidRPr="008B1975" w:rsidRDefault="008D0C53" w:rsidP="002A367E">
      <w:pPr>
        <w:pStyle w:val="subsection"/>
      </w:pPr>
      <w:r w:rsidRPr="008B1975">
        <w:tab/>
        <w:t>(7)</w:t>
      </w:r>
      <w:r w:rsidRPr="008B1975">
        <w:tab/>
        <w:t>The following table specifies conveyances, premises and infrastructure this section applies to.</w:t>
      </w:r>
    </w:p>
    <w:p w14:paraId="4A799457" w14:textId="77777777" w:rsidR="008D0C53" w:rsidRPr="008B1975" w:rsidRDefault="008D0C53" w:rsidP="008C315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7138C5DF"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353C9BFB" w14:textId="77777777" w:rsidR="008D0C53" w:rsidRPr="008B1975" w:rsidRDefault="008D0C53" w:rsidP="002A367E">
            <w:pPr>
              <w:pStyle w:val="TableHeading"/>
            </w:pPr>
            <w:r w:rsidRPr="008B1975">
              <w:t>Application of this section</w:t>
            </w:r>
          </w:p>
        </w:tc>
      </w:tr>
      <w:tr w:rsidR="008D0C53" w:rsidRPr="008B1975" w14:paraId="2DD8B4DC" w14:textId="77777777" w:rsidTr="00CC36E0">
        <w:trPr>
          <w:trHeight w:val="300"/>
          <w:tblHeader/>
        </w:trPr>
        <w:tc>
          <w:tcPr>
            <w:tcW w:w="1667" w:type="pct"/>
            <w:tcBorders>
              <w:top w:val="single" w:sz="6" w:space="0" w:color="auto"/>
              <w:bottom w:val="single" w:sz="12" w:space="0" w:color="auto"/>
            </w:tcBorders>
            <w:shd w:val="clear" w:color="auto" w:fill="auto"/>
            <w:hideMark/>
          </w:tcPr>
          <w:p w14:paraId="2A0BE61D" w14:textId="77777777" w:rsidR="008D0C53" w:rsidRPr="008B1975" w:rsidRDefault="008D0C53"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587A1CE" w14:textId="77777777" w:rsidR="008D0C53" w:rsidRPr="008B1975" w:rsidRDefault="008D0C53"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5F57294F" w14:textId="77777777" w:rsidR="008D0C53" w:rsidRPr="008B1975" w:rsidRDefault="008D0C53" w:rsidP="002A367E">
            <w:pPr>
              <w:pStyle w:val="TableHeading"/>
            </w:pPr>
            <w:r w:rsidRPr="008B1975">
              <w:t>Infrastructure</w:t>
            </w:r>
          </w:p>
        </w:tc>
      </w:tr>
      <w:tr w:rsidR="008D0C53" w:rsidRPr="008B1975" w14:paraId="03E2774D" w14:textId="77777777" w:rsidTr="00CC36E0">
        <w:trPr>
          <w:trHeight w:val="300"/>
        </w:trPr>
        <w:tc>
          <w:tcPr>
            <w:tcW w:w="1667" w:type="pct"/>
            <w:tcBorders>
              <w:top w:val="single" w:sz="12" w:space="0" w:color="auto"/>
              <w:bottom w:val="single" w:sz="12" w:space="0" w:color="auto"/>
            </w:tcBorders>
            <w:shd w:val="clear" w:color="auto" w:fill="auto"/>
            <w:hideMark/>
          </w:tcPr>
          <w:p w14:paraId="6D9F2ABE" w14:textId="77777777" w:rsidR="008D0C53" w:rsidRPr="008B1975" w:rsidRDefault="008D0C53" w:rsidP="002A367E">
            <w:pPr>
              <w:pStyle w:val="Tabletext"/>
            </w:pPr>
            <w:r w:rsidRPr="008B1975">
              <w:t xml:space="preserve">The following: </w:t>
            </w:r>
          </w:p>
          <w:p w14:paraId="0E37BE87" w14:textId="77777777" w:rsidR="008D0C53" w:rsidRPr="008B1975" w:rsidRDefault="008D0C53" w:rsidP="002A367E">
            <w:pPr>
              <w:pStyle w:val="Tablea"/>
            </w:pPr>
            <w:r w:rsidRPr="008B1975">
              <w:t>(a)</w:t>
            </w:r>
            <w:r w:rsidRPr="008B1975">
              <w:tab/>
              <w:t>buses, except dedicated school buses;</w:t>
            </w:r>
          </w:p>
          <w:p w14:paraId="0B94EC21" w14:textId="77777777" w:rsidR="008D0C53" w:rsidRPr="008B1975" w:rsidRDefault="008D0C53" w:rsidP="002A367E">
            <w:pPr>
              <w:pStyle w:val="Tablea"/>
            </w:pPr>
            <w:r w:rsidRPr="008B1975">
              <w:t xml:space="preserve">(b) </w:t>
            </w:r>
            <w:r w:rsidRPr="008B1975">
              <w:tab/>
              <w:t>coaches</w:t>
            </w:r>
            <w:r w:rsidR="00B76907" w:rsidRPr="008B1975">
              <w:t>;</w:t>
            </w:r>
          </w:p>
          <w:p w14:paraId="6B337278" w14:textId="77777777" w:rsidR="008D0C53" w:rsidRPr="008B1975" w:rsidRDefault="008D0C53" w:rsidP="002A367E">
            <w:pPr>
              <w:pStyle w:val="Tablea"/>
            </w:pPr>
            <w:r w:rsidRPr="008B1975">
              <w:t>(c) ferries</w:t>
            </w:r>
            <w:r w:rsidR="00B76907" w:rsidRPr="008B1975">
              <w:t>;</w:t>
            </w:r>
          </w:p>
          <w:p w14:paraId="2FBB668C" w14:textId="77777777" w:rsidR="008D0C53" w:rsidRPr="008B1975" w:rsidRDefault="008D0C53" w:rsidP="002A367E">
            <w:pPr>
              <w:pStyle w:val="Tablea"/>
            </w:pPr>
            <w:r w:rsidRPr="008B1975">
              <w:t>(d) trains</w:t>
            </w:r>
            <w:r w:rsidR="00B76907" w:rsidRPr="008B1975">
              <w:t>;</w:t>
            </w:r>
          </w:p>
          <w:p w14:paraId="4359D390" w14:textId="77777777" w:rsidR="00B76907" w:rsidRPr="008B1975" w:rsidRDefault="00B76907" w:rsidP="002A367E">
            <w:pPr>
              <w:pStyle w:val="Tablea"/>
            </w:pPr>
            <w:r w:rsidRPr="008B1975">
              <w:t>(e) trams;</w:t>
            </w:r>
          </w:p>
          <w:p w14:paraId="681618D2" w14:textId="77777777" w:rsidR="008D0C53" w:rsidRPr="008B1975" w:rsidRDefault="008D0C53" w:rsidP="002A367E">
            <w:pPr>
              <w:pStyle w:val="Tablea"/>
            </w:pPr>
            <w:r w:rsidRPr="008B1975">
              <w:t>(</w:t>
            </w:r>
            <w:r w:rsidR="00B76907" w:rsidRPr="008B1975">
              <w:t>f</w:t>
            </w:r>
            <w:r w:rsidRPr="008B1975">
              <w:t>) light rail</w:t>
            </w:r>
          </w:p>
        </w:tc>
        <w:tc>
          <w:tcPr>
            <w:tcW w:w="1667" w:type="pct"/>
            <w:tcBorders>
              <w:top w:val="single" w:sz="12" w:space="0" w:color="auto"/>
              <w:bottom w:val="single" w:sz="12" w:space="0" w:color="auto"/>
            </w:tcBorders>
            <w:shd w:val="clear" w:color="auto" w:fill="auto"/>
            <w:hideMark/>
          </w:tcPr>
          <w:p w14:paraId="32C32481" w14:textId="77777777" w:rsidR="008D0C53" w:rsidRPr="008B1975" w:rsidRDefault="008D0C53" w:rsidP="002A367E">
            <w:pPr>
              <w:pStyle w:val="Tabletext"/>
            </w:pPr>
            <w:r w:rsidRPr="008B1975">
              <w:t>None</w:t>
            </w:r>
          </w:p>
        </w:tc>
        <w:tc>
          <w:tcPr>
            <w:tcW w:w="1667" w:type="pct"/>
            <w:tcBorders>
              <w:top w:val="single" w:sz="12" w:space="0" w:color="auto"/>
              <w:bottom w:val="single" w:sz="12" w:space="0" w:color="auto"/>
            </w:tcBorders>
            <w:shd w:val="clear" w:color="auto" w:fill="auto"/>
          </w:tcPr>
          <w:p w14:paraId="035C3824" w14:textId="77777777" w:rsidR="008D0C53" w:rsidRPr="008B1975" w:rsidRDefault="008D0C53" w:rsidP="002A367E">
            <w:pPr>
              <w:pStyle w:val="Tabletext"/>
            </w:pPr>
            <w:r w:rsidRPr="008B1975">
              <w:t>None</w:t>
            </w:r>
          </w:p>
        </w:tc>
      </w:tr>
    </w:tbl>
    <w:p w14:paraId="22077D9F" w14:textId="77777777" w:rsidR="00764253" w:rsidRPr="008B1975" w:rsidRDefault="00764253" w:rsidP="00764253">
      <w:pPr>
        <w:pStyle w:val="notetext"/>
      </w:pPr>
      <w:r w:rsidRPr="008B1975">
        <w:t>Note:</w:t>
      </w:r>
      <w:r w:rsidRPr="008B1975">
        <w:tab/>
        <w:t>This section applies after the end of the 5-year transitional period to existing doorways and doors: see section 35.14.</w:t>
      </w:r>
    </w:p>
    <w:p w14:paraId="146AFC87" w14:textId="77777777" w:rsidR="00240824" w:rsidRPr="008B1975" w:rsidRDefault="000A511B" w:rsidP="000A511B">
      <w:pPr>
        <w:pStyle w:val="ItemHead"/>
      </w:pPr>
      <w:r w:rsidRPr="008B1975">
        <w:lastRenderedPageBreak/>
        <w:t xml:space="preserve">9  </w:t>
      </w:r>
      <w:r w:rsidR="00240824" w:rsidRPr="008B1975">
        <w:t>Section 12.5 (table)</w:t>
      </w:r>
    </w:p>
    <w:p w14:paraId="6766909F" w14:textId="77777777" w:rsidR="00240824" w:rsidRPr="008B1975" w:rsidRDefault="00240824" w:rsidP="002A367E">
      <w:pPr>
        <w:pStyle w:val="Item"/>
      </w:pPr>
      <w:r w:rsidRPr="008B1975">
        <w:t>Repeal the table, substitute:</w:t>
      </w:r>
    </w:p>
    <w:p w14:paraId="64C70BD6" w14:textId="77777777" w:rsidR="00240824" w:rsidRPr="008B1975" w:rsidRDefault="00240824" w:rsidP="002A367E">
      <w:pPr>
        <w:pStyle w:val="subsection"/>
      </w:pPr>
      <w:r w:rsidRPr="008B1975">
        <w:tab/>
        <w:t>(3)</w:t>
      </w:r>
      <w:r w:rsidRPr="008B1975">
        <w:tab/>
        <w:t>The following table specifies conveyances, premises and infrastructure this section applies to.</w:t>
      </w:r>
    </w:p>
    <w:p w14:paraId="431DF60C" w14:textId="77777777" w:rsidR="00240824" w:rsidRPr="008B1975" w:rsidRDefault="00240824"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40824" w:rsidRPr="008B1975" w14:paraId="74C20621"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6F74F403" w14:textId="77777777" w:rsidR="00240824" w:rsidRPr="008B1975" w:rsidRDefault="00240824" w:rsidP="002A367E">
            <w:pPr>
              <w:pStyle w:val="TableHeading"/>
            </w:pPr>
            <w:r w:rsidRPr="008B1975">
              <w:t>Application of this section</w:t>
            </w:r>
          </w:p>
        </w:tc>
      </w:tr>
      <w:tr w:rsidR="00240824" w:rsidRPr="008B1975" w14:paraId="2806E2BA" w14:textId="77777777" w:rsidTr="00CC36E0">
        <w:trPr>
          <w:trHeight w:val="300"/>
          <w:tblHeader/>
        </w:trPr>
        <w:tc>
          <w:tcPr>
            <w:tcW w:w="1667" w:type="pct"/>
            <w:tcBorders>
              <w:top w:val="single" w:sz="6" w:space="0" w:color="auto"/>
              <w:left w:val="nil"/>
              <w:bottom w:val="single" w:sz="12" w:space="0" w:color="auto"/>
              <w:right w:val="nil"/>
            </w:tcBorders>
            <w:hideMark/>
          </w:tcPr>
          <w:p w14:paraId="527227AF" w14:textId="77777777" w:rsidR="00240824" w:rsidRPr="008B1975" w:rsidRDefault="00240824" w:rsidP="002A367E">
            <w:pPr>
              <w:pStyle w:val="TableHeading"/>
            </w:pPr>
            <w:r w:rsidRPr="008B1975">
              <w:t>Conveyances</w:t>
            </w:r>
          </w:p>
        </w:tc>
        <w:tc>
          <w:tcPr>
            <w:tcW w:w="1667" w:type="pct"/>
            <w:tcBorders>
              <w:top w:val="single" w:sz="6" w:space="0" w:color="auto"/>
              <w:left w:val="nil"/>
              <w:bottom w:val="single" w:sz="12" w:space="0" w:color="auto"/>
              <w:right w:val="nil"/>
            </w:tcBorders>
            <w:hideMark/>
          </w:tcPr>
          <w:p w14:paraId="00693C9F" w14:textId="77777777" w:rsidR="00240824" w:rsidRPr="008B1975" w:rsidRDefault="00240824" w:rsidP="002A367E">
            <w:pPr>
              <w:pStyle w:val="TableHeading"/>
            </w:pPr>
            <w:r w:rsidRPr="008B1975">
              <w:t>Premises</w:t>
            </w:r>
          </w:p>
        </w:tc>
        <w:tc>
          <w:tcPr>
            <w:tcW w:w="1667" w:type="pct"/>
            <w:tcBorders>
              <w:top w:val="single" w:sz="6" w:space="0" w:color="auto"/>
              <w:left w:val="nil"/>
              <w:bottom w:val="single" w:sz="12" w:space="0" w:color="auto"/>
              <w:right w:val="nil"/>
            </w:tcBorders>
            <w:hideMark/>
          </w:tcPr>
          <w:p w14:paraId="60473D48" w14:textId="77777777" w:rsidR="00240824" w:rsidRPr="008B1975" w:rsidRDefault="00240824" w:rsidP="002A367E">
            <w:pPr>
              <w:pStyle w:val="TableHeading"/>
            </w:pPr>
            <w:r w:rsidRPr="008B1975">
              <w:t>Infrastructure</w:t>
            </w:r>
          </w:p>
        </w:tc>
      </w:tr>
      <w:tr w:rsidR="00240824" w:rsidRPr="008B1975" w14:paraId="0D2C63D3" w14:textId="77777777" w:rsidTr="00CC36E0">
        <w:trPr>
          <w:trHeight w:val="300"/>
        </w:trPr>
        <w:tc>
          <w:tcPr>
            <w:tcW w:w="1667" w:type="pct"/>
            <w:tcBorders>
              <w:top w:val="single" w:sz="12" w:space="0" w:color="auto"/>
              <w:left w:val="nil"/>
              <w:bottom w:val="single" w:sz="12" w:space="0" w:color="auto"/>
              <w:right w:val="nil"/>
            </w:tcBorders>
            <w:hideMark/>
          </w:tcPr>
          <w:p w14:paraId="2B34CD31" w14:textId="77777777" w:rsidR="00240824" w:rsidRPr="008B1975" w:rsidRDefault="00240824" w:rsidP="002A367E">
            <w:pPr>
              <w:pStyle w:val="Tabletext"/>
            </w:pPr>
            <w:r w:rsidRPr="008B1975">
              <w:t>Accessible taxis</w:t>
            </w:r>
          </w:p>
        </w:tc>
        <w:tc>
          <w:tcPr>
            <w:tcW w:w="1667" w:type="pct"/>
            <w:tcBorders>
              <w:top w:val="single" w:sz="12" w:space="0" w:color="auto"/>
              <w:left w:val="nil"/>
              <w:bottom w:val="single" w:sz="12" w:space="0" w:color="auto"/>
              <w:right w:val="nil"/>
            </w:tcBorders>
            <w:hideMark/>
          </w:tcPr>
          <w:p w14:paraId="23B09F8D" w14:textId="77777777" w:rsidR="00240824" w:rsidRPr="008B1975" w:rsidRDefault="00240824" w:rsidP="002A367E">
            <w:pPr>
              <w:pStyle w:val="Tabletext"/>
            </w:pPr>
            <w:r w:rsidRPr="008B1975">
              <w:t>None</w:t>
            </w:r>
          </w:p>
        </w:tc>
        <w:tc>
          <w:tcPr>
            <w:tcW w:w="1667" w:type="pct"/>
            <w:tcBorders>
              <w:top w:val="single" w:sz="12" w:space="0" w:color="auto"/>
              <w:left w:val="nil"/>
              <w:bottom w:val="single" w:sz="12" w:space="0" w:color="auto"/>
              <w:right w:val="nil"/>
            </w:tcBorders>
            <w:hideMark/>
          </w:tcPr>
          <w:p w14:paraId="49E5BA64" w14:textId="77777777" w:rsidR="00240824" w:rsidRPr="008B1975" w:rsidRDefault="00240824" w:rsidP="002A367E">
            <w:pPr>
              <w:pStyle w:val="Tabletext"/>
            </w:pPr>
            <w:r w:rsidRPr="008B1975">
              <w:t>None</w:t>
            </w:r>
          </w:p>
        </w:tc>
      </w:tr>
    </w:tbl>
    <w:p w14:paraId="7AFE52CA" w14:textId="77777777" w:rsidR="00E93C13" w:rsidRPr="008B1975" w:rsidRDefault="000A511B" w:rsidP="000A511B">
      <w:pPr>
        <w:pStyle w:val="ItemHead"/>
      </w:pPr>
      <w:bookmarkStart w:id="182" w:name="_Ref185265124"/>
      <w:bookmarkStart w:id="183" w:name="_Hlk185264131"/>
      <w:r w:rsidRPr="008B1975">
        <w:t xml:space="preserve">10  </w:t>
      </w:r>
      <w:r w:rsidR="009F51FA" w:rsidRPr="008B1975">
        <w:t>S</w:t>
      </w:r>
      <w:r w:rsidR="00E93C13" w:rsidRPr="008B1975">
        <w:t>ubsection 12.6(1)</w:t>
      </w:r>
      <w:bookmarkEnd w:id="182"/>
    </w:p>
    <w:p w14:paraId="09BB17FB" w14:textId="77777777" w:rsidR="00E93C13" w:rsidRPr="008B1975" w:rsidRDefault="009F51FA" w:rsidP="002A367E">
      <w:pPr>
        <w:pStyle w:val="Item"/>
      </w:pPr>
      <w:r w:rsidRPr="008B1975">
        <w:t>Repeal the subsection.</w:t>
      </w:r>
    </w:p>
    <w:p w14:paraId="6993B0C1" w14:textId="77777777" w:rsidR="00E93C13" w:rsidRPr="008B1975" w:rsidRDefault="000A511B" w:rsidP="000A511B">
      <w:pPr>
        <w:pStyle w:val="ItemHead"/>
      </w:pPr>
      <w:bookmarkStart w:id="184" w:name="_Ref185337090"/>
      <w:bookmarkEnd w:id="183"/>
      <w:r w:rsidRPr="008B1975">
        <w:t xml:space="preserve">11  </w:t>
      </w:r>
      <w:r w:rsidR="00E93C13" w:rsidRPr="008B1975">
        <w:t>Subsection 12.6(2)</w:t>
      </w:r>
      <w:bookmarkEnd w:id="184"/>
    </w:p>
    <w:p w14:paraId="61F0BB45" w14:textId="77777777" w:rsidR="00E93C13" w:rsidRPr="008B1975" w:rsidRDefault="00E93C13" w:rsidP="002A367E">
      <w:pPr>
        <w:pStyle w:val="Item"/>
      </w:pPr>
      <w:r w:rsidRPr="008B1975">
        <w:t>After “grip or twist controls”, insert “or apply constant pressure”.</w:t>
      </w:r>
    </w:p>
    <w:p w14:paraId="6B4D3A21" w14:textId="77777777" w:rsidR="00E93C13" w:rsidRPr="008B1975" w:rsidRDefault="000A511B" w:rsidP="000A511B">
      <w:pPr>
        <w:pStyle w:val="ItemHead"/>
      </w:pPr>
      <w:bookmarkStart w:id="185" w:name="_Ref185337092"/>
      <w:r w:rsidRPr="008B1975">
        <w:t xml:space="preserve">12  </w:t>
      </w:r>
      <w:r w:rsidR="00E93C13" w:rsidRPr="008B1975">
        <w:t>Section 12.6 (table)</w:t>
      </w:r>
      <w:bookmarkEnd w:id="185"/>
    </w:p>
    <w:p w14:paraId="0CBBEBB1" w14:textId="77777777" w:rsidR="00E93C13" w:rsidRPr="008B1975" w:rsidRDefault="00E93C13" w:rsidP="002A367E">
      <w:pPr>
        <w:pStyle w:val="Item"/>
      </w:pPr>
      <w:r w:rsidRPr="008B1975">
        <w:t>Repeal the table, substitute:</w:t>
      </w:r>
    </w:p>
    <w:p w14:paraId="204DA7C4" w14:textId="77777777" w:rsidR="00E93C13" w:rsidRPr="008B1975" w:rsidRDefault="00E93C13" w:rsidP="002A367E">
      <w:pPr>
        <w:pStyle w:val="subsection"/>
      </w:pPr>
      <w:r w:rsidRPr="008B1975">
        <w:tab/>
        <w:t>(4)</w:t>
      </w:r>
      <w:r w:rsidRPr="008B1975">
        <w:tab/>
        <w:t>The following table specifies conveyances, premises and infrastructure this section applies to.</w:t>
      </w:r>
    </w:p>
    <w:p w14:paraId="5E29C219" w14:textId="77777777" w:rsidR="00E93C13" w:rsidRPr="008B1975" w:rsidRDefault="00E93C13"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93C13" w:rsidRPr="008B1975" w14:paraId="6AB0580A" w14:textId="77777777" w:rsidTr="00E93C13">
        <w:trPr>
          <w:trHeight w:val="300"/>
          <w:tblHeader/>
        </w:trPr>
        <w:tc>
          <w:tcPr>
            <w:tcW w:w="5000" w:type="pct"/>
            <w:gridSpan w:val="3"/>
            <w:tcBorders>
              <w:top w:val="single" w:sz="12" w:space="0" w:color="auto"/>
              <w:bottom w:val="single" w:sz="6" w:space="0" w:color="auto"/>
            </w:tcBorders>
            <w:shd w:val="clear" w:color="auto" w:fill="auto"/>
            <w:hideMark/>
          </w:tcPr>
          <w:p w14:paraId="03082642" w14:textId="77777777" w:rsidR="00E93C13" w:rsidRPr="008B1975" w:rsidRDefault="00E93C13" w:rsidP="002A367E">
            <w:pPr>
              <w:pStyle w:val="TableHeading"/>
            </w:pPr>
            <w:r w:rsidRPr="008B1975">
              <w:t>Application of this section</w:t>
            </w:r>
          </w:p>
        </w:tc>
      </w:tr>
      <w:tr w:rsidR="00E93C13" w:rsidRPr="008B1975" w14:paraId="17A333C9" w14:textId="77777777" w:rsidTr="00CC36E0">
        <w:trPr>
          <w:trHeight w:val="300"/>
          <w:tblHeader/>
        </w:trPr>
        <w:tc>
          <w:tcPr>
            <w:tcW w:w="1667" w:type="pct"/>
            <w:tcBorders>
              <w:top w:val="single" w:sz="6" w:space="0" w:color="auto"/>
              <w:bottom w:val="single" w:sz="12" w:space="0" w:color="auto"/>
            </w:tcBorders>
            <w:shd w:val="clear" w:color="auto" w:fill="auto"/>
            <w:hideMark/>
          </w:tcPr>
          <w:p w14:paraId="0A2E5BF8" w14:textId="77777777" w:rsidR="00E93C13" w:rsidRPr="008B1975" w:rsidRDefault="00E93C13"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2F8AE587" w14:textId="77777777" w:rsidR="00E93C13" w:rsidRPr="008B1975" w:rsidRDefault="00E93C13"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E943ADD" w14:textId="77777777" w:rsidR="00E93C13" w:rsidRPr="008B1975" w:rsidRDefault="00E93C13" w:rsidP="002A367E">
            <w:pPr>
              <w:pStyle w:val="TableHeading"/>
            </w:pPr>
            <w:r w:rsidRPr="008B1975">
              <w:t>Infrastructure</w:t>
            </w:r>
          </w:p>
        </w:tc>
      </w:tr>
      <w:tr w:rsidR="00E93C13" w:rsidRPr="008B1975" w14:paraId="5C1E325F" w14:textId="77777777" w:rsidTr="00CC36E0">
        <w:trPr>
          <w:trHeight w:val="300"/>
        </w:trPr>
        <w:tc>
          <w:tcPr>
            <w:tcW w:w="1667" w:type="pct"/>
            <w:tcBorders>
              <w:top w:val="single" w:sz="12" w:space="0" w:color="auto"/>
              <w:bottom w:val="single" w:sz="12" w:space="0" w:color="auto"/>
            </w:tcBorders>
            <w:shd w:val="clear" w:color="auto" w:fill="auto"/>
            <w:hideMark/>
          </w:tcPr>
          <w:p w14:paraId="6B067777" w14:textId="77777777" w:rsidR="00E93C13" w:rsidRPr="008B1975" w:rsidRDefault="00E93C13" w:rsidP="002A367E">
            <w:pPr>
              <w:pStyle w:val="Tabletext"/>
            </w:pPr>
            <w:r w:rsidRPr="008B1975">
              <w:t>All, except</w:t>
            </w:r>
            <w:r w:rsidR="00BA7325" w:rsidRPr="008B1975">
              <w:t xml:space="preserve"> the following:</w:t>
            </w:r>
          </w:p>
          <w:p w14:paraId="7221FB13" w14:textId="57E57841" w:rsidR="00E93C13" w:rsidRPr="008B1975" w:rsidRDefault="00E93C13" w:rsidP="002A367E">
            <w:pPr>
              <w:pStyle w:val="Tablea"/>
            </w:pPr>
            <w:r w:rsidRPr="008B1975">
              <w:t>(a)</w:t>
            </w:r>
            <w:r w:rsidR="00356CEE" w:rsidRPr="008B1975">
              <w:t xml:space="preserve"> </w:t>
            </w:r>
            <w:r w:rsidRPr="008B1975">
              <w:t>dedicated school buses;</w:t>
            </w:r>
          </w:p>
          <w:p w14:paraId="1CAA0902" w14:textId="77777777" w:rsidR="00E93C13" w:rsidRPr="008B1975" w:rsidRDefault="00E93C13" w:rsidP="002A367E">
            <w:pPr>
              <w:pStyle w:val="Tablea"/>
            </w:pPr>
            <w:r w:rsidRPr="008B1975">
              <w:t>(b) taxis;</w:t>
            </w:r>
          </w:p>
          <w:p w14:paraId="42284401" w14:textId="77777777" w:rsidR="00E93C13" w:rsidRPr="008B1975" w:rsidRDefault="00E93C13" w:rsidP="002A367E">
            <w:pPr>
              <w:pStyle w:val="Tablea"/>
            </w:pPr>
            <w:r w:rsidRPr="008B1975">
              <w:t>(c) aircraft</w:t>
            </w:r>
          </w:p>
        </w:tc>
        <w:tc>
          <w:tcPr>
            <w:tcW w:w="1667" w:type="pct"/>
            <w:tcBorders>
              <w:top w:val="single" w:sz="12" w:space="0" w:color="auto"/>
              <w:bottom w:val="single" w:sz="12" w:space="0" w:color="auto"/>
            </w:tcBorders>
            <w:shd w:val="clear" w:color="auto" w:fill="auto"/>
            <w:hideMark/>
          </w:tcPr>
          <w:p w14:paraId="1DC5AFA2" w14:textId="77777777" w:rsidR="00E93C13" w:rsidRPr="008B1975" w:rsidRDefault="00E93C13" w:rsidP="002A367E">
            <w:pPr>
              <w:pStyle w:val="Tabletext"/>
            </w:pPr>
            <w:r w:rsidRPr="008B1975">
              <w:t>All, except premises to which the Premises Standards apply</w:t>
            </w:r>
          </w:p>
        </w:tc>
        <w:tc>
          <w:tcPr>
            <w:tcW w:w="1667" w:type="pct"/>
            <w:tcBorders>
              <w:top w:val="single" w:sz="12" w:space="0" w:color="auto"/>
              <w:bottom w:val="single" w:sz="12" w:space="0" w:color="auto"/>
            </w:tcBorders>
            <w:shd w:val="clear" w:color="auto" w:fill="auto"/>
          </w:tcPr>
          <w:p w14:paraId="43EFA874" w14:textId="77777777" w:rsidR="00E93C13" w:rsidRPr="008B1975" w:rsidRDefault="00E93C13" w:rsidP="002A367E">
            <w:pPr>
              <w:pStyle w:val="Tabletext"/>
            </w:pPr>
            <w:r w:rsidRPr="008B1975">
              <w:t>All</w:t>
            </w:r>
          </w:p>
        </w:tc>
      </w:tr>
    </w:tbl>
    <w:p w14:paraId="0D7F4440" w14:textId="77777777" w:rsidR="00E93C13" w:rsidRPr="008B1975" w:rsidRDefault="000A511B" w:rsidP="000A511B">
      <w:pPr>
        <w:pStyle w:val="ItemHead"/>
      </w:pPr>
      <w:bookmarkStart w:id="186" w:name="_Ref185265098"/>
      <w:r w:rsidRPr="008B1975">
        <w:t xml:space="preserve">13  </w:t>
      </w:r>
      <w:r w:rsidR="00E93C13" w:rsidRPr="008B1975">
        <w:t>At the end of Part 12</w:t>
      </w:r>
      <w:bookmarkEnd w:id="186"/>
    </w:p>
    <w:p w14:paraId="666A07A4" w14:textId="77777777" w:rsidR="00E93C13" w:rsidRPr="008B1975" w:rsidRDefault="00E93C13" w:rsidP="002A367E">
      <w:pPr>
        <w:pStyle w:val="Item"/>
      </w:pPr>
      <w:r w:rsidRPr="008B1975">
        <w:t>Add:</w:t>
      </w:r>
    </w:p>
    <w:p w14:paraId="0CB407DB" w14:textId="77777777" w:rsidR="00E93C13" w:rsidRPr="008B1975" w:rsidRDefault="00E93C13" w:rsidP="002A367E">
      <w:pPr>
        <w:pStyle w:val="ActHead5"/>
        <w:outlineLvl w:val="9"/>
      </w:pPr>
      <w:r w:rsidRPr="008B1975">
        <w:t>12.7  Unisex accessible toilet doors must be power assisted</w:t>
      </w:r>
    </w:p>
    <w:p w14:paraId="719E17E6" w14:textId="77777777" w:rsidR="00E93C13" w:rsidRPr="008B1975" w:rsidRDefault="00E93C13" w:rsidP="002A367E">
      <w:pPr>
        <w:pStyle w:val="subsection"/>
      </w:pPr>
      <w:r w:rsidRPr="008B1975">
        <w:tab/>
        <w:t>(1)</w:t>
      </w:r>
      <w:r w:rsidRPr="008B1975">
        <w:tab/>
        <w:t>The door of a unisex accessible toilet must be power-assisted and not require a person to open or close that door by pushing or pulling that door.</w:t>
      </w:r>
    </w:p>
    <w:p w14:paraId="5907CD5C" w14:textId="77777777" w:rsidR="00E93C13" w:rsidRPr="008B1975" w:rsidRDefault="00E93C13" w:rsidP="002A367E">
      <w:pPr>
        <w:pStyle w:val="subsection"/>
      </w:pPr>
      <w:r w:rsidRPr="008B1975">
        <w:tab/>
        <w:t>(2)</w:t>
      </w:r>
      <w:r w:rsidRPr="008B1975">
        <w:tab/>
        <w:t>The following table specifies conveyances, premises and infrastructure this section applies to.</w:t>
      </w:r>
    </w:p>
    <w:p w14:paraId="1B5E378A" w14:textId="77777777" w:rsidR="00E93C13" w:rsidRPr="008B1975" w:rsidRDefault="00E93C13"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93C13" w:rsidRPr="008B1975" w14:paraId="7EB1C4AD" w14:textId="77777777" w:rsidTr="00E93C13">
        <w:trPr>
          <w:trHeight w:val="300"/>
          <w:tblHeader/>
        </w:trPr>
        <w:tc>
          <w:tcPr>
            <w:tcW w:w="5000" w:type="pct"/>
            <w:gridSpan w:val="3"/>
            <w:tcBorders>
              <w:top w:val="single" w:sz="12" w:space="0" w:color="auto"/>
              <w:bottom w:val="single" w:sz="6" w:space="0" w:color="auto"/>
            </w:tcBorders>
            <w:shd w:val="clear" w:color="auto" w:fill="auto"/>
            <w:hideMark/>
          </w:tcPr>
          <w:p w14:paraId="088558F1" w14:textId="77777777" w:rsidR="00E93C13" w:rsidRPr="008B1975" w:rsidRDefault="00E93C13" w:rsidP="002A367E">
            <w:pPr>
              <w:pStyle w:val="TableHeading"/>
            </w:pPr>
            <w:r w:rsidRPr="008B1975">
              <w:t>Application of this section</w:t>
            </w:r>
          </w:p>
        </w:tc>
      </w:tr>
      <w:tr w:rsidR="00E93C13" w:rsidRPr="008B1975" w14:paraId="634A7302" w14:textId="77777777" w:rsidTr="00CC36E0">
        <w:trPr>
          <w:trHeight w:val="300"/>
          <w:tblHeader/>
        </w:trPr>
        <w:tc>
          <w:tcPr>
            <w:tcW w:w="1667" w:type="pct"/>
            <w:tcBorders>
              <w:top w:val="single" w:sz="6" w:space="0" w:color="auto"/>
              <w:bottom w:val="single" w:sz="12" w:space="0" w:color="auto"/>
            </w:tcBorders>
            <w:shd w:val="clear" w:color="auto" w:fill="auto"/>
            <w:hideMark/>
          </w:tcPr>
          <w:p w14:paraId="04D32AB8" w14:textId="77777777" w:rsidR="00E93C13" w:rsidRPr="008B1975" w:rsidRDefault="00E93C13"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41A90B6" w14:textId="77777777" w:rsidR="00E93C13" w:rsidRPr="008B1975" w:rsidRDefault="00E93C13"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A2E74F9" w14:textId="77777777" w:rsidR="00E93C13" w:rsidRPr="008B1975" w:rsidRDefault="00E93C13" w:rsidP="002A367E">
            <w:pPr>
              <w:pStyle w:val="TableHeading"/>
            </w:pPr>
            <w:r w:rsidRPr="008B1975">
              <w:t>Infrastructure</w:t>
            </w:r>
          </w:p>
        </w:tc>
      </w:tr>
      <w:tr w:rsidR="00E93C13" w:rsidRPr="008B1975" w14:paraId="78AB28E3" w14:textId="77777777" w:rsidTr="00CC36E0">
        <w:trPr>
          <w:trHeight w:val="300"/>
        </w:trPr>
        <w:tc>
          <w:tcPr>
            <w:tcW w:w="1667" w:type="pct"/>
            <w:tcBorders>
              <w:top w:val="single" w:sz="12" w:space="0" w:color="auto"/>
              <w:bottom w:val="single" w:sz="12" w:space="0" w:color="auto"/>
            </w:tcBorders>
            <w:shd w:val="clear" w:color="auto" w:fill="auto"/>
            <w:hideMark/>
          </w:tcPr>
          <w:p w14:paraId="2077B0D8" w14:textId="02AFD3C6" w:rsidR="00E93C13" w:rsidRPr="008B1975" w:rsidRDefault="00E93C13" w:rsidP="004E6262">
            <w:pPr>
              <w:pStyle w:val="Tabletext"/>
            </w:pPr>
            <w:r w:rsidRPr="008B1975">
              <w:t>Trains</w:t>
            </w:r>
          </w:p>
        </w:tc>
        <w:tc>
          <w:tcPr>
            <w:tcW w:w="1667" w:type="pct"/>
            <w:tcBorders>
              <w:top w:val="single" w:sz="12" w:space="0" w:color="auto"/>
              <w:bottom w:val="single" w:sz="12" w:space="0" w:color="auto"/>
            </w:tcBorders>
            <w:shd w:val="clear" w:color="auto" w:fill="auto"/>
            <w:hideMark/>
          </w:tcPr>
          <w:p w14:paraId="2AC81055" w14:textId="77777777" w:rsidR="00E93C13" w:rsidRPr="008B1975" w:rsidRDefault="00E93C13" w:rsidP="002A367E">
            <w:pPr>
              <w:pStyle w:val="Tabletext"/>
            </w:pPr>
            <w:r w:rsidRPr="008B1975">
              <w:t>All, except premises to which the Premises Standards apply</w:t>
            </w:r>
          </w:p>
        </w:tc>
        <w:tc>
          <w:tcPr>
            <w:tcW w:w="1667" w:type="pct"/>
            <w:tcBorders>
              <w:top w:val="single" w:sz="12" w:space="0" w:color="auto"/>
              <w:bottom w:val="single" w:sz="12" w:space="0" w:color="auto"/>
            </w:tcBorders>
            <w:shd w:val="clear" w:color="auto" w:fill="auto"/>
          </w:tcPr>
          <w:p w14:paraId="582759C1" w14:textId="77777777" w:rsidR="00E93C13" w:rsidRPr="008B1975" w:rsidRDefault="00E93C13" w:rsidP="002A367E">
            <w:pPr>
              <w:pStyle w:val="Tabletext"/>
            </w:pPr>
            <w:r w:rsidRPr="008B1975">
              <w:t>All</w:t>
            </w:r>
          </w:p>
        </w:tc>
      </w:tr>
    </w:tbl>
    <w:p w14:paraId="594C7C42" w14:textId="77777777" w:rsidR="00824838" w:rsidRPr="008B1975" w:rsidRDefault="00824838" w:rsidP="00824838">
      <w:pPr>
        <w:pStyle w:val="ActHead6"/>
        <w:pageBreakBefore/>
        <w:rPr>
          <w:rStyle w:val="CharAmSchText"/>
        </w:rPr>
      </w:pPr>
      <w:bookmarkStart w:id="187" w:name="_Toc197178954"/>
      <w:r w:rsidRPr="008B1975">
        <w:lastRenderedPageBreak/>
        <w:t>Schedule 13—</w:t>
      </w:r>
      <w:r w:rsidRPr="008B1975">
        <w:rPr>
          <w:rStyle w:val="CharAmSchText"/>
        </w:rPr>
        <w:t>Part 13 (Lifts) Amendments</w:t>
      </w:r>
      <w:bookmarkEnd w:id="187"/>
    </w:p>
    <w:p w14:paraId="6647CA1D" w14:textId="77777777" w:rsidR="00824838" w:rsidRPr="008B1975" w:rsidRDefault="00824838" w:rsidP="00824838">
      <w:pPr>
        <w:pStyle w:val="ActHead9"/>
      </w:pPr>
      <w:bookmarkStart w:id="188" w:name="_Toc197178955"/>
      <w:r w:rsidRPr="008B1975">
        <w:t>Disability Standards for Accessible Public Transport 2002</w:t>
      </w:r>
      <w:bookmarkEnd w:id="188"/>
    </w:p>
    <w:p w14:paraId="6B21A814" w14:textId="77777777" w:rsidR="008D0C53" w:rsidRPr="008B1975" w:rsidRDefault="000A511B" w:rsidP="000A511B">
      <w:pPr>
        <w:pStyle w:val="ItemHead"/>
      </w:pPr>
      <w:bookmarkStart w:id="189" w:name="_Ref185265494"/>
      <w:r w:rsidRPr="008B1975">
        <w:t xml:space="preserve">1  </w:t>
      </w:r>
      <w:r w:rsidR="008D0C53" w:rsidRPr="008B1975">
        <w:t>Section 13.1</w:t>
      </w:r>
      <w:bookmarkEnd w:id="189"/>
    </w:p>
    <w:p w14:paraId="0539F68A" w14:textId="77777777" w:rsidR="008D0C53" w:rsidRPr="008B1975" w:rsidRDefault="008D0C53" w:rsidP="008D0C53">
      <w:pPr>
        <w:pStyle w:val="Item"/>
      </w:pPr>
      <w:r w:rsidRPr="008B1975">
        <w:t>Repeal the section, substitute:</w:t>
      </w:r>
    </w:p>
    <w:p w14:paraId="1BB3B592" w14:textId="77777777" w:rsidR="008D0C53" w:rsidRPr="008B1975" w:rsidRDefault="008D0C53" w:rsidP="002A367E">
      <w:pPr>
        <w:pStyle w:val="ActHead5"/>
        <w:outlineLvl w:val="9"/>
      </w:pPr>
      <w:r w:rsidRPr="008B1975">
        <w:t>13.1  Compliance with Australian Standard—premises and infrastructure</w:t>
      </w:r>
    </w:p>
    <w:p w14:paraId="584966AC" w14:textId="77777777" w:rsidR="008D0C53" w:rsidRPr="008B1975" w:rsidRDefault="008D0C53" w:rsidP="002A367E">
      <w:pPr>
        <w:pStyle w:val="subsection"/>
      </w:pPr>
      <w:r w:rsidRPr="008B1975">
        <w:tab/>
      </w:r>
      <w:r w:rsidR="00EF0A3A" w:rsidRPr="008B1975">
        <w:t>(1)</w:t>
      </w:r>
      <w:r w:rsidRPr="008B1975">
        <w:tab/>
        <w:t>Lift facilities must comply with AS</w:t>
      </w:r>
      <w:r w:rsidR="00BA7325" w:rsidRPr="008B1975">
        <w:t xml:space="preserve"> </w:t>
      </w:r>
      <w:r w:rsidRPr="008B1975">
        <w:t>1735.12 (2020).</w:t>
      </w:r>
    </w:p>
    <w:p w14:paraId="12F4BD03" w14:textId="77777777" w:rsidR="008D0C53" w:rsidRPr="008B1975" w:rsidRDefault="008D0C53" w:rsidP="002A367E">
      <w:pPr>
        <w:pStyle w:val="subsection"/>
      </w:pPr>
      <w:r w:rsidRPr="008B1975">
        <w:tab/>
      </w:r>
      <w:r w:rsidR="00EF0A3A" w:rsidRPr="008B1975">
        <w:t>(2)</w:t>
      </w:r>
      <w:r w:rsidRPr="008B1975">
        <w:tab/>
        <w:t>However, where a provision of these Standards is inconsistent with a provision of AS</w:t>
      </w:r>
      <w:r w:rsidR="00BA7325" w:rsidRPr="008B1975">
        <w:t xml:space="preserve"> </w:t>
      </w:r>
      <w:r w:rsidRPr="008B1975">
        <w:t>1735.12 (2020), these Standards prevail to the extent of the inconsistency.</w:t>
      </w:r>
    </w:p>
    <w:p w14:paraId="5203DE7A" w14:textId="77777777" w:rsidR="008D0C53" w:rsidRPr="008B1975" w:rsidRDefault="008D0C53" w:rsidP="002A367E">
      <w:pPr>
        <w:pStyle w:val="subsection"/>
      </w:pPr>
      <w:r w:rsidRPr="008B1975">
        <w:tab/>
        <w:t>(3)</w:t>
      </w:r>
      <w:r w:rsidRPr="008B1975">
        <w:tab/>
        <w:t>The following table specifies conveyances, premises and infrastructure this section applies to.</w:t>
      </w:r>
    </w:p>
    <w:p w14:paraId="797AC59C" w14:textId="77777777" w:rsidR="008D0C53" w:rsidRPr="008B1975" w:rsidRDefault="008D0C53"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5B3EE9C8"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75FBE2F6" w14:textId="77777777" w:rsidR="008D0C53" w:rsidRPr="008B1975" w:rsidRDefault="008D0C53" w:rsidP="002A367E">
            <w:pPr>
              <w:pStyle w:val="TableHeading"/>
            </w:pPr>
            <w:r w:rsidRPr="008B1975">
              <w:t>Application of this section</w:t>
            </w:r>
          </w:p>
        </w:tc>
      </w:tr>
      <w:tr w:rsidR="008D0C53" w:rsidRPr="008B1975" w14:paraId="1F49AF34" w14:textId="77777777" w:rsidTr="00CC36E0">
        <w:trPr>
          <w:trHeight w:val="300"/>
          <w:tblHeader/>
        </w:trPr>
        <w:tc>
          <w:tcPr>
            <w:tcW w:w="1667" w:type="pct"/>
            <w:tcBorders>
              <w:top w:val="single" w:sz="6" w:space="0" w:color="auto"/>
              <w:bottom w:val="single" w:sz="12" w:space="0" w:color="auto"/>
            </w:tcBorders>
            <w:shd w:val="clear" w:color="auto" w:fill="auto"/>
            <w:hideMark/>
          </w:tcPr>
          <w:p w14:paraId="179B8596" w14:textId="77777777" w:rsidR="008D0C53" w:rsidRPr="008B1975" w:rsidRDefault="008D0C53"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44607C7F" w14:textId="77777777" w:rsidR="008D0C53" w:rsidRPr="008B1975" w:rsidRDefault="008D0C53"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494E609" w14:textId="77777777" w:rsidR="008D0C53" w:rsidRPr="008B1975" w:rsidRDefault="008D0C53" w:rsidP="002A367E">
            <w:pPr>
              <w:pStyle w:val="TableHeading"/>
            </w:pPr>
            <w:r w:rsidRPr="008B1975">
              <w:t>Infrastructure</w:t>
            </w:r>
          </w:p>
        </w:tc>
      </w:tr>
      <w:tr w:rsidR="008D0C53" w:rsidRPr="008B1975" w14:paraId="7994295D" w14:textId="77777777" w:rsidTr="00CC36E0">
        <w:trPr>
          <w:trHeight w:val="300"/>
        </w:trPr>
        <w:tc>
          <w:tcPr>
            <w:tcW w:w="1667" w:type="pct"/>
            <w:tcBorders>
              <w:top w:val="single" w:sz="12" w:space="0" w:color="auto"/>
              <w:bottom w:val="single" w:sz="12" w:space="0" w:color="auto"/>
            </w:tcBorders>
            <w:shd w:val="clear" w:color="auto" w:fill="auto"/>
            <w:hideMark/>
          </w:tcPr>
          <w:p w14:paraId="68D31FC0" w14:textId="77777777" w:rsidR="008D0C53" w:rsidRPr="008B1975" w:rsidRDefault="008D0C53" w:rsidP="002A367E">
            <w:pPr>
              <w:pStyle w:val="Tabletext"/>
            </w:pPr>
            <w:r w:rsidRPr="008B1975">
              <w:t>None</w:t>
            </w:r>
          </w:p>
        </w:tc>
        <w:tc>
          <w:tcPr>
            <w:tcW w:w="1667" w:type="pct"/>
            <w:tcBorders>
              <w:top w:val="single" w:sz="12" w:space="0" w:color="auto"/>
              <w:bottom w:val="single" w:sz="12" w:space="0" w:color="auto"/>
            </w:tcBorders>
            <w:shd w:val="clear" w:color="auto" w:fill="auto"/>
            <w:hideMark/>
          </w:tcPr>
          <w:p w14:paraId="0675FBFE" w14:textId="77777777" w:rsidR="008D0C53" w:rsidRPr="00AD2D45" w:rsidRDefault="008D0C53" w:rsidP="002A367E">
            <w:pPr>
              <w:pStyle w:val="Tabletext"/>
            </w:pPr>
            <w:r w:rsidRPr="00AD2D45">
              <w:t>All, except premises to which the Premises Standards apply</w:t>
            </w:r>
          </w:p>
        </w:tc>
        <w:tc>
          <w:tcPr>
            <w:tcW w:w="1667" w:type="pct"/>
            <w:tcBorders>
              <w:top w:val="single" w:sz="12" w:space="0" w:color="auto"/>
              <w:bottom w:val="single" w:sz="12" w:space="0" w:color="auto"/>
            </w:tcBorders>
            <w:shd w:val="clear" w:color="auto" w:fill="auto"/>
          </w:tcPr>
          <w:p w14:paraId="775100AF" w14:textId="77777777" w:rsidR="008D0C53" w:rsidRPr="00AD2D45" w:rsidRDefault="00F335C6" w:rsidP="002A367E">
            <w:pPr>
              <w:pStyle w:val="Tabletext"/>
            </w:pPr>
            <w:r w:rsidRPr="00AD2D45">
              <w:t>All</w:t>
            </w:r>
          </w:p>
        </w:tc>
      </w:tr>
    </w:tbl>
    <w:p w14:paraId="4403D54A" w14:textId="77777777" w:rsidR="006B7E79" w:rsidRPr="008B1975" w:rsidRDefault="006B7E79" w:rsidP="002A367E">
      <w:pPr>
        <w:pStyle w:val="ActHead5"/>
        <w:outlineLvl w:val="9"/>
      </w:pPr>
      <w:r w:rsidRPr="008B1975">
        <w:t>13.2  Braille and tactile information in lift landings</w:t>
      </w:r>
    </w:p>
    <w:p w14:paraId="621A3F23" w14:textId="77777777" w:rsidR="006B7E79" w:rsidRPr="008B1975" w:rsidRDefault="006B7E79" w:rsidP="002A367E">
      <w:pPr>
        <w:pStyle w:val="subsection"/>
      </w:pPr>
      <w:r w:rsidRPr="008B1975">
        <w:tab/>
        <w:t>(1)</w:t>
      </w:r>
      <w:r w:rsidRPr="008B1975">
        <w:tab/>
        <w:t>A lift landing must have a braille and tactile sign that identifies:</w:t>
      </w:r>
    </w:p>
    <w:p w14:paraId="23F517F4" w14:textId="77777777" w:rsidR="006B7E79" w:rsidRPr="008B1975" w:rsidRDefault="006B7E79" w:rsidP="002A367E">
      <w:pPr>
        <w:pStyle w:val="paragraph"/>
      </w:pPr>
      <w:r w:rsidRPr="008B1975">
        <w:tab/>
        <w:t>(a)</w:t>
      </w:r>
      <w:r w:rsidRPr="008B1975">
        <w:tab/>
        <w:t>for a landing on a platform—the platform; and</w:t>
      </w:r>
    </w:p>
    <w:p w14:paraId="0CA4B73F" w14:textId="77777777" w:rsidR="006B7E79" w:rsidRPr="008B1975" w:rsidRDefault="006B7E79" w:rsidP="002A367E">
      <w:pPr>
        <w:pStyle w:val="paragraph"/>
      </w:pPr>
      <w:r w:rsidRPr="008B1975">
        <w:tab/>
        <w:t>(b)</w:t>
      </w:r>
      <w:r w:rsidRPr="008B1975">
        <w:tab/>
        <w:t>for a landing at a road reserve, parking area or passenger loading zone—</w:t>
      </w:r>
      <w:r w:rsidR="00CD7836" w:rsidRPr="008B1975">
        <w:t>the street or facility name, as applicable,</w:t>
      </w:r>
      <w:r w:rsidRPr="008B1975">
        <w:rPr>
          <w:i/>
        </w:rPr>
        <w:t xml:space="preserve"> </w:t>
      </w:r>
      <w:r w:rsidRPr="008B1975">
        <w:t>of the reserve, area or zone; and</w:t>
      </w:r>
    </w:p>
    <w:p w14:paraId="2616A9EE" w14:textId="77777777" w:rsidR="006B7E79" w:rsidRPr="008B1975" w:rsidRDefault="006B7E79" w:rsidP="002A367E">
      <w:pPr>
        <w:pStyle w:val="paragraph"/>
      </w:pPr>
      <w:r w:rsidRPr="008B1975">
        <w:tab/>
        <w:t>(c)</w:t>
      </w:r>
      <w:r w:rsidRPr="008B1975">
        <w:tab/>
        <w:t>for a landing at an overbridge, subway or concourse—</w:t>
      </w:r>
      <w:r w:rsidR="00CD7836" w:rsidRPr="008B1975">
        <w:t>the level</w:t>
      </w:r>
      <w:r w:rsidRPr="008B1975">
        <w:t xml:space="preserve"> of the overbridge, subway or concourse.</w:t>
      </w:r>
    </w:p>
    <w:p w14:paraId="4E81D239" w14:textId="77777777" w:rsidR="006B7E79" w:rsidRPr="008B1975" w:rsidRDefault="006B7E79" w:rsidP="002A367E">
      <w:pPr>
        <w:pStyle w:val="subsection"/>
      </w:pPr>
      <w:r w:rsidRPr="008B1975">
        <w:tab/>
        <w:t>(2)</w:t>
      </w:r>
      <w:r w:rsidRPr="008B1975">
        <w:tab/>
        <w:t>The sign must comply with AS 1428.4.2 (2018).</w:t>
      </w:r>
    </w:p>
    <w:p w14:paraId="656AA87A" w14:textId="716BF3CB" w:rsidR="006B7E79" w:rsidRPr="008B1975" w:rsidRDefault="006B7E79" w:rsidP="002A367E">
      <w:pPr>
        <w:pStyle w:val="subsection"/>
      </w:pPr>
      <w:r w:rsidRPr="008B1975">
        <w:tab/>
        <w:t>(3)</w:t>
      </w:r>
      <w:r w:rsidRPr="008B1975">
        <w:tab/>
        <w:t>The sign must be located in a way that complies with clause ZA.5.2 of Appendix ZA to AS</w:t>
      </w:r>
      <w:r w:rsidR="00BA7325" w:rsidRPr="008B1975">
        <w:t xml:space="preserve"> </w:t>
      </w:r>
      <w:r w:rsidRPr="008B1975">
        <w:t>1735.12 (2020).</w:t>
      </w:r>
    </w:p>
    <w:p w14:paraId="47CE2D02" w14:textId="77777777" w:rsidR="006B7E79" w:rsidRPr="008B1975" w:rsidRDefault="006B7E79" w:rsidP="002A367E">
      <w:pPr>
        <w:pStyle w:val="subsection"/>
      </w:pPr>
      <w:r w:rsidRPr="008B1975">
        <w:tab/>
        <w:t>(4)</w:t>
      </w:r>
      <w:r w:rsidRPr="008B1975">
        <w:tab/>
        <w:t>The following table specifies conveyances, premises and infrastructure this section applies to.</w:t>
      </w:r>
    </w:p>
    <w:p w14:paraId="4BA173A7" w14:textId="77777777" w:rsidR="006B7E79" w:rsidRPr="008B1975" w:rsidRDefault="006B7E79"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B7E79" w:rsidRPr="008B1975" w14:paraId="7742FE1A"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0BDEA3EA" w14:textId="77777777" w:rsidR="006B7E79" w:rsidRPr="008B1975" w:rsidRDefault="006B7E79" w:rsidP="002A367E">
            <w:pPr>
              <w:pStyle w:val="TableHeading"/>
            </w:pPr>
            <w:r w:rsidRPr="008B1975">
              <w:t>Application of this section</w:t>
            </w:r>
          </w:p>
        </w:tc>
      </w:tr>
      <w:tr w:rsidR="006B7E79" w:rsidRPr="008B1975" w14:paraId="14F65EBE" w14:textId="77777777" w:rsidTr="00CC36E0">
        <w:trPr>
          <w:trHeight w:val="300"/>
          <w:tblHeader/>
        </w:trPr>
        <w:tc>
          <w:tcPr>
            <w:tcW w:w="1667" w:type="pct"/>
            <w:tcBorders>
              <w:top w:val="single" w:sz="6" w:space="0" w:color="auto"/>
              <w:bottom w:val="single" w:sz="12" w:space="0" w:color="auto"/>
            </w:tcBorders>
            <w:shd w:val="clear" w:color="auto" w:fill="auto"/>
            <w:hideMark/>
          </w:tcPr>
          <w:p w14:paraId="601B3131" w14:textId="77777777" w:rsidR="006B7E79" w:rsidRPr="008B1975" w:rsidRDefault="006B7E79"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0E3B077C" w14:textId="77777777" w:rsidR="006B7E79" w:rsidRPr="008B1975" w:rsidRDefault="006B7E79"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099ADBFE" w14:textId="77777777" w:rsidR="006B7E79" w:rsidRPr="008B1975" w:rsidRDefault="006B7E79" w:rsidP="002A367E">
            <w:pPr>
              <w:pStyle w:val="TableHeading"/>
            </w:pPr>
            <w:r w:rsidRPr="008B1975">
              <w:t>Infrastructure</w:t>
            </w:r>
          </w:p>
        </w:tc>
      </w:tr>
      <w:tr w:rsidR="006B7E79" w:rsidRPr="008B1975" w14:paraId="689561DC" w14:textId="77777777" w:rsidTr="00CC36E0">
        <w:trPr>
          <w:trHeight w:val="300"/>
        </w:trPr>
        <w:tc>
          <w:tcPr>
            <w:tcW w:w="1667" w:type="pct"/>
            <w:tcBorders>
              <w:top w:val="single" w:sz="12" w:space="0" w:color="auto"/>
              <w:bottom w:val="single" w:sz="12" w:space="0" w:color="auto"/>
            </w:tcBorders>
            <w:shd w:val="clear" w:color="auto" w:fill="auto"/>
            <w:hideMark/>
          </w:tcPr>
          <w:p w14:paraId="4A9D4CBB" w14:textId="77777777" w:rsidR="006B7E79" w:rsidRPr="008B1975" w:rsidRDefault="006B7E79" w:rsidP="00A35350">
            <w:pPr>
              <w:pStyle w:val="Tabletext"/>
            </w:pPr>
            <w:r w:rsidRPr="008B1975">
              <w:t>None</w:t>
            </w:r>
          </w:p>
          <w:p w14:paraId="0F957422" w14:textId="77777777" w:rsidR="006B7E79" w:rsidRPr="008B1975" w:rsidRDefault="006B7E79" w:rsidP="002A367E">
            <w:pPr>
              <w:pStyle w:val="Tablea"/>
            </w:pPr>
          </w:p>
        </w:tc>
        <w:tc>
          <w:tcPr>
            <w:tcW w:w="1667" w:type="pct"/>
            <w:tcBorders>
              <w:top w:val="single" w:sz="12" w:space="0" w:color="auto"/>
              <w:bottom w:val="single" w:sz="12" w:space="0" w:color="auto"/>
            </w:tcBorders>
            <w:shd w:val="clear" w:color="auto" w:fill="auto"/>
            <w:hideMark/>
          </w:tcPr>
          <w:p w14:paraId="7394F9CA" w14:textId="77777777" w:rsidR="006B7E79" w:rsidRPr="00AD2D45" w:rsidRDefault="006B7E79" w:rsidP="002A367E">
            <w:pPr>
              <w:pStyle w:val="Tabletext"/>
            </w:pPr>
            <w:r w:rsidRPr="00AD2D45">
              <w:t>All, except premises to which the Premises Standards apply</w:t>
            </w:r>
          </w:p>
        </w:tc>
        <w:tc>
          <w:tcPr>
            <w:tcW w:w="1667" w:type="pct"/>
            <w:tcBorders>
              <w:top w:val="single" w:sz="12" w:space="0" w:color="auto"/>
              <w:bottom w:val="single" w:sz="12" w:space="0" w:color="auto"/>
            </w:tcBorders>
            <w:shd w:val="clear" w:color="auto" w:fill="auto"/>
          </w:tcPr>
          <w:p w14:paraId="353FB87D" w14:textId="77777777" w:rsidR="006B7E79" w:rsidRPr="00AD2D45" w:rsidRDefault="006B7E79" w:rsidP="002A367E">
            <w:pPr>
              <w:pStyle w:val="Tabletext"/>
            </w:pPr>
            <w:r w:rsidRPr="00AD2D45">
              <w:t>All</w:t>
            </w:r>
          </w:p>
        </w:tc>
      </w:tr>
    </w:tbl>
    <w:p w14:paraId="45D81594" w14:textId="77777777" w:rsidR="00764253" w:rsidRPr="008B1975" w:rsidRDefault="00764253" w:rsidP="00764253">
      <w:pPr>
        <w:pStyle w:val="notetext"/>
      </w:pPr>
      <w:r w:rsidRPr="008B1975">
        <w:t>Note:</w:t>
      </w:r>
      <w:r w:rsidRPr="008B1975">
        <w:tab/>
        <w:t>This section applies after the end of the 5-year transitional period to existing lift landings: see section 35.15.</w:t>
      </w:r>
    </w:p>
    <w:p w14:paraId="0DC0B4BF" w14:textId="77777777" w:rsidR="006B7E79" w:rsidRPr="008B1975" w:rsidRDefault="006B7E79" w:rsidP="002A367E">
      <w:pPr>
        <w:pStyle w:val="ActHead5"/>
        <w:outlineLvl w:val="9"/>
      </w:pPr>
      <w:r w:rsidRPr="008B1975">
        <w:t xml:space="preserve">13.3  Audible announcement in lift about location and directions </w:t>
      </w:r>
    </w:p>
    <w:p w14:paraId="34E2BF08" w14:textId="77777777" w:rsidR="00CD7836" w:rsidRPr="008B1975" w:rsidRDefault="00CD7836" w:rsidP="00CD7836">
      <w:pPr>
        <w:pStyle w:val="subsection"/>
      </w:pPr>
      <w:r w:rsidRPr="008B1975">
        <w:tab/>
        <w:t>(1)</w:t>
      </w:r>
      <w:r w:rsidRPr="008B1975">
        <w:tab/>
        <w:t>A lift must have the following features:</w:t>
      </w:r>
    </w:p>
    <w:p w14:paraId="79C75FDB" w14:textId="77777777" w:rsidR="006B7E79" w:rsidRPr="008B1975" w:rsidRDefault="00CD7836" w:rsidP="00CD7836">
      <w:pPr>
        <w:pStyle w:val="paragraph"/>
      </w:pPr>
      <w:r w:rsidRPr="008B1975">
        <w:lastRenderedPageBreak/>
        <w:tab/>
        <w:t>(a)</w:t>
      </w:r>
      <w:r w:rsidRPr="008B1975">
        <w:tab/>
        <w:t>an automatic audible announcement</w:t>
      </w:r>
      <w:r w:rsidR="006B7E79" w:rsidRPr="008B1975">
        <w:t xml:space="preserve"> </w:t>
      </w:r>
      <w:r w:rsidR="00F21FDA" w:rsidRPr="008B1975">
        <w:t>within the lift car identifying the location at which the lift has arrived every time the car stops;</w:t>
      </w:r>
    </w:p>
    <w:p w14:paraId="70B55F79" w14:textId="77777777" w:rsidR="00F21FDA" w:rsidRPr="008B1975" w:rsidRDefault="00F21FDA" w:rsidP="00CD7836">
      <w:pPr>
        <w:pStyle w:val="paragraph"/>
      </w:pPr>
      <w:r w:rsidRPr="008B1975">
        <w:tab/>
        <w:t>(b)</w:t>
      </w:r>
      <w:r w:rsidRPr="008B1975">
        <w:tab/>
        <w:t>information to assist a person in the lift car to make basic orientation decisions in leaving the lift.</w:t>
      </w:r>
    </w:p>
    <w:p w14:paraId="791C9C2A" w14:textId="77777777" w:rsidR="006B7E79" w:rsidRPr="008B1975" w:rsidRDefault="006B7E79" w:rsidP="002A367E">
      <w:pPr>
        <w:pStyle w:val="subsection"/>
      </w:pPr>
      <w:r w:rsidRPr="008B1975">
        <w:tab/>
        <w:t>(2)</w:t>
      </w:r>
      <w:r w:rsidRPr="008B1975">
        <w:tab/>
        <w:t>The following table specifies conveyances, premises and infrastructure this section applies to.</w:t>
      </w:r>
    </w:p>
    <w:p w14:paraId="599FF729" w14:textId="77777777" w:rsidR="006B7E79" w:rsidRPr="008B1975" w:rsidRDefault="006B7E79"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B7E79" w:rsidRPr="008B1975" w14:paraId="04132ED6"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68D9BC21" w14:textId="77777777" w:rsidR="006B7E79" w:rsidRPr="008B1975" w:rsidRDefault="006B7E79" w:rsidP="002A367E">
            <w:pPr>
              <w:pStyle w:val="TableHeading"/>
            </w:pPr>
            <w:r w:rsidRPr="008B1975">
              <w:t>Application of this section</w:t>
            </w:r>
          </w:p>
        </w:tc>
      </w:tr>
      <w:tr w:rsidR="006B7E79" w:rsidRPr="008B1975" w14:paraId="59E3550E" w14:textId="77777777" w:rsidTr="00CC36E0">
        <w:trPr>
          <w:trHeight w:val="300"/>
          <w:tblHeader/>
        </w:trPr>
        <w:tc>
          <w:tcPr>
            <w:tcW w:w="1667" w:type="pct"/>
            <w:tcBorders>
              <w:top w:val="single" w:sz="6" w:space="0" w:color="auto"/>
              <w:bottom w:val="single" w:sz="12" w:space="0" w:color="auto"/>
            </w:tcBorders>
            <w:shd w:val="clear" w:color="auto" w:fill="auto"/>
            <w:hideMark/>
          </w:tcPr>
          <w:p w14:paraId="6EF869FB" w14:textId="77777777" w:rsidR="006B7E79" w:rsidRPr="00AD2D45" w:rsidRDefault="006B7E79" w:rsidP="002A367E">
            <w:pPr>
              <w:pStyle w:val="TableHeading"/>
            </w:pPr>
            <w:r w:rsidRPr="00AD2D45">
              <w:t>Conveyances</w:t>
            </w:r>
          </w:p>
        </w:tc>
        <w:tc>
          <w:tcPr>
            <w:tcW w:w="1667" w:type="pct"/>
            <w:tcBorders>
              <w:top w:val="single" w:sz="6" w:space="0" w:color="auto"/>
              <w:bottom w:val="single" w:sz="12" w:space="0" w:color="auto"/>
            </w:tcBorders>
            <w:shd w:val="clear" w:color="auto" w:fill="auto"/>
            <w:hideMark/>
          </w:tcPr>
          <w:p w14:paraId="4B06C2C3" w14:textId="77777777" w:rsidR="006B7E79" w:rsidRPr="00AD2D45" w:rsidRDefault="006B7E79" w:rsidP="002A367E">
            <w:pPr>
              <w:pStyle w:val="TableHeading"/>
            </w:pPr>
            <w:r w:rsidRPr="00AD2D45">
              <w:t>Premises</w:t>
            </w:r>
          </w:p>
        </w:tc>
        <w:tc>
          <w:tcPr>
            <w:tcW w:w="1667" w:type="pct"/>
            <w:tcBorders>
              <w:top w:val="single" w:sz="6" w:space="0" w:color="auto"/>
              <w:bottom w:val="single" w:sz="12" w:space="0" w:color="auto"/>
            </w:tcBorders>
            <w:shd w:val="clear" w:color="auto" w:fill="auto"/>
            <w:hideMark/>
          </w:tcPr>
          <w:p w14:paraId="5D6A80FD" w14:textId="77777777" w:rsidR="006B7E79" w:rsidRPr="00AD2D45" w:rsidRDefault="006B7E79" w:rsidP="002A367E">
            <w:pPr>
              <w:pStyle w:val="TableHeading"/>
            </w:pPr>
            <w:r w:rsidRPr="00AD2D45">
              <w:t>Infrastructure</w:t>
            </w:r>
          </w:p>
        </w:tc>
      </w:tr>
      <w:tr w:rsidR="006B7E79" w:rsidRPr="008B1975" w14:paraId="1D023480" w14:textId="77777777" w:rsidTr="00CC36E0">
        <w:trPr>
          <w:trHeight w:val="300"/>
        </w:trPr>
        <w:tc>
          <w:tcPr>
            <w:tcW w:w="1667" w:type="pct"/>
            <w:tcBorders>
              <w:top w:val="single" w:sz="12" w:space="0" w:color="auto"/>
              <w:bottom w:val="single" w:sz="12" w:space="0" w:color="auto"/>
            </w:tcBorders>
            <w:shd w:val="clear" w:color="auto" w:fill="auto"/>
            <w:hideMark/>
          </w:tcPr>
          <w:p w14:paraId="0142F08D" w14:textId="77777777" w:rsidR="006B7E79" w:rsidRPr="00AD2D45" w:rsidRDefault="006B7E79" w:rsidP="00A35350">
            <w:pPr>
              <w:pStyle w:val="Tabletext"/>
            </w:pPr>
            <w:r w:rsidRPr="00AD2D45">
              <w:t>None</w:t>
            </w:r>
          </w:p>
          <w:p w14:paraId="00130B5F" w14:textId="77777777" w:rsidR="006B7E79" w:rsidRPr="00AD2D45" w:rsidRDefault="006B7E79" w:rsidP="002A367E">
            <w:pPr>
              <w:pStyle w:val="Tablea"/>
            </w:pPr>
          </w:p>
        </w:tc>
        <w:tc>
          <w:tcPr>
            <w:tcW w:w="1667" w:type="pct"/>
            <w:tcBorders>
              <w:top w:val="single" w:sz="12" w:space="0" w:color="auto"/>
              <w:bottom w:val="single" w:sz="12" w:space="0" w:color="auto"/>
            </w:tcBorders>
            <w:shd w:val="clear" w:color="auto" w:fill="auto"/>
            <w:hideMark/>
          </w:tcPr>
          <w:p w14:paraId="75A7ED30" w14:textId="77777777" w:rsidR="006B7E79" w:rsidRPr="00AD2D45" w:rsidRDefault="006B7E79" w:rsidP="002A367E">
            <w:pPr>
              <w:pStyle w:val="Tabletext"/>
            </w:pPr>
            <w:r w:rsidRPr="00AD2D45">
              <w:t>All, except premises to which the Premises Standards apply</w:t>
            </w:r>
          </w:p>
        </w:tc>
        <w:tc>
          <w:tcPr>
            <w:tcW w:w="1667" w:type="pct"/>
            <w:tcBorders>
              <w:top w:val="single" w:sz="12" w:space="0" w:color="auto"/>
              <w:bottom w:val="single" w:sz="12" w:space="0" w:color="auto"/>
            </w:tcBorders>
            <w:shd w:val="clear" w:color="auto" w:fill="auto"/>
          </w:tcPr>
          <w:p w14:paraId="4643402F" w14:textId="77777777" w:rsidR="006B7E79" w:rsidRPr="00AD2D45" w:rsidRDefault="006B7E79" w:rsidP="002A367E">
            <w:pPr>
              <w:pStyle w:val="Tabletext"/>
            </w:pPr>
            <w:r w:rsidRPr="00AD2D45">
              <w:t>All</w:t>
            </w:r>
          </w:p>
        </w:tc>
      </w:tr>
    </w:tbl>
    <w:p w14:paraId="78A4DBC7" w14:textId="77777777" w:rsidR="006B7E79" w:rsidRPr="008B1975" w:rsidRDefault="006B7E79" w:rsidP="002A367E">
      <w:pPr>
        <w:pStyle w:val="ActHead5"/>
        <w:outlineLvl w:val="9"/>
      </w:pPr>
      <w:r w:rsidRPr="008B1975">
        <w:t>13.4  Emergency communication systems in lift</w:t>
      </w:r>
    </w:p>
    <w:p w14:paraId="679053DB" w14:textId="77777777" w:rsidR="006B7E79" w:rsidRPr="008B1975" w:rsidRDefault="006B7E79" w:rsidP="002A367E">
      <w:pPr>
        <w:pStyle w:val="subsection"/>
      </w:pPr>
      <w:r w:rsidRPr="008B1975">
        <w:tab/>
        <w:t>(1)</w:t>
      </w:r>
      <w:r w:rsidRPr="008B1975">
        <w:tab/>
        <w:t>An emergency warning system in a lift must:</w:t>
      </w:r>
    </w:p>
    <w:p w14:paraId="26EDEE6C" w14:textId="77777777" w:rsidR="006B7E79" w:rsidRPr="008B1975" w:rsidRDefault="006B7E79" w:rsidP="002A367E">
      <w:pPr>
        <w:pStyle w:val="paragraph"/>
      </w:pPr>
      <w:r w:rsidRPr="008B1975">
        <w:tab/>
        <w:t>(a)</w:t>
      </w:r>
      <w:r w:rsidRPr="008B1975">
        <w:tab/>
        <w:t xml:space="preserve">include a </w:t>
      </w:r>
      <w:r w:rsidR="0057132F" w:rsidRPr="008B1975">
        <w:t>hearing augmentation system</w:t>
      </w:r>
      <w:r w:rsidRPr="008B1975">
        <w:t>; and</w:t>
      </w:r>
    </w:p>
    <w:p w14:paraId="10E0745D" w14:textId="77777777" w:rsidR="006B7E79" w:rsidRPr="008B1975" w:rsidRDefault="006B7E79" w:rsidP="002A367E">
      <w:pPr>
        <w:pStyle w:val="paragraph"/>
      </w:pPr>
      <w:r w:rsidRPr="008B1975">
        <w:tab/>
      </w:r>
      <w:r w:rsidR="0057132F" w:rsidRPr="008B1975">
        <w:t>(b)</w:t>
      </w:r>
      <w:r w:rsidRPr="008B1975">
        <w:tab/>
        <w:t>comply with clause 5.4.2.5.3 of AS 1735.12 (2020); and</w:t>
      </w:r>
    </w:p>
    <w:p w14:paraId="0DDCC012" w14:textId="77777777" w:rsidR="006B7E79" w:rsidRPr="008B1975" w:rsidRDefault="006B7E79" w:rsidP="002A367E">
      <w:pPr>
        <w:pStyle w:val="paragraph"/>
      </w:pPr>
      <w:r w:rsidRPr="008B1975">
        <w:tab/>
      </w:r>
      <w:r w:rsidR="0057132F" w:rsidRPr="008B1975">
        <w:t>(c)</w:t>
      </w:r>
      <w:r w:rsidRPr="008B1975">
        <w:tab/>
        <w:t>include the symbol required by clause 5.4.2.5.4 of AS 1735.12 (2020) close to the microphone for that system.</w:t>
      </w:r>
    </w:p>
    <w:p w14:paraId="68C1336D" w14:textId="77777777" w:rsidR="007B74F6" w:rsidRPr="008B1975" w:rsidRDefault="0057132F" w:rsidP="0057132F">
      <w:pPr>
        <w:pStyle w:val="subsection"/>
      </w:pPr>
      <w:r w:rsidRPr="008B1975">
        <w:tab/>
        <w:t>(2)</w:t>
      </w:r>
      <w:r w:rsidRPr="008B1975">
        <w:tab/>
        <w:t>If the hearing augmentation system referred to in paragraph (1)(a) is a hearing loop system, that hearing loop system must comply with clause 3.2 of AS 1428.5 (2021).</w:t>
      </w:r>
    </w:p>
    <w:p w14:paraId="56DEC1F9" w14:textId="77777777" w:rsidR="006B7E79" w:rsidRPr="008B1975" w:rsidRDefault="006B7E79" w:rsidP="002A367E">
      <w:pPr>
        <w:pStyle w:val="subsection"/>
      </w:pPr>
      <w:r w:rsidRPr="008B1975">
        <w:tab/>
      </w:r>
      <w:bookmarkStart w:id="190" w:name="_Hlk184366470"/>
      <w:r w:rsidRPr="008B1975">
        <w:t>(</w:t>
      </w:r>
      <w:r w:rsidR="0057132F" w:rsidRPr="008B1975">
        <w:t>3</w:t>
      </w:r>
      <w:r w:rsidRPr="008B1975">
        <w:t>)</w:t>
      </w:r>
      <w:r w:rsidRPr="008B1975">
        <w:tab/>
        <w:t>The following table specifies conveyances, premises and infrastructure this section applies to.</w:t>
      </w:r>
    </w:p>
    <w:p w14:paraId="3AC46472" w14:textId="77777777" w:rsidR="006B7E79" w:rsidRPr="008B1975" w:rsidRDefault="006B7E79" w:rsidP="002A367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6B7E79" w:rsidRPr="008B1975" w14:paraId="21468B04"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1B4E2DFA" w14:textId="77777777" w:rsidR="006B7E79" w:rsidRPr="008B1975" w:rsidRDefault="006B7E79" w:rsidP="002A367E">
            <w:pPr>
              <w:pStyle w:val="TableHeading"/>
            </w:pPr>
            <w:r w:rsidRPr="008B1975">
              <w:t>Application of this section</w:t>
            </w:r>
          </w:p>
        </w:tc>
      </w:tr>
      <w:tr w:rsidR="006B7E79" w:rsidRPr="008B1975" w14:paraId="03EFBAC1" w14:textId="77777777" w:rsidTr="00CC36E0">
        <w:trPr>
          <w:trHeight w:val="300"/>
          <w:tblHeader/>
        </w:trPr>
        <w:tc>
          <w:tcPr>
            <w:tcW w:w="1667" w:type="pct"/>
            <w:tcBorders>
              <w:top w:val="single" w:sz="6" w:space="0" w:color="auto"/>
              <w:bottom w:val="single" w:sz="12" w:space="0" w:color="auto"/>
            </w:tcBorders>
            <w:shd w:val="clear" w:color="auto" w:fill="auto"/>
            <w:hideMark/>
          </w:tcPr>
          <w:p w14:paraId="2A4FDEF6" w14:textId="77777777" w:rsidR="006B7E79" w:rsidRPr="008B1975" w:rsidRDefault="006B7E79" w:rsidP="002A367E">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5295A48" w14:textId="77777777" w:rsidR="006B7E79" w:rsidRPr="008B1975" w:rsidRDefault="006B7E79" w:rsidP="002A367E">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E7970F9" w14:textId="77777777" w:rsidR="006B7E79" w:rsidRPr="008B1975" w:rsidRDefault="006B7E79" w:rsidP="002A367E">
            <w:pPr>
              <w:pStyle w:val="TableHeading"/>
            </w:pPr>
            <w:r w:rsidRPr="008B1975">
              <w:t>Infrastructure</w:t>
            </w:r>
          </w:p>
        </w:tc>
      </w:tr>
      <w:tr w:rsidR="006B7E79" w:rsidRPr="008B1975" w14:paraId="4234ECC1" w14:textId="77777777" w:rsidTr="00CC36E0">
        <w:trPr>
          <w:trHeight w:val="300"/>
        </w:trPr>
        <w:tc>
          <w:tcPr>
            <w:tcW w:w="1667" w:type="pct"/>
            <w:tcBorders>
              <w:top w:val="single" w:sz="12" w:space="0" w:color="auto"/>
              <w:bottom w:val="single" w:sz="12" w:space="0" w:color="auto"/>
            </w:tcBorders>
            <w:shd w:val="clear" w:color="auto" w:fill="auto"/>
            <w:hideMark/>
          </w:tcPr>
          <w:p w14:paraId="0238EA95" w14:textId="7997DB0A" w:rsidR="006B7E79" w:rsidRPr="008B1975" w:rsidRDefault="006B7E79" w:rsidP="004E6262">
            <w:pPr>
              <w:pStyle w:val="Tabletext"/>
            </w:pPr>
            <w:r w:rsidRPr="008B1975">
              <w:t>None</w:t>
            </w:r>
          </w:p>
        </w:tc>
        <w:tc>
          <w:tcPr>
            <w:tcW w:w="1667" w:type="pct"/>
            <w:tcBorders>
              <w:top w:val="single" w:sz="12" w:space="0" w:color="auto"/>
              <w:bottom w:val="single" w:sz="12" w:space="0" w:color="auto"/>
            </w:tcBorders>
            <w:shd w:val="clear" w:color="auto" w:fill="auto"/>
            <w:hideMark/>
          </w:tcPr>
          <w:p w14:paraId="5C8BF9B8" w14:textId="77777777" w:rsidR="006B7E79" w:rsidRPr="008B1975" w:rsidRDefault="006B7E79" w:rsidP="002A367E">
            <w:pPr>
              <w:pStyle w:val="Tabletext"/>
            </w:pPr>
            <w:r w:rsidRPr="008B1975">
              <w:t>All, except premises to which the Premises Standards apply</w:t>
            </w:r>
          </w:p>
        </w:tc>
        <w:tc>
          <w:tcPr>
            <w:tcW w:w="1667" w:type="pct"/>
            <w:tcBorders>
              <w:top w:val="single" w:sz="12" w:space="0" w:color="auto"/>
              <w:bottom w:val="single" w:sz="12" w:space="0" w:color="auto"/>
            </w:tcBorders>
            <w:shd w:val="clear" w:color="auto" w:fill="auto"/>
          </w:tcPr>
          <w:p w14:paraId="00F7EC67" w14:textId="77777777" w:rsidR="006B7E79" w:rsidRPr="008B1975" w:rsidRDefault="006B7E79" w:rsidP="002A367E">
            <w:pPr>
              <w:pStyle w:val="Tabletext"/>
            </w:pPr>
            <w:r w:rsidRPr="008B1975">
              <w:t>All</w:t>
            </w:r>
          </w:p>
        </w:tc>
      </w:tr>
    </w:tbl>
    <w:p w14:paraId="036B90F1" w14:textId="77777777" w:rsidR="00824838" w:rsidRPr="008B1975" w:rsidRDefault="00824838" w:rsidP="00824838">
      <w:pPr>
        <w:pStyle w:val="ActHead6"/>
        <w:pageBreakBefore/>
      </w:pPr>
      <w:bookmarkStart w:id="191" w:name="_Toc197178956"/>
      <w:bookmarkEnd w:id="190"/>
      <w:r w:rsidRPr="008B1975">
        <w:rPr>
          <w:rStyle w:val="CharAmSchText"/>
        </w:rPr>
        <w:lastRenderedPageBreak/>
        <w:t>Schedule 14</w:t>
      </w:r>
      <w:r w:rsidRPr="008B1975">
        <w:t>—Part 14 (Stairs) Amendments</w:t>
      </w:r>
      <w:bookmarkEnd w:id="191"/>
    </w:p>
    <w:p w14:paraId="50A430E9" w14:textId="77777777" w:rsidR="00824838" w:rsidRPr="008B1975" w:rsidRDefault="00824838" w:rsidP="00824838">
      <w:pPr>
        <w:pStyle w:val="ActHead9"/>
      </w:pPr>
      <w:bookmarkStart w:id="192" w:name="_Toc197178957"/>
      <w:r w:rsidRPr="008B1975">
        <w:t>Disability Standards for Accessible Public Transport 2002</w:t>
      </w:r>
      <w:bookmarkEnd w:id="192"/>
    </w:p>
    <w:p w14:paraId="45F53FCC" w14:textId="77777777" w:rsidR="008852D2" w:rsidRPr="008B1975" w:rsidRDefault="000A511B" w:rsidP="000A511B">
      <w:pPr>
        <w:pStyle w:val="ItemHead"/>
      </w:pPr>
      <w:bookmarkStart w:id="193" w:name="_Ref190169285"/>
      <w:r w:rsidRPr="008B1975">
        <w:t xml:space="preserve">1  </w:t>
      </w:r>
      <w:r w:rsidR="008852D2" w:rsidRPr="008B1975">
        <w:t>Section 14.1 (heading)</w:t>
      </w:r>
      <w:bookmarkEnd w:id="193"/>
    </w:p>
    <w:p w14:paraId="6C9D5730" w14:textId="77777777" w:rsidR="008852D2" w:rsidRPr="008B1975" w:rsidRDefault="008852D2" w:rsidP="008852D2">
      <w:pPr>
        <w:pStyle w:val="Item"/>
      </w:pPr>
      <w:r w:rsidRPr="008B1975">
        <w:t>After “</w:t>
      </w:r>
      <w:r w:rsidRPr="008B1975">
        <w:rPr>
          <w:b/>
        </w:rPr>
        <w:t>Stairs</w:t>
      </w:r>
      <w:r w:rsidRPr="008B1975">
        <w:t>”, insert “</w:t>
      </w:r>
      <w:r w:rsidRPr="00700FD7">
        <w:rPr>
          <w:b/>
        </w:rPr>
        <w:t xml:space="preserve">, </w:t>
      </w:r>
      <w:r w:rsidRPr="008B1975">
        <w:rPr>
          <w:b/>
        </w:rPr>
        <w:t>escalators etc.</w:t>
      </w:r>
      <w:r w:rsidRPr="008B1975">
        <w:t>”.</w:t>
      </w:r>
    </w:p>
    <w:p w14:paraId="6B26C3B9" w14:textId="77777777" w:rsidR="00240824" w:rsidRPr="008B1975" w:rsidRDefault="000A511B" w:rsidP="000A511B">
      <w:pPr>
        <w:pStyle w:val="ItemHead"/>
      </w:pPr>
      <w:bookmarkStart w:id="194" w:name="_Ref185274208"/>
      <w:r w:rsidRPr="008B1975">
        <w:t xml:space="preserve">2  </w:t>
      </w:r>
      <w:r w:rsidR="00240824" w:rsidRPr="008B1975">
        <w:t>Section 14.1</w:t>
      </w:r>
      <w:bookmarkEnd w:id="194"/>
    </w:p>
    <w:p w14:paraId="492F70A4" w14:textId="77777777" w:rsidR="00240824" w:rsidRPr="008B1975" w:rsidRDefault="00240824" w:rsidP="00240824">
      <w:pPr>
        <w:pStyle w:val="Item"/>
      </w:pPr>
      <w:r w:rsidRPr="008B1975">
        <w:t>Before “Stairs”, insert “(1)”.</w:t>
      </w:r>
    </w:p>
    <w:p w14:paraId="3C0114BA" w14:textId="77777777" w:rsidR="00240824" w:rsidRPr="008B1975" w:rsidRDefault="000A511B" w:rsidP="000A511B">
      <w:pPr>
        <w:pStyle w:val="ItemHead"/>
      </w:pPr>
      <w:bookmarkStart w:id="195" w:name="_Ref185274215"/>
      <w:r w:rsidRPr="008B1975">
        <w:t xml:space="preserve">3  </w:t>
      </w:r>
      <w:r w:rsidR="00240824" w:rsidRPr="008B1975">
        <w:t>Section 14.1 (table)</w:t>
      </w:r>
      <w:bookmarkEnd w:id="195"/>
    </w:p>
    <w:p w14:paraId="1084F28C" w14:textId="77777777" w:rsidR="00240824" w:rsidRPr="008B1975" w:rsidRDefault="00240824" w:rsidP="00240824">
      <w:pPr>
        <w:pStyle w:val="Item"/>
      </w:pPr>
      <w:r w:rsidRPr="008B1975">
        <w:t>Repeal the table, substitute:</w:t>
      </w:r>
    </w:p>
    <w:p w14:paraId="5759A991" w14:textId="77777777" w:rsidR="008852D2" w:rsidRPr="008B1975" w:rsidRDefault="008852D2" w:rsidP="008852D2">
      <w:pPr>
        <w:pStyle w:val="subsection"/>
      </w:pPr>
      <w:r w:rsidRPr="008B1975">
        <w:tab/>
        <w:t>(2)</w:t>
      </w:r>
      <w:r w:rsidRPr="008B1975">
        <w:tab/>
        <w:t>Escalators and inclined travellators must not be the sole means of access.</w:t>
      </w:r>
    </w:p>
    <w:p w14:paraId="25CB0F2C" w14:textId="77777777" w:rsidR="00240824" w:rsidRPr="008B1975" w:rsidRDefault="00240824" w:rsidP="00240824">
      <w:pPr>
        <w:pStyle w:val="subsection"/>
      </w:pPr>
      <w:r w:rsidRPr="008B1975">
        <w:tab/>
        <w:t>(</w:t>
      </w:r>
      <w:r w:rsidR="008852D2" w:rsidRPr="008B1975">
        <w:t>3</w:t>
      </w:r>
      <w:r w:rsidRPr="008B1975">
        <w:t>)</w:t>
      </w:r>
      <w:r w:rsidRPr="008B1975">
        <w:tab/>
        <w:t>The following table specifies conveyances, premises and infrastructure this section applies to.</w:t>
      </w:r>
    </w:p>
    <w:p w14:paraId="7A11C93F" w14:textId="77777777" w:rsidR="00240824" w:rsidRPr="008B1975" w:rsidRDefault="00240824" w:rsidP="002408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40824" w:rsidRPr="008B1975" w14:paraId="3705C5EE"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176273EB" w14:textId="77777777" w:rsidR="00240824" w:rsidRPr="008B1975" w:rsidRDefault="00240824" w:rsidP="00DA693F">
            <w:pPr>
              <w:pStyle w:val="TableHeading"/>
            </w:pPr>
            <w:r w:rsidRPr="008B1975">
              <w:t>Application of this section</w:t>
            </w:r>
          </w:p>
        </w:tc>
      </w:tr>
      <w:tr w:rsidR="00240824" w:rsidRPr="008B1975" w14:paraId="468D269F" w14:textId="77777777" w:rsidTr="00CC36E0">
        <w:trPr>
          <w:trHeight w:val="300"/>
          <w:tblHeader/>
        </w:trPr>
        <w:tc>
          <w:tcPr>
            <w:tcW w:w="1667" w:type="pct"/>
            <w:tcBorders>
              <w:top w:val="single" w:sz="6" w:space="0" w:color="auto"/>
              <w:left w:val="nil"/>
              <w:bottom w:val="single" w:sz="12" w:space="0" w:color="auto"/>
              <w:right w:val="nil"/>
            </w:tcBorders>
            <w:hideMark/>
          </w:tcPr>
          <w:p w14:paraId="738700D7" w14:textId="77777777" w:rsidR="00240824" w:rsidRPr="008B1975" w:rsidRDefault="00240824"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1D383FF4" w14:textId="77777777" w:rsidR="00240824" w:rsidRPr="008B1975" w:rsidRDefault="00240824"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11FA3342" w14:textId="77777777" w:rsidR="00240824" w:rsidRPr="008B1975" w:rsidRDefault="00240824" w:rsidP="00DA693F">
            <w:pPr>
              <w:pStyle w:val="TableHeading"/>
            </w:pPr>
            <w:r w:rsidRPr="008B1975">
              <w:t>Infrastructure</w:t>
            </w:r>
          </w:p>
        </w:tc>
      </w:tr>
      <w:tr w:rsidR="00240824" w:rsidRPr="008B1975" w14:paraId="3BC68A9F" w14:textId="77777777" w:rsidTr="00CC36E0">
        <w:trPr>
          <w:trHeight w:val="300"/>
        </w:trPr>
        <w:tc>
          <w:tcPr>
            <w:tcW w:w="1667" w:type="pct"/>
            <w:tcBorders>
              <w:top w:val="single" w:sz="12" w:space="0" w:color="auto"/>
              <w:left w:val="nil"/>
              <w:bottom w:val="single" w:sz="12" w:space="0" w:color="auto"/>
              <w:right w:val="nil"/>
            </w:tcBorders>
            <w:hideMark/>
          </w:tcPr>
          <w:p w14:paraId="300F6BB8" w14:textId="77777777" w:rsidR="00240824" w:rsidRPr="008B1975" w:rsidRDefault="00240824" w:rsidP="00DA693F">
            <w:pPr>
              <w:pStyle w:val="Tabletext"/>
            </w:pPr>
            <w:r w:rsidRPr="008B1975">
              <w:t>All</w:t>
            </w:r>
            <w:r w:rsidR="001024C7" w:rsidRPr="008B1975">
              <w:t>,</w:t>
            </w:r>
            <w:r w:rsidRPr="008B1975">
              <w:t xml:space="preserve"> except dedicated school buses and small aircraft</w:t>
            </w:r>
          </w:p>
        </w:tc>
        <w:tc>
          <w:tcPr>
            <w:tcW w:w="1667" w:type="pct"/>
            <w:tcBorders>
              <w:top w:val="single" w:sz="12" w:space="0" w:color="auto"/>
              <w:left w:val="nil"/>
              <w:bottom w:val="single" w:sz="12" w:space="0" w:color="auto"/>
              <w:right w:val="nil"/>
            </w:tcBorders>
            <w:hideMark/>
          </w:tcPr>
          <w:p w14:paraId="5AA43008" w14:textId="77777777" w:rsidR="00240824" w:rsidRPr="008B1975" w:rsidRDefault="00FF0A44" w:rsidP="00DA693F">
            <w:pPr>
              <w:pStyle w:val="Tabletext"/>
            </w:pPr>
            <w:r w:rsidRPr="008B1975">
              <w:t>All</w:t>
            </w:r>
          </w:p>
        </w:tc>
        <w:tc>
          <w:tcPr>
            <w:tcW w:w="1667" w:type="pct"/>
            <w:tcBorders>
              <w:top w:val="single" w:sz="12" w:space="0" w:color="auto"/>
              <w:left w:val="nil"/>
              <w:bottom w:val="single" w:sz="12" w:space="0" w:color="auto"/>
              <w:right w:val="nil"/>
            </w:tcBorders>
            <w:hideMark/>
          </w:tcPr>
          <w:p w14:paraId="67D399F7" w14:textId="77777777" w:rsidR="00240824" w:rsidRPr="008B1975" w:rsidRDefault="00240824" w:rsidP="00DA693F">
            <w:pPr>
              <w:pStyle w:val="Tabletext"/>
            </w:pPr>
            <w:r w:rsidRPr="008B1975">
              <w:t>All</w:t>
            </w:r>
          </w:p>
        </w:tc>
      </w:tr>
    </w:tbl>
    <w:p w14:paraId="4AC0D332" w14:textId="77777777" w:rsidR="00FB42CC" w:rsidRPr="008B1975" w:rsidRDefault="000A511B" w:rsidP="000A511B">
      <w:pPr>
        <w:pStyle w:val="ItemHead"/>
      </w:pPr>
      <w:bookmarkStart w:id="196" w:name="_Ref185274258"/>
      <w:r w:rsidRPr="008B1975">
        <w:t xml:space="preserve">4  </w:t>
      </w:r>
      <w:r w:rsidR="00FB42CC" w:rsidRPr="008B1975">
        <w:t>Section 14.2</w:t>
      </w:r>
      <w:bookmarkEnd w:id="196"/>
    </w:p>
    <w:p w14:paraId="62731268" w14:textId="77777777" w:rsidR="00FB42CC" w:rsidRPr="008B1975" w:rsidRDefault="00FB42CC" w:rsidP="00FB42CC">
      <w:pPr>
        <w:pStyle w:val="Item"/>
      </w:pPr>
      <w:r w:rsidRPr="008B1975">
        <w:t>Repeal the section, substitute:</w:t>
      </w:r>
    </w:p>
    <w:p w14:paraId="73961989" w14:textId="77777777" w:rsidR="00FB42CC" w:rsidRPr="008B1975" w:rsidRDefault="00FB42CC" w:rsidP="00D63EEC">
      <w:pPr>
        <w:pStyle w:val="ActHead5"/>
        <w:outlineLvl w:val="9"/>
      </w:pPr>
      <w:r w:rsidRPr="008B1975">
        <w:t xml:space="preserve">14.2  </w:t>
      </w:r>
      <w:r w:rsidR="00BE3B15" w:rsidRPr="008B1975">
        <w:t xml:space="preserve">Requirements for risers, treads and </w:t>
      </w:r>
      <w:r w:rsidR="00CD71DC" w:rsidRPr="008B1975">
        <w:t xml:space="preserve">handrails </w:t>
      </w:r>
      <w:r w:rsidRPr="008B1975">
        <w:t>on stairs</w:t>
      </w:r>
    </w:p>
    <w:p w14:paraId="605EA357" w14:textId="0B91BF5F" w:rsidR="00FB42CC" w:rsidRPr="008B1975" w:rsidRDefault="00FB42CC" w:rsidP="00D63EEC">
      <w:pPr>
        <w:pStyle w:val="subsection"/>
      </w:pPr>
      <w:r w:rsidRPr="008B1975">
        <w:tab/>
        <w:t>(1)</w:t>
      </w:r>
      <w:r w:rsidRPr="008B1975">
        <w:tab/>
        <w:t>The riser of a stair must be between 150 to 165</w:t>
      </w:r>
      <w:r w:rsidR="00700FD7">
        <w:t xml:space="preserve"> </w:t>
      </w:r>
      <w:r w:rsidRPr="008B1975">
        <w:t>mm.</w:t>
      </w:r>
    </w:p>
    <w:p w14:paraId="29AD2323" w14:textId="29B6DBCF" w:rsidR="00FB42CC" w:rsidRPr="008B1975" w:rsidRDefault="00FB42CC" w:rsidP="00D63EEC">
      <w:pPr>
        <w:pStyle w:val="subsection"/>
      </w:pPr>
      <w:r w:rsidRPr="008B1975">
        <w:tab/>
        <w:t>(2)</w:t>
      </w:r>
      <w:r w:rsidRPr="008B1975">
        <w:tab/>
        <w:t>The tread of a stair must be between 275 to 300</w:t>
      </w:r>
      <w:r w:rsidR="00700FD7">
        <w:t xml:space="preserve"> </w:t>
      </w:r>
      <w:r w:rsidRPr="008B1975">
        <w:t>mm.</w:t>
      </w:r>
    </w:p>
    <w:p w14:paraId="7229CA15" w14:textId="734ACD6F" w:rsidR="008C7797" w:rsidRPr="008B1975" w:rsidRDefault="008C7797" w:rsidP="008C7797">
      <w:pPr>
        <w:pStyle w:val="subsection"/>
      </w:pPr>
      <w:r w:rsidRPr="008B1975">
        <w:tab/>
        <w:t>(3)</w:t>
      </w:r>
      <w:r w:rsidRPr="008B1975">
        <w:tab/>
        <w:t>Stairs must comply with the following from AS1428.1 (2021):</w:t>
      </w:r>
    </w:p>
    <w:p w14:paraId="483A75B3" w14:textId="77777777" w:rsidR="008C7797" w:rsidRPr="008B1975" w:rsidRDefault="008C7797" w:rsidP="008C7797">
      <w:pPr>
        <w:pStyle w:val="paragraph"/>
      </w:pPr>
      <w:r w:rsidRPr="008B1975">
        <w:tab/>
        <w:t>(a)</w:t>
      </w:r>
      <w:r w:rsidRPr="008B1975">
        <w:tab/>
        <w:t>clause 8.1 (stair construction);</w:t>
      </w:r>
    </w:p>
    <w:p w14:paraId="05C2276D" w14:textId="77777777" w:rsidR="008C7797" w:rsidRPr="008B1975" w:rsidRDefault="008C7797" w:rsidP="008C7797">
      <w:pPr>
        <w:pStyle w:val="paragraph"/>
      </w:pPr>
      <w:r w:rsidRPr="008B1975">
        <w:tab/>
        <w:t>(b)</w:t>
      </w:r>
      <w:r w:rsidRPr="008B1975">
        <w:tab/>
        <w:t>clause 8.2 (stairway handrails).</w:t>
      </w:r>
    </w:p>
    <w:p w14:paraId="046F3A72" w14:textId="77777777" w:rsidR="00BE3B15" w:rsidRPr="008B1975" w:rsidRDefault="00BE3B15" w:rsidP="00D63EEC">
      <w:pPr>
        <w:pStyle w:val="subsection"/>
      </w:pPr>
      <w:r w:rsidRPr="008B1975">
        <w:tab/>
        <w:t>(4)</w:t>
      </w:r>
      <w:r w:rsidRPr="008B1975">
        <w:tab/>
        <w:t>The following table specifies conveyances, premises and infrastructure this section applies to.</w:t>
      </w:r>
    </w:p>
    <w:p w14:paraId="3A21E395" w14:textId="77777777" w:rsidR="00BE3B15" w:rsidRPr="008B1975" w:rsidRDefault="00BE3B15" w:rsidP="00D63EEC">
      <w:pPr>
        <w:pStyle w:val="paragraph"/>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E3B15" w:rsidRPr="008B1975" w14:paraId="3507B935" w14:textId="77777777" w:rsidTr="00796FA5">
        <w:trPr>
          <w:trHeight w:val="300"/>
          <w:tblHeader/>
        </w:trPr>
        <w:tc>
          <w:tcPr>
            <w:tcW w:w="5000" w:type="pct"/>
            <w:gridSpan w:val="3"/>
            <w:tcBorders>
              <w:top w:val="single" w:sz="12" w:space="0" w:color="auto"/>
              <w:left w:val="nil"/>
              <w:bottom w:val="single" w:sz="6" w:space="0" w:color="auto"/>
              <w:right w:val="nil"/>
            </w:tcBorders>
            <w:hideMark/>
          </w:tcPr>
          <w:p w14:paraId="41249F80" w14:textId="77777777" w:rsidR="00BE3B15" w:rsidRPr="008B1975" w:rsidRDefault="00BE3B15" w:rsidP="00D63EEC">
            <w:pPr>
              <w:pStyle w:val="TableHeading"/>
            </w:pPr>
            <w:r w:rsidRPr="008B1975">
              <w:t>Application of this section</w:t>
            </w:r>
          </w:p>
        </w:tc>
      </w:tr>
      <w:tr w:rsidR="00BE3B15" w:rsidRPr="008B1975" w14:paraId="08D5BA6F" w14:textId="77777777" w:rsidTr="00CC36E0">
        <w:trPr>
          <w:trHeight w:val="300"/>
          <w:tblHeader/>
        </w:trPr>
        <w:tc>
          <w:tcPr>
            <w:tcW w:w="1667" w:type="pct"/>
            <w:tcBorders>
              <w:top w:val="single" w:sz="6" w:space="0" w:color="auto"/>
              <w:left w:val="nil"/>
              <w:bottom w:val="single" w:sz="12" w:space="0" w:color="auto"/>
              <w:right w:val="nil"/>
            </w:tcBorders>
            <w:hideMark/>
          </w:tcPr>
          <w:p w14:paraId="0458F994" w14:textId="77777777" w:rsidR="00BE3B15" w:rsidRPr="008B1975" w:rsidRDefault="00BE3B15" w:rsidP="00D63EEC">
            <w:pPr>
              <w:pStyle w:val="TableHeading"/>
            </w:pPr>
            <w:r w:rsidRPr="008B1975">
              <w:t>Conveyances</w:t>
            </w:r>
          </w:p>
        </w:tc>
        <w:tc>
          <w:tcPr>
            <w:tcW w:w="1667" w:type="pct"/>
            <w:tcBorders>
              <w:top w:val="single" w:sz="6" w:space="0" w:color="auto"/>
              <w:left w:val="nil"/>
              <w:bottom w:val="single" w:sz="12" w:space="0" w:color="auto"/>
              <w:right w:val="nil"/>
            </w:tcBorders>
            <w:hideMark/>
          </w:tcPr>
          <w:p w14:paraId="646B55A4" w14:textId="77777777" w:rsidR="00BE3B15" w:rsidRPr="008B1975" w:rsidRDefault="00BE3B15" w:rsidP="00D63EEC">
            <w:pPr>
              <w:pStyle w:val="TableHeading"/>
            </w:pPr>
            <w:r w:rsidRPr="008B1975">
              <w:t>Premises</w:t>
            </w:r>
          </w:p>
        </w:tc>
        <w:tc>
          <w:tcPr>
            <w:tcW w:w="1667" w:type="pct"/>
            <w:tcBorders>
              <w:top w:val="single" w:sz="6" w:space="0" w:color="auto"/>
              <w:left w:val="nil"/>
              <w:bottom w:val="single" w:sz="12" w:space="0" w:color="auto"/>
              <w:right w:val="nil"/>
            </w:tcBorders>
            <w:hideMark/>
          </w:tcPr>
          <w:p w14:paraId="04C15B3C" w14:textId="77777777" w:rsidR="00BE3B15" w:rsidRPr="008B1975" w:rsidRDefault="00BE3B15" w:rsidP="00D63EEC">
            <w:pPr>
              <w:pStyle w:val="TableHeading"/>
            </w:pPr>
            <w:r w:rsidRPr="008B1975">
              <w:t>Infrastructure</w:t>
            </w:r>
          </w:p>
        </w:tc>
      </w:tr>
      <w:tr w:rsidR="009503D7" w:rsidRPr="008B1975" w14:paraId="0DF0D311" w14:textId="77777777" w:rsidTr="00CC36E0">
        <w:trPr>
          <w:trHeight w:val="300"/>
          <w:tblHeader/>
        </w:trPr>
        <w:tc>
          <w:tcPr>
            <w:tcW w:w="1667" w:type="pct"/>
            <w:tcBorders>
              <w:top w:val="single" w:sz="6" w:space="0" w:color="auto"/>
              <w:left w:val="nil"/>
              <w:bottom w:val="single" w:sz="12" w:space="0" w:color="auto"/>
              <w:right w:val="nil"/>
            </w:tcBorders>
            <w:hideMark/>
          </w:tcPr>
          <w:p w14:paraId="0A5DD931" w14:textId="77777777" w:rsidR="009503D7" w:rsidRPr="008B1975" w:rsidRDefault="009503D7" w:rsidP="0037506D">
            <w:pPr>
              <w:pStyle w:val="Tabletext"/>
            </w:pPr>
            <w:r w:rsidRPr="008B1975">
              <w:t>None</w:t>
            </w:r>
          </w:p>
        </w:tc>
        <w:tc>
          <w:tcPr>
            <w:tcW w:w="1667" w:type="pct"/>
            <w:tcBorders>
              <w:top w:val="single" w:sz="6" w:space="0" w:color="auto"/>
              <w:left w:val="nil"/>
              <w:bottom w:val="single" w:sz="12" w:space="0" w:color="auto"/>
              <w:right w:val="nil"/>
            </w:tcBorders>
            <w:hideMark/>
          </w:tcPr>
          <w:p w14:paraId="4D61EE5D" w14:textId="77777777" w:rsidR="009503D7" w:rsidRPr="008B1975" w:rsidRDefault="009503D7" w:rsidP="0037506D">
            <w:pPr>
              <w:pStyle w:val="Tabletext"/>
            </w:pPr>
            <w:r w:rsidRPr="008B1975">
              <w:t>All, except premises to which the Premises Standards apply</w:t>
            </w:r>
          </w:p>
        </w:tc>
        <w:tc>
          <w:tcPr>
            <w:tcW w:w="1667" w:type="pct"/>
            <w:tcBorders>
              <w:top w:val="single" w:sz="6" w:space="0" w:color="auto"/>
              <w:left w:val="nil"/>
              <w:bottom w:val="single" w:sz="12" w:space="0" w:color="auto"/>
              <w:right w:val="nil"/>
            </w:tcBorders>
            <w:hideMark/>
          </w:tcPr>
          <w:p w14:paraId="41023D27" w14:textId="77777777" w:rsidR="009503D7" w:rsidRPr="008B1975" w:rsidRDefault="009503D7" w:rsidP="0037506D">
            <w:pPr>
              <w:pStyle w:val="Tabletext"/>
            </w:pPr>
            <w:r w:rsidRPr="008B1975">
              <w:t>All</w:t>
            </w:r>
          </w:p>
        </w:tc>
      </w:tr>
    </w:tbl>
    <w:p w14:paraId="6ADDFB1B" w14:textId="77777777" w:rsidR="00D90E96" w:rsidRPr="008B1975" w:rsidRDefault="000A511B" w:rsidP="000A511B">
      <w:pPr>
        <w:pStyle w:val="ItemHead"/>
      </w:pPr>
      <w:bookmarkStart w:id="197" w:name="_Ref185274387"/>
      <w:bookmarkStart w:id="198" w:name="_Ref175313757"/>
      <w:r w:rsidRPr="008B1975">
        <w:t xml:space="preserve">5  </w:t>
      </w:r>
      <w:r w:rsidR="00D90E96" w:rsidRPr="008B1975">
        <w:t>Section 14.3</w:t>
      </w:r>
      <w:bookmarkEnd w:id="197"/>
    </w:p>
    <w:p w14:paraId="60F72308" w14:textId="77777777" w:rsidR="00D90E96" w:rsidRPr="008B1975" w:rsidRDefault="00D90E96" w:rsidP="00D63EEC">
      <w:pPr>
        <w:pStyle w:val="Item"/>
      </w:pPr>
      <w:r w:rsidRPr="008B1975">
        <w:t>Repeal the section, substitute:</w:t>
      </w:r>
    </w:p>
    <w:p w14:paraId="0407DD3A" w14:textId="77777777" w:rsidR="00D90E96" w:rsidRPr="008B1975" w:rsidRDefault="00761FEC" w:rsidP="00761FEC">
      <w:pPr>
        <w:pStyle w:val="ActHead5"/>
        <w:outlineLvl w:val="9"/>
        <w:rPr>
          <w:szCs w:val="24"/>
        </w:rPr>
      </w:pPr>
      <w:r w:rsidRPr="008B1975">
        <w:rPr>
          <w:szCs w:val="24"/>
        </w:rPr>
        <w:lastRenderedPageBreak/>
        <w:t xml:space="preserve">14.3  </w:t>
      </w:r>
      <w:r w:rsidR="00D90E96" w:rsidRPr="008B1975">
        <w:rPr>
          <w:szCs w:val="24"/>
        </w:rPr>
        <w:t>Internal</w:t>
      </w:r>
      <w:r w:rsidR="00D90E96" w:rsidRPr="008B1975">
        <w:rPr>
          <w:i/>
          <w:szCs w:val="24"/>
        </w:rPr>
        <w:t xml:space="preserve"> </w:t>
      </w:r>
      <w:r w:rsidR="00D90E96" w:rsidRPr="008B1975">
        <w:rPr>
          <w:szCs w:val="24"/>
        </w:rPr>
        <w:t>stairs on trains</w:t>
      </w:r>
      <w:r w:rsidRPr="008B1975">
        <w:rPr>
          <w:szCs w:val="24"/>
        </w:rPr>
        <w:t>, trams and light rail</w:t>
      </w:r>
    </w:p>
    <w:p w14:paraId="3CBE9C17" w14:textId="77777777" w:rsidR="00D90E96" w:rsidRPr="008B1975" w:rsidRDefault="00D90E96" w:rsidP="00D63EEC">
      <w:pPr>
        <w:pStyle w:val="subsection"/>
      </w:pPr>
      <w:r w:rsidRPr="008B1975">
        <w:tab/>
        <w:t>(1)</w:t>
      </w:r>
      <w:r w:rsidRPr="008B1975">
        <w:tab/>
        <w:t>Internal stairs must comply with clauses 11.1(c) to (g) of AS 1428.1 (2009).</w:t>
      </w:r>
    </w:p>
    <w:p w14:paraId="7776E3A9" w14:textId="77777777" w:rsidR="00D90E96" w:rsidRPr="008B1975" w:rsidRDefault="00D90E96" w:rsidP="00D63EEC">
      <w:pPr>
        <w:pStyle w:val="notetext"/>
      </w:pPr>
      <w:r w:rsidRPr="008B1975">
        <w:t>Note:</w:t>
      </w:r>
      <w:r w:rsidRPr="008B1975">
        <w:tab/>
        <w:t xml:space="preserve">Clauses 11.1(c) to (g) of AS 1428.1 (2009) deal with requirements for opaque risers, stair nosings and the area of luminance contrast on the riser of a stair. </w:t>
      </w:r>
    </w:p>
    <w:p w14:paraId="2708CB46" w14:textId="77777777" w:rsidR="00D90E96" w:rsidRPr="008B1975" w:rsidRDefault="00D90E96" w:rsidP="00D63EEC">
      <w:pPr>
        <w:pStyle w:val="subsection"/>
        <w:rPr>
          <w:i/>
        </w:rPr>
      </w:pPr>
      <w:r w:rsidRPr="008B1975">
        <w:tab/>
        <w:t>(2)</w:t>
      </w:r>
      <w:r w:rsidRPr="008B1975">
        <w:tab/>
        <w:t>The geometry and minimum access path width on internal stairs must be safe and fit for purpose.</w:t>
      </w:r>
    </w:p>
    <w:p w14:paraId="176B0018" w14:textId="77777777" w:rsidR="00D90E96" w:rsidRPr="008B1975" w:rsidRDefault="00D90E96" w:rsidP="00D63EEC">
      <w:pPr>
        <w:pStyle w:val="subsection"/>
      </w:pPr>
      <w:r w:rsidRPr="008B1975">
        <w:tab/>
        <w:t>(3)</w:t>
      </w:r>
      <w:r w:rsidRPr="008B1975">
        <w:tab/>
        <w:t xml:space="preserve">Internal stairs must not intrude into access paths. </w:t>
      </w:r>
    </w:p>
    <w:p w14:paraId="7EEF4D04" w14:textId="77777777" w:rsidR="00D90E96" w:rsidRPr="008B1975" w:rsidRDefault="00D90E96" w:rsidP="00D63EEC">
      <w:pPr>
        <w:pStyle w:val="subsection"/>
      </w:pPr>
      <w:r w:rsidRPr="008B1975">
        <w:tab/>
        <w:t>(4)</w:t>
      </w:r>
      <w:r w:rsidRPr="008B1975">
        <w:tab/>
        <w:t>The following table specifies conveyances, premises and infrastructure this section applies to.</w:t>
      </w:r>
    </w:p>
    <w:p w14:paraId="3D6A8A6A" w14:textId="77777777" w:rsidR="00D90E96" w:rsidRPr="008B1975" w:rsidRDefault="00D90E96" w:rsidP="00D63EE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90E96" w:rsidRPr="008B1975" w14:paraId="0DE11AAE"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3B4CD701" w14:textId="77777777" w:rsidR="00D90E96" w:rsidRPr="008B1975" w:rsidRDefault="00D90E96" w:rsidP="00D63EEC">
            <w:pPr>
              <w:pStyle w:val="TableHeading"/>
            </w:pPr>
            <w:r w:rsidRPr="008B1975">
              <w:t>Application of this section</w:t>
            </w:r>
          </w:p>
        </w:tc>
      </w:tr>
      <w:tr w:rsidR="00D90E96" w:rsidRPr="008B1975" w14:paraId="39278C92" w14:textId="77777777" w:rsidTr="00CC36E0">
        <w:trPr>
          <w:trHeight w:val="300"/>
          <w:tblHeader/>
        </w:trPr>
        <w:tc>
          <w:tcPr>
            <w:tcW w:w="1667" w:type="pct"/>
            <w:tcBorders>
              <w:top w:val="single" w:sz="6" w:space="0" w:color="auto"/>
              <w:bottom w:val="single" w:sz="12" w:space="0" w:color="auto"/>
            </w:tcBorders>
            <w:shd w:val="clear" w:color="auto" w:fill="auto"/>
            <w:hideMark/>
          </w:tcPr>
          <w:p w14:paraId="0FC94C79" w14:textId="77777777" w:rsidR="00D90E96" w:rsidRPr="008B1975" w:rsidRDefault="00D90E96" w:rsidP="00D63EE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8876778" w14:textId="77777777" w:rsidR="00D90E96" w:rsidRPr="008B1975" w:rsidRDefault="00D90E96" w:rsidP="00D63EE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3D993232" w14:textId="77777777" w:rsidR="00D90E96" w:rsidRPr="008B1975" w:rsidRDefault="00D90E96" w:rsidP="00D63EEC">
            <w:pPr>
              <w:pStyle w:val="TableHeading"/>
            </w:pPr>
            <w:r w:rsidRPr="008B1975">
              <w:t>Infrastructure</w:t>
            </w:r>
          </w:p>
        </w:tc>
      </w:tr>
      <w:tr w:rsidR="00D90E96" w:rsidRPr="008B1975" w14:paraId="3C6E64A5" w14:textId="77777777" w:rsidTr="00CC36E0">
        <w:trPr>
          <w:trHeight w:val="300"/>
        </w:trPr>
        <w:tc>
          <w:tcPr>
            <w:tcW w:w="1667" w:type="pct"/>
            <w:tcBorders>
              <w:top w:val="single" w:sz="12" w:space="0" w:color="auto"/>
              <w:bottom w:val="single" w:sz="12" w:space="0" w:color="auto"/>
            </w:tcBorders>
            <w:shd w:val="clear" w:color="auto" w:fill="auto"/>
            <w:hideMark/>
          </w:tcPr>
          <w:p w14:paraId="3D487FCD" w14:textId="77777777" w:rsidR="00D90E96" w:rsidRPr="008B1975" w:rsidRDefault="00D90E96" w:rsidP="00D63EEC">
            <w:pPr>
              <w:pStyle w:val="Tabletext"/>
            </w:pPr>
            <w:r w:rsidRPr="008B1975">
              <w:t>The following:</w:t>
            </w:r>
          </w:p>
          <w:p w14:paraId="215BAF3F" w14:textId="77777777" w:rsidR="00D90E96" w:rsidRPr="008B1975" w:rsidRDefault="00D90E96" w:rsidP="00D63EEC">
            <w:pPr>
              <w:pStyle w:val="Tablea"/>
            </w:pPr>
            <w:r w:rsidRPr="008B1975">
              <w:t>(a) trains;</w:t>
            </w:r>
          </w:p>
          <w:p w14:paraId="555EBA35" w14:textId="77777777" w:rsidR="00D90E96" w:rsidRPr="008B1975" w:rsidRDefault="00D90E96" w:rsidP="00D63EEC">
            <w:pPr>
              <w:pStyle w:val="Tablea"/>
            </w:pPr>
            <w:r w:rsidRPr="008B1975">
              <w:t>(b) trams;</w:t>
            </w:r>
          </w:p>
          <w:p w14:paraId="2E1A778B" w14:textId="77777777" w:rsidR="00D90E96" w:rsidRPr="008B1975" w:rsidRDefault="00D90E96" w:rsidP="00D63EEC">
            <w:pPr>
              <w:pStyle w:val="Tablea"/>
            </w:pPr>
            <w:r w:rsidRPr="008B1975">
              <w:t>(c) light rail</w:t>
            </w:r>
          </w:p>
        </w:tc>
        <w:tc>
          <w:tcPr>
            <w:tcW w:w="1667" w:type="pct"/>
            <w:tcBorders>
              <w:top w:val="single" w:sz="12" w:space="0" w:color="auto"/>
              <w:bottom w:val="single" w:sz="12" w:space="0" w:color="auto"/>
            </w:tcBorders>
            <w:shd w:val="clear" w:color="auto" w:fill="auto"/>
          </w:tcPr>
          <w:p w14:paraId="4868E5BD" w14:textId="77777777" w:rsidR="00D90E96" w:rsidRPr="008B1975" w:rsidRDefault="00D90E96" w:rsidP="00D63EEC">
            <w:pPr>
              <w:pStyle w:val="Tabletext"/>
            </w:pPr>
            <w:r w:rsidRPr="008B1975">
              <w:t>None</w:t>
            </w:r>
          </w:p>
        </w:tc>
        <w:tc>
          <w:tcPr>
            <w:tcW w:w="1667" w:type="pct"/>
            <w:tcBorders>
              <w:top w:val="single" w:sz="12" w:space="0" w:color="auto"/>
              <w:bottom w:val="single" w:sz="12" w:space="0" w:color="auto"/>
            </w:tcBorders>
            <w:shd w:val="clear" w:color="auto" w:fill="auto"/>
          </w:tcPr>
          <w:p w14:paraId="7B42601E" w14:textId="77777777" w:rsidR="00D90E96" w:rsidRPr="008B1975" w:rsidRDefault="00D90E96" w:rsidP="00D63EEC">
            <w:pPr>
              <w:pStyle w:val="Tabletext"/>
            </w:pPr>
            <w:r w:rsidRPr="008B1975">
              <w:t>None</w:t>
            </w:r>
          </w:p>
        </w:tc>
      </w:tr>
    </w:tbl>
    <w:p w14:paraId="7217F09F" w14:textId="77777777" w:rsidR="00D90E96" w:rsidRPr="008B1975" w:rsidRDefault="00D90E96" w:rsidP="00D63EEC">
      <w:pPr>
        <w:pStyle w:val="ActHead5"/>
        <w:outlineLvl w:val="9"/>
      </w:pPr>
      <w:r w:rsidRPr="008B1975">
        <w:t>14.3A  Stairs on ferries</w:t>
      </w:r>
    </w:p>
    <w:p w14:paraId="1B76E612" w14:textId="77777777" w:rsidR="00D90E96" w:rsidRPr="008B1975" w:rsidRDefault="00D90E96" w:rsidP="00D63EEC">
      <w:pPr>
        <w:pStyle w:val="subsection"/>
      </w:pPr>
      <w:r w:rsidRPr="008B1975">
        <w:tab/>
        <w:t>(1)</w:t>
      </w:r>
      <w:r w:rsidRPr="008B1975">
        <w:tab/>
        <w:t>Stairs must comply with clauses 11.1(c) to (g) of AS 1428.1 (2009).</w:t>
      </w:r>
    </w:p>
    <w:p w14:paraId="3B650001" w14:textId="77777777" w:rsidR="00F1151A" w:rsidRPr="008B1975" w:rsidRDefault="00D90E96" w:rsidP="00D63EEC">
      <w:pPr>
        <w:pStyle w:val="notetext"/>
      </w:pPr>
      <w:r w:rsidRPr="008B1975">
        <w:t>Note</w:t>
      </w:r>
      <w:r w:rsidR="00F1151A" w:rsidRPr="008B1975">
        <w:t xml:space="preserve"> 1</w:t>
      </w:r>
      <w:r w:rsidRPr="008B1975">
        <w:t>:</w:t>
      </w:r>
      <w:r w:rsidRPr="008B1975">
        <w:tab/>
        <w:t>Clauses 11.1(c) to (g) of AS 1428.1 (2009) deal with requirements for opaque risers, stair nosings and the area of luminance contrast on the riser of a stair.</w:t>
      </w:r>
    </w:p>
    <w:p w14:paraId="2CBDFA6F" w14:textId="1F406B00" w:rsidR="00D90E96" w:rsidRPr="008B1975" w:rsidRDefault="00F1151A" w:rsidP="00F1151A">
      <w:pPr>
        <w:pStyle w:val="notetext"/>
      </w:pPr>
      <w:r w:rsidRPr="008B1975">
        <w:t>Note 2:</w:t>
      </w:r>
      <w:r w:rsidRPr="008B1975">
        <w:tab/>
        <w:t xml:space="preserve">The </w:t>
      </w:r>
      <w:r w:rsidRPr="008B1975">
        <w:rPr>
          <w:i/>
        </w:rPr>
        <w:t xml:space="preserve">National Standard for Commercial </w:t>
      </w:r>
      <w:r w:rsidRPr="008B1975">
        <w:rPr>
          <w:i/>
          <w:color w:val="000000" w:themeColor="text1"/>
        </w:rPr>
        <w:t>Vessels Part C Design and construction Section 1 Arrangement, accommodation and personal safety</w:t>
      </w:r>
      <w:r w:rsidR="00E43ECF" w:rsidRPr="008B1975">
        <w:rPr>
          <w:color w:val="000000" w:themeColor="text1"/>
        </w:rPr>
        <w:t xml:space="preserve"> </w:t>
      </w:r>
      <w:r w:rsidR="006C750B" w:rsidRPr="008B1975">
        <w:rPr>
          <w:color w:val="000000" w:themeColor="text1"/>
        </w:rPr>
        <w:t xml:space="preserve">imposes </w:t>
      </w:r>
      <w:r w:rsidRPr="008B1975">
        <w:rPr>
          <w:color w:val="000000" w:themeColor="text1"/>
        </w:rPr>
        <w:t xml:space="preserve">other </w:t>
      </w:r>
      <w:r w:rsidRPr="008B1975">
        <w:t>requirements in relation to stair geometry and minimum access path width on stairs.</w:t>
      </w:r>
    </w:p>
    <w:p w14:paraId="0F3D4686" w14:textId="51A29535" w:rsidR="00D90E96" w:rsidRPr="008B1975" w:rsidRDefault="00D90E96" w:rsidP="00D63EEC">
      <w:pPr>
        <w:pStyle w:val="subsection"/>
      </w:pPr>
      <w:r w:rsidRPr="008B1975">
        <w:tab/>
        <w:t>(2)</w:t>
      </w:r>
      <w:r w:rsidRPr="008B1975">
        <w:tab/>
        <w:t>Stairs must not intrude into access paths.</w:t>
      </w:r>
    </w:p>
    <w:p w14:paraId="3CC7401F" w14:textId="77777777" w:rsidR="00D90E96" w:rsidRPr="008B1975" w:rsidRDefault="00D90E96" w:rsidP="00D63EEC">
      <w:pPr>
        <w:pStyle w:val="subsection"/>
      </w:pPr>
      <w:r w:rsidRPr="008B1975">
        <w:tab/>
        <w:t>(3)</w:t>
      </w:r>
      <w:r w:rsidRPr="008B1975">
        <w:tab/>
        <w:t>The following table specifies conveyances, premises and infrastructure this section applies to.</w:t>
      </w:r>
    </w:p>
    <w:p w14:paraId="42F3BD01" w14:textId="77777777" w:rsidR="00D90E96" w:rsidRPr="008B1975" w:rsidRDefault="00D90E96" w:rsidP="00D63EE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90E96" w:rsidRPr="008B1975" w14:paraId="61FE3559"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1BA69DBE" w14:textId="77777777" w:rsidR="00D90E96" w:rsidRPr="008B1975" w:rsidRDefault="00D90E96" w:rsidP="00D63EEC">
            <w:pPr>
              <w:pStyle w:val="TableHeading"/>
            </w:pPr>
            <w:r w:rsidRPr="008B1975">
              <w:t>Application of this section</w:t>
            </w:r>
          </w:p>
        </w:tc>
      </w:tr>
      <w:tr w:rsidR="00D90E96" w:rsidRPr="008B1975" w14:paraId="4B25AD55" w14:textId="77777777" w:rsidTr="00CC36E0">
        <w:trPr>
          <w:trHeight w:val="300"/>
          <w:tblHeader/>
        </w:trPr>
        <w:tc>
          <w:tcPr>
            <w:tcW w:w="1667" w:type="pct"/>
            <w:tcBorders>
              <w:top w:val="single" w:sz="6" w:space="0" w:color="auto"/>
              <w:bottom w:val="single" w:sz="12" w:space="0" w:color="auto"/>
            </w:tcBorders>
            <w:shd w:val="clear" w:color="auto" w:fill="auto"/>
            <w:hideMark/>
          </w:tcPr>
          <w:p w14:paraId="7051816E" w14:textId="77777777" w:rsidR="00D90E96" w:rsidRPr="008B1975" w:rsidRDefault="00D90E96" w:rsidP="00D63EE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01DF3A99" w14:textId="77777777" w:rsidR="00D90E96" w:rsidRPr="008B1975" w:rsidRDefault="00D90E96" w:rsidP="00D63EE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6BD7A6C4" w14:textId="77777777" w:rsidR="00D90E96" w:rsidRPr="008B1975" w:rsidRDefault="00D90E96" w:rsidP="00D63EEC">
            <w:pPr>
              <w:pStyle w:val="TableHeading"/>
            </w:pPr>
            <w:r w:rsidRPr="008B1975">
              <w:t>Infrastructure</w:t>
            </w:r>
          </w:p>
        </w:tc>
      </w:tr>
      <w:tr w:rsidR="00D90E96" w:rsidRPr="008B1975" w14:paraId="350B5FB0" w14:textId="77777777" w:rsidTr="00CC36E0">
        <w:trPr>
          <w:trHeight w:val="300"/>
        </w:trPr>
        <w:tc>
          <w:tcPr>
            <w:tcW w:w="1667" w:type="pct"/>
            <w:tcBorders>
              <w:top w:val="single" w:sz="12" w:space="0" w:color="auto"/>
              <w:bottom w:val="single" w:sz="12" w:space="0" w:color="auto"/>
            </w:tcBorders>
            <w:shd w:val="clear" w:color="auto" w:fill="auto"/>
            <w:hideMark/>
          </w:tcPr>
          <w:p w14:paraId="7F7777A8" w14:textId="77777777" w:rsidR="00D90E96" w:rsidRPr="008B1975" w:rsidRDefault="00D90E96" w:rsidP="00D63EEC">
            <w:pPr>
              <w:pStyle w:val="Tablea"/>
            </w:pPr>
            <w:r w:rsidRPr="008B1975">
              <w:t>Ferries</w:t>
            </w:r>
          </w:p>
        </w:tc>
        <w:tc>
          <w:tcPr>
            <w:tcW w:w="1667" w:type="pct"/>
            <w:tcBorders>
              <w:top w:val="single" w:sz="12" w:space="0" w:color="auto"/>
              <w:bottom w:val="single" w:sz="12" w:space="0" w:color="auto"/>
            </w:tcBorders>
            <w:shd w:val="clear" w:color="auto" w:fill="auto"/>
          </w:tcPr>
          <w:p w14:paraId="253669CF" w14:textId="77777777" w:rsidR="00D90E96" w:rsidRPr="008B1975" w:rsidRDefault="00D90E96" w:rsidP="00D63EEC">
            <w:pPr>
              <w:pStyle w:val="Tabletext"/>
            </w:pPr>
            <w:r w:rsidRPr="008B1975">
              <w:t>None</w:t>
            </w:r>
          </w:p>
        </w:tc>
        <w:tc>
          <w:tcPr>
            <w:tcW w:w="1667" w:type="pct"/>
            <w:tcBorders>
              <w:top w:val="single" w:sz="12" w:space="0" w:color="auto"/>
              <w:bottom w:val="single" w:sz="12" w:space="0" w:color="auto"/>
            </w:tcBorders>
            <w:shd w:val="clear" w:color="auto" w:fill="auto"/>
          </w:tcPr>
          <w:p w14:paraId="3385F4C1" w14:textId="77777777" w:rsidR="00D90E96" w:rsidRPr="008B1975" w:rsidRDefault="00D90E96" w:rsidP="00D63EEC">
            <w:pPr>
              <w:pStyle w:val="Tabletext"/>
            </w:pPr>
            <w:r w:rsidRPr="008B1975">
              <w:t>None</w:t>
            </w:r>
          </w:p>
        </w:tc>
      </w:tr>
    </w:tbl>
    <w:p w14:paraId="1062B909" w14:textId="77777777" w:rsidR="008D0C53" w:rsidRPr="008B1975" w:rsidRDefault="000A511B" w:rsidP="000A511B">
      <w:pPr>
        <w:pStyle w:val="ItemHead"/>
      </w:pPr>
      <w:bookmarkStart w:id="199" w:name="_Ref185274517"/>
      <w:r w:rsidRPr="008B1975">
        <w:t xml:space="preserve">6  </w:t>
      </w:r>
      <w:r w:rsidR="008D0C53" w:rsidRPr="008B1975">
        <w:t>Section 14.4</w:t>
      </w:r>
      <w:bookmarkEnd w:id="198"/>
      <w:bookmarkEnd w:id="199"/>
    </w:p>
    <w:p w14:paraId="3661366F" w14:textId="77777777" w:rsidR="008D0C53" w:rsidRPr="008B1975" w:rsidRDefault="008D0C53" w:rsidP="00D63EEC">
      <w:pPr>
        <w:pStyle w:val="Item"/>
      </w:pPr>
      <w:r w:rsidRPr="008B1975">
        <w:t>Repeal the section, substitute:</w:t>
      </w:r>
    </w:p>
    <w:p w14:paraId="4A720196" w14:textId="77777777" w:rsidR="008D0C53" w:rsidRPr="008B1975" w:rsidRDefault="008852D2" w:rsidP="008852D2">
      <w:pPr>
        <w:pStyle w:val="ActHead5"/>
        <w:outlineLvl w:val="9"/>
      </w:pPr>
      <w:r w:rsidRPr="008B1975">
        <w:t xml:space="preserve">14.4  </w:t>
      </w:r>
      <w:r w:rsidR="008D0C53" w:rsidRPr="008B1975">
        <w:t>Specific requirements—buses</w:t>
      </w:r>
    </w:p>
    <w:p w14:paraId="12B3B95A" w14:textId="77777777" w:rsidR="008D0C53" w:rsidRPr="008B1975" w:rsidRDefault="008D0C53" w:rsidP="00D63EEC">
      <w:pPr>
        <w:pStyle w:val="SubsectionHead"/>
      </w:pPr>
      <w:r w:rsidRPr="008B1975">
        <w:t>Compliance with Australian Design Rule 58</w:t>
      </w:r>
    </w:p>
    <w:p w14:paraId="13DA6DB7" w14:textId="77777777" w:rsidR="008D0C53" w:rsidRPr="008B1975" w:rsidRDefault="008D0C53" w:rsidP="00D63EEC">
      <w:pPr>
        <w:pStyle w:val="subsection"/>
      </w:pPr>
      <w:r w:rsidRPr="008B1975">
        <w:tab/>
      </w:r>
      <w:r w:rsidR="001024C7" w:rsidRPr="008B1975">
        <w:t>(1)</w:t>
      </w:r>
      <w:r w:rsidRPr="008B1975">
        <w:tab/>
        <w:t>Steps and stairs must comply with Australian Design Rule 58.</w:t>
      </w:r>
    </w:p>
    <w:p w14:paraId="3DAFCBEA" w14:textId="77777777" w:rsidR="008D0C53" w:rsidRPr="008B1975" w:rsidRDefault="008D0C53" w:rsidP="00D63EEC">
      <w:pPr>
        <w:pStyle w:val="subsection"/>
        <w:rPr>
          <w:b/>
          <w:i/>
        </w:rPr>
      </w:pPr>
      <w:r w:rsidRPr="008B1975">
        <w:tab/>
      </w:r>
      <w:r w:rsidR="001024C7" w:rsidRPr="008B1975">
        <w:t>(2)</w:t>
      </w:r>
      <w:r w:rsidRPr="008B1975">
        <w:tab/>
        <w:t>If Australian Design Rule 58 as it applies to stairs is inconsistent with a provision of these Standards that otherwise applies, the Rule prevails to the extent of that inconsistency.</w:t>
      </w:r>
    </w:p>
    <w:p w14:paraId="1C2E9FF5" w14:textId="77777777" w:rsidR="008D0C53" w:rsidRPr="008B1975" w:rsidRDefault="008D0C53" w:rsidP="00D63EEC">
      <w:pPr>
        <w:pStyle w:val="SubsectionHead"/>
      </w:pPr>
      <w:r w:rsidRPr="008B1975">
        <w:lastRenderedPageBreak/>
        <w:t>Steps and stairs</w:t>
      </w:r>
    </w:p>
    <w:p w14:paraId="43BB4C93" w14:textId="77777777" w:rsidR="008D0C53" w:rsidRPr="008B1975" w:rsidRDefault="008D0C53" w:rsidP="00D63EEC">
      <w:pPr>
        <w:pStyle w:val="subsection"/>
      </w:pPr>
      <w:r w:rsidRPr="008B1975">
        <w:tab/>
      </w:r>
      <w:r w:rsidR="001024C7" w:rsidRPr="008B1975">
        <w:t>(3)</w:t>
      </w:r>
      <w:r w:rsidRPr="008B1975">
        <w:tab/>
        <w:t>Step edges and tread nosing must comply with clauses 11.1(c), (e), (f) and (g) of AS1428.1 (2009).</w:t>
      </w:r>
    </w:p>
    <w:p w14:paraId="037583B0" w14:textId="77777777" w:rsidR="008D0C53" w:rsidRPr="008B1975" w:rsidRDefault="008D0C53" w:rsidP="00D63EEC">
      <w:pPr>
        <w:pStyle w:val="subsection"/>
      </w:pPr>
      <w:r w:rsidRPr="008B1975">
        <w:tab/>
      </w:r>
      <w:r w:rsidR="001024C7" w:rsidRPr="008B1975">
        <w:t>(4)</w:t>
      </w:r>
      <w:r w:rsidRPr="008B1975">
        <w:tab/>
        <w:t>Steps and stairs must not intrude into an access path.</w:t>
      </w:r>
    </w:p>
    <w:p w14:paraId="4E49BA13" w14:textId="77777777" w:rsidR="008D0C53" w:rsidRPr="008B1975" w:rsidRDefault="008D0C53" w:rsidP="00D63EEC">
      <w:pPr>
        <w:pStyle w:val="subsection"/>
        <w:rPr>
          <w:i/>
        </w:rPr>
      </w:pPr>
      <w:r w:rsidRPr="008B1975">
        <w:tab/>
      </w:r>
      <w:r w:rsidR="001024C7" w:rsidRPr="008B1975">
        <w:t>(5)</w:t>
      </w:r>
      <w:r w:rsidRPr="008B1975">
        <w:tab/>
        <w:t>Tactile ground surface indicators are not required at a step or stairs</w:t>
      </w:r>
      <w:r w:rsidRPr="008B1975">
        <w:rPr>
          <w:i/>
        </w:rPr>
        <w:t>.</w:t>
      </w:r>
    </w:p>
    <w:p w14:paraId="7D743B26" w14:textId="77777777" w:rsidR="008D0C53" w:rsidRPr="008B1975" w:rsidRDefault="008D0C53" w:rsidP="00D63EEC">
      <w:pPr>
        <w:pStyle w:val="SubsectionHead"/>
      </w:pPr>
      <w:r w:rsidRPr="008B1975">
        <w:t>Passenger doors</w:t>
      </w:r>
    </w:p>
    <w:p w14:paraId="6F0E0F3F" w14:textId="77777777" w:rsidR="008D0C53" w:rsidRPr="008B1975" w:rsidRDefault="008D0C53" w:rsidP="00D63EEC">
      <w:pPr>
        <w:pStyle w:val="subsection"/>
      </w:pPr>
      <w:r w:rsidRPr="008B1975">
        <w:tab/>
      </w:r>
      <w:r w:rsidR="001024C7" w:rsidRPr="008B1975">
        <w:t>(6)</w:t>
      </w:r>
      <w:r w:rsidRPr="008B1975">
        <w:tab/>
        <w:t>A passenger door must be fitted with one or more handrails that are accessible when the door is open.</w:t>
      </w:r>
    </w:p>
    <w:p w14:paraId="096BDA34" w14:textId="77777777" w:rsidR="008D0C53" w:rsidRPr="008B1975" w:rsidRDefault="008D0C53" w:rsidP="00D63EEC">
      <w:pPr>
        <w:pStyle w:val="subsection"/>
      </w:pPr>
      <w:r w:rsidRPr="008B1975">
        <w:tab/>
      </w:r>
      <w:r w:rsidR="001024C7" w:rsidRPr="008B1975">
        <w:t>(7)</w:t>
      </w:r>
      <w:r w:rsidRPr="008B1975">
        <w:tab/>
        <w:t>For a passenger door that opens outward, any handrail must be permanently fixed to the body of the door.</w:t>
      </w:r>
    </w:p>
    <w:p w14:paraId="099EA92D" w14:textId="77777777" w:rsidR="008D0C53" w:rsidRPr="008B1975" w:rsidRDefault="008D0C53" w:rsidP="00D63EEC">
      <w:pPr>
        <w:pStyle w:val="SubsectionHead"/>
      </w:pPr>
      <w:r w:rsidRPr="008B1975">
        <w:t>Application table</w:t>
      </w:r>
    </w:p>
    <w:p w14:paraId="26CCE43D" w14:textId="77777777" w:rsidR="008D0C53" w:rsidRPr="008B1975" w:rsidRDefault="008D0C53" w:rsidP="00D63EEC">
      <w:pPr>
        <w:pStyle w:val="subsection"/>
      </w:pPr>
      <w:r w:rsidRPr="008B1975">
        <w:tab/>
        <w:t>(8)</w:t>
      </w:r>
      <w:r w:rsidRPr="008B1975">
        <w:tab/>
        <w:t>The following table specifies conveyances, premises and infrastructure this section applies to.</w:t>
      </w:r>
    </w:p>
    <w:p w14:paraId="1D5CB72D" w14:textId="77777777" w:rsidR="008D0C53" w:rsidRPr="008B1975" w:rsidRDefault="008D0C53" w:rsidP="00D63EE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62475A04"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08EC09F9" w14:textId="77777777" w:rsidR="008D0C53" w:rsidRPr="008B1975" w:rsidRDefault="008D0C53" w:rsidP="00D63EEC">
            <w:pPr>
              <w:pStyle w:val="TableHeading"/>
            </w:pPr>
            <w:r w:rsidRPr="008B1975">
              <w:t>Application of this section</w:t>
            </w:r>
          </w:p>
        </w:tc>
      </w:tr>
      <w:tr w:rsidR="008D0C53" w:rsidRPr="008B1975" w14:paraId="6F7ED2F3" w14:textId="77777777" w:rsidTr="00CC36E0">
        <w:trPr>
          <w:trHeight w:val="377"/>
          <w:tblHeader/>
        </w:trPr>
        <w:tc>
          <w:tcPr>
            <w:tcW w:w="1667" w:type="pct"/>
            <w:tcBorders>
              <w:top w:val="single" w:sz="6" w:space="0" w:color="auto"/>
              <w:bottom w:val="single" w:sz="12" w:space="0" w:color="auto"/>
            </w:tcBorders>
            <w:shd w:val="clear" w:color="auto" w:fill="auto"/>
            <w:hideMark/>
          </w:tcPr>
          <w:p w14:paraId="66552D02" w14:textId="77777777" w:rsidR="008D0C53" w:rsidRPr="008B1975" w:rsidRDefault="008D0C53" w:rsidP="00D63EE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6CAC9298" w14:textId="77777777" w:rsidR="008D0C53" w:rsidRPr="008B1975" w:rsidRDefault="008D0C53" w:rsidP="00D63EE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3380CE80" w14:textId="77777777" w:rsidR="008D0C53" w:rsidRPr="008B1975" w:rsidRDefault="008D0C53" w:rsidP="00D63EEC">
            <w:pPr>
              <w:pStyle w:val="TableHeading"/>
            </w:pPr>
            <w:r w:rsidRPr="008B1975">
              <w:t>Infrastructure</w:t>
            </w:r>
          </w:p>
        </w:tc>
      </w:tr>
      <w:tr w:rsidR="008D0C53" w:rsidRPr="008B1975" w14:paraId="3DCCA84A" w14:textId="77777777" w:rsidTr="00CC36E0">
        <w:trPr>
          <w:trHeight w:val="300"/>
        </w:trPr>
        <w:tc>
          <w:tcPr>
            <w:tcW w:w="1667" w:type="pct"/>
            <w:tcBorders>
              <w:top w:val="single" w:sz="12" w:space="0" w:color="auto"/>
              <w:bottom w:val="single" w:sz="12" w:space="0" w:color="auto"/>
            </w:tcBorders>
            <w:shd w:val="clear" w:color="auto" w:fill="auto"/>
            <w:hideMark/>
          </w:tcPr>
          <w:p w14:paraId="6F6F94EF" w14:textId="77777777" w:rsidR="008D0C53" w:rsidRPr="008B1975" w:rsidRDefault="008D0C53" w:rsidP="00D63EEC">
            <w:pPr>
              <w:pStyle w:val="Tabletext"/>
            </w:pPr>
            <w:r w:rsidRPr="008B1975">
              <w:t>Buses, except dedicated school buses</w:t>
            </w:r>
          </w:p>
        </w:tc>
        <w:tc>
          <w:tcPr>
            <w:tcW w:w="1667" w:type="pct"/>
            <w:tcBorders>
              <w:top w:val="single" w:sz="12" w:space="0" w:color="auto"/>
              <w:bottom w:val="single" w:sz="12" w:space="0" w:color="auto"/>
            </w:tcBorders>
            <w:shd w:val="clear" w:color="auto" w:fill="auto"/>
            <w:hideMark/>
          </w:tcPr>
          <w:p w14:paraId="26B17AF4" w14:textId="77777777" w:rsidR="008D0C53" w:rsidRPr="008B1975" w:rsidRDefault="008D0C53" w:rsidP="00D63EEC">
            <w:pPr>
              <w:pStyle w:val="Tabletext"/>
            </w:pPr>
            <w:r w:rsidRPr="008B1975">
              <w:t>None</w:t>
            </w:r>
          </w:p>
        </w:tc>
        <w:tc>
          <w:tcPr>
            <w:tcW w:w="1667" w:type="pct"/>
            <w:tcBorders>
              <w:top w:val="single" w:sz="12" w:space="0" w:color="auto"/>
              <w:bottom w:val="single" w:sz="12" w:space="0" w:color="auto"/>
            </w:tcBorders>
            <w:shd w:val="clear" w:color="auto" w:fill="auto"/>
          </w:tcPr>
          <w:p w14:paraId="01C6AC4D" w14:textId="77777777" w:rsidR="008D0C53" w:rsidRPr="008B1975" w:rsidRDefault="008D0C53" w:rsidP="00D63EEC">
            <w:pPr>
              <w:pStyle w:val="Tabletext"/>
            </w:pPr>
            <w:r w:rsidRPr="008B1975">
              <w:t>None</w:t>
            </w:r>
          </w:p>
        </w:tc>
      </w:tr>
    </w:tbl>
    <w:p w14:paraId="6F610011" w14:textId="77777777" w:rsidR="00D90E96" w:rsidRPr="008B1975" w:rsidRDefault="000A511B" w:rsidP="000A511B">
      <w:pPr>
        <w:pStyle w:val="ItemHead"/>
      </w:pPr>
      <w:bookmarkStart w:id="200" w:name="_Ref185274875"/>
      <w:r w:rsidRPr="008B1975">
        <w:t xml:space="preserve">7  </w:t>
      </w:r>
      <w:r w:rsidR="00D90E96" w:rsidRPr="008B1975">
        <w:t>At the end of Part 14</w:t>
      </w:r>
      <w:bookmarkEnd w:id="200"/>
    </w:p>
    <w:p w14:paraId="774C6D34" w14:textId="77777777" w:rsidR="00D90E96" w:rsidRPr="008B1975" w:rsidRDefault="00D90E96" w:rsidP="00D63EEC">
      <w:pPr>
        <w:pStyle w:val="Item"/>
      </w:pPr>
      <w:r w:rsidRPr="008B1975">
        <w:t>Add:</w:t>
      </w:r>
    </w:p>
    <w:p w14:paraId="4A066CC9" w14:textId="77777777" w:rsidR="00D90E96" w:rsidRPr="008B1975" w:rsidRDefault="00D90E96" w:rsidP="00D63EEC">
      <w:pPr>
        <w:pStyle w:val="ActHead5"/>
        <w:outlineLvl w:val="9"/>
        <w:rPr>
          <w:color w:val="000000" w:themeColor="text1"/>
        </w:rPr>
      </w:pPr>
      <w:r w:rsidRPr="008B1975">
        <w:rPr>
          <w:color w:val="000000" w:themeColor="text1"/>
        </w:rPr>
        <w:t>14.</w:t>
      </w:r>
      <w:r w:rsidR="006C750B" w:rsidRPr="008B1975">
        <w:rPr>
          <w:color w:val="000000" w:themeColor="text1"/>
        </w:rPr>
        <w:t>5</w:t>
      </w:r>
      <w:r w:rsidRPr="008B1975">
        <w:rPr>
          <w:color w:val="000000" w:themeColor="text1"/>
        </w:rPr>
        <w:t xml:space="preserve">  Specifications for escalators in premises and infrastructure</w:t>
      </w:r>
    </w:p>
    <w:p w14:paraId="73882F76" w14:textId="77777777" w:rsidR="00D90E96" w:rsidRPr="008B1975" w:rsidRDefault="00D90E96" w:rsidP="00D63EEC">
      <w:pPr>
        <w:pStyle w:val="subsection"/>
      </w:pPr>
      <w:r w:rsidRPr="008B1975">
        <w:tab/>
        <w:t>(1)</w:t>
      </w:r>
      <w:r w:rsidRPr="008B1975">
        <w:tab/>
        <w:t>The minimum unobstructed width of an escalator or inclined travellator must be 850</w:t>
      </w:r>
      <w:r w:rsidR="00E05800" w:rsidRPr="008B1975">
        <w:t xml:space="preserve"> </w:t>
      </w:r>
      <w:r w:rsidRPr="008B1975">
        <w:t>mm.</w:t>
      </w:r>
    </w:p>
    <w:p w14:paraId="4A91B6E8" w14:textId="77777777" w:rsidR="008150FF" w:rsidRPr="008B1975" w:rsidRDefault="00D90E96" w:rsidP="00E05800">
      <w:pPr>
        <w:pStyle w:val="subsection"/>
      </w:pPr>
      <w:r w:rsidRPr="008B1975">
        <w:tab/>
        <w:t>(2)</w:t>
      </w:r>
      <w:r w:rsidRPr="008B1975">
        <w:tab/>
        <w:t>The following table specifies conveyances, premises and infrastructure this section applies to.</w:t>
      </w:r>
    </w:p>
    <w:p w14:paraId="5322B1A1" w14:textId="77777777" w:rsidR="008150FF" w:rsidRPr="008B1975" w:rsidRDefault="008150FF" w:rsidP="008150F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90E96" w:rsidRPr="008B1975" w14:paraId="689C3B85" w14:textId="77777777" w:rsidTr="00D90E96">
        <w:trPr>
          <w:trHeight w:val="300"/>
          <w:tblHeader/>
        </w:trPr>
        <w:tc>
          <w:tcPr>
            <w:tcW w:w="5000" w:type="pct"/>
            <w:gridSpan w:val="3"/>
            <w:tcBorders>
              <w:top w:val="single" w:sz="12" w:space="0" w:color="auto"/>
              <w:bottom w:val="single" w:sz="6" w:space="0" w:color="auto"/>
            </w:tcBorders>
            <w:shd w:val="clear" w:color="auto" w:fill="auto"/>
            <w:hideMark/>
          </w:tcPr>
          <w:p w14:paraId="75055509" w14:textId="77777777" w:rsidR="00D90E96" w:rsidRPr="008B1975" w:rsidRDefault="00D90E96" w:rsidP="00D63EEC">
            <w:pPr>
              <w:pStyle w:val="TableHeading"/>
            </w:pPr>
            <w:r w:rsidRPr="008B1975">
              <w:t>Application of this section</w:t>
            </w:r>
          </w:p>
        </w:tc>
      </w:tr>
      <w:tr w:rsidR="00D90E96" w:rsidRPr="008B1975" w14:paraId="271ED1DB" w14:textId="77777777" w:rsidTr="00CC36E0">
        <w:trPr>
          <w:trHeight w:val="300"/>
          <w:tblHeader/>
        </w:trPr>
        <w:tc>
          <w:tcPr>
            <w:tcW w:w="1667" w:type="pct"/>
            <w:tcBorders>
              <w:top w:val="single" w:sz="6" w:space="0" w:color="auto"/>
              <w:bottom w:val="single" w:sz="12" w:space="0" w:color="auto"/>
            </w:tcBorders>
            <w:shd w:val="clear" w:color="auto" w:fill="auto"/>
            <w:hideMark/>
          </w:tcPr>
          <w:p w14:paraId="4CA443E5" w14:textId="77777777" w:rsidR="00D90E96" w:rsidRPr="008B1975" w:rsidRDefault="00D90E96" w:rsidP="00D63EEC">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4CD7537" w14:textId="77777777" w:rsidR="00D90E96" w:rsidRPr="008B1975" w:rsidRDefault="00D90E96" w:rsidP="00D63EEC">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6916B4B1" w14:textId="77777777" w:rsidR="00D90E96" w:rsidRPr="008B1975" w:rsidRDefault="00D90E96" w:rsidP="00D63EEC">
            <w:pPr>
              <w:pStyle w:val="TableHeading"/>
            </w:pPr>
            <w:r w:rsidRPr="008B1975">
              <w:t>Infrastructure</w:t>
            </w:r>
          </w:p>
        </w:tc>
      </w:tr>
      <w:tr w:rsidR="00D90E96" w:rsidRPr="008B1975" w14:paraId="24D6E09E" w14:textId="77777777" w:rsidTr="00CC36E0">
        <w:trPr>
          <w:trHeight w:val="300"/>
        </w:trPr>
        <w:tc>
          <w:tcPr>
            <w:tcW w:w="1667" w:type="pct"/>
            <w:tcBorders>
              <w:top w:val="single" w:sz="12" w:space="0" w:color="auto"/>
              <w:bottom w:val="single" w:sz="12" w:space="0" w:color="auto"/>
            </w:tcBorders>
            <w:shd w:val="clear" w:color="auto" w:fill="auto"/>
            <w:hideMark/>
          </w:tcPr>
          <w:p w14:paraId="64657315" w14:textId="77777777" w:rsidR="00D90E96" w:rsidRPr="008B1975" w:rsidRDefault="00D90E96" w:rsidP="0037506D">
            <w:pPr>
              <w:pStyle w:val="Tabletext"/>
            </w:pPr>
            <w:r w:rsidRPr="008B1975">
              <w:t>None</w:t>
            </w:r>
          </w:p>
        </w:tc>
        <w:tc>
          <w:tcPr>
            <w:tcW w:w="1667" w:type="pct"/>
            <w:tcBorders>
              <w:top w:val="single" w:sz="12" w:space="0" w:color="auto"/>
              <w:bottom w:val="single" w:sz="12" w:space="0" w:color="auto"/>
            </w:tcBorders>
            <w:shd w:val="clear" w:color="auto" w:fill="auto"/>
          </w:tcPr>
          <w:p w14:paraId="22FCD322" w14:textId="77777777" w:rsidR="00D90E96" w:rsidRPr="008B1975" w:rsidRDefault="00D90E96" w:rsidP="0037506D">
            <w:pPr>
              <w:pStyle w:val="Tabletext"/>
            </w:pPr>
            <w:r w:rsidRPr="008B1975">
              <w:t>All</w:t>
            </w:r>
          </w:p>
        </w:tc>
        <w:tc>
          <w:tcPr>
            <w:tcW w:w="1667" w:type="pct"/>
            <w:tcBorders>
              <w:top w:val="single" w:sz="12" w:space="0" w:color="auto"/>
              <w:bottom w:val="single" w:sz="12" w:space="0" w:color="auto"/>
            </w:tcBorders>
            <w:shd w:val="clear" w:color="auto" w:fill="auto"/>
          </w:tcPr>
          <w:p w14:paraId="583C8569" w14:textId="77777777" w:rsidR="00D90E96" w:rsidRPr="008B1975" w:rsidRDefault="00D90E96" w:rsidP="0037506D">
            <w:pPr>
              <w:pStyle w:val="Tabletext"/>
            </w:pPr>
            <w:r w:rsidRPr="008B1975">
              <w:t>All</w:t>
            </w:r>
          </w:p>
        </w:tc>
      </w:tr>
    </w:tbl>
    <w:p w14:paraId="6273CE36" w14:textId="77777777" w:rsidR="00824838" w:rsidRPr="008B1975" w:rsidRDefault="00824838" w:rsidP="00824838">
      <w:pPr>
        <w:pStyle w:val="ActHead6"/>
        <w:pageBreakBefore/>
        <w:rPr>
          <w:rStyle w:val="CharAmSchText"/>
        </w:rPr>
      </w:pPr>
      <w:bookmarkStart w:id="201" w:name="_Toc197178958"/>
      <w:r w:rsidRPr="008B1975">
        <w:lastRenderedPageBreak/>
        <w:t>Schedule 15—Part 15 (Toilets) Amendments</w:t>
      </w:r>
      <w:bookmarkEnd w:id="201"/>
    </w:p>
    <w:p w14:paraId="0FBACC08" w14:textId="77777777" w:rsidR="00824838" w:rsidRPr="008B1975" w:rsidRDefault="00824838" w:rsidP="00824838">
      <w:pPr>
        <w:pStyle w:val="ActHead9"/>
      </w:pPr>
      <w:bookmarkStart w:id="202" w:name="_Toc197178959"/>
      <w:r w:rsidRPr="008B1975">
        <w:t>Disability Standards for Accessible Public Transport 2002</w:t>
      </w:r>
      <w:bookmarkEnd w:id="202"/>
    </w:p>
    <w:p w14:paraId="0C31FD4A" w14:textId="77777777" w:rsidR="00FB42CC" w:rsidRPr="008B1975" w:rsidRDefault="000A511B" w:rsidP="00946DEA">
      <w:pPr>
        <w:pStyle w:val="ItemHead"/>
      </w:pPr>
      <w:bookmarkStart w:id="203" w:name="_Ref185338467"/>
      <w:r w:rsidRPr="008B1975">
        <w:t xml:space="preserve">1  </w:t>
      </w:r>
      <w:r w:rsidR="00FB42CC" w:rsidRPr="008B1975">
        <w:t>Section 15.1</w:t>
      </w:r>
      <w:bookmarkEnd w:id="203"/>
    </w:p>
    <w:p w14:paraId="74CEC411" w14:textId="77777777" w:rsidR="00FB42CC" w:rsidRPr="008B1975" w:rsidRDefault="00FB42CC" w:rsidP="00FB42CC">
      <w:pPr>
        <w:pStyle w:val="Item"/>
      </w:pPr>
      <w:r w:rsidRPr="008B1975">
        <w:t>Before “If”, insert “(1)”.</w:t>
      </w:r>
    </w:p>
    <w:p w14:paraId="3B44A541" w14:textId="77777777" w:rsidR="00FB42CC" w:rsidRPr="008B1975" w:rsidRDefault="000A511B" w:rsidP="00946DEA">
      <w:pPr>
        <w:pStyle w:val="ItemHead"/>
      </w:pPr>
      <w:bookmarkStart w:id="204" w:name="_Ref185338470"/>
      <w:r w:rsidRPr="008B1975">
        <w:t xml:space="preserve">2  </w:t>
      </w:r>
      <w:r w:rsidR="00FB42CC" w:rsidRPr="008B1975">
        <w:t>Section 15.1</w:t>
      </w:r>
      <w:bookmarkEnd w:id="204"/>
    </w:p>
    <w:p w14:paraId="538489CD" w14:textId="77777777" w:rsidR="00FB42CC" w:rsidRPr="008B1975" w:rsidRDefault="00FB42CC" w:rsidP="00FB42CC">
      <w:pPr>
        <w:pStyle w:val="Item"/>
      </w:pPr>
      <w:r w:rsidRPr="008B1975">
        <w:t>Omit “</w:t>
      </w:r>
      <w:r w:rsidRPr="008B1975">
        <w:rPr>
          <w:b/>
        </w:rPr>
        <w:t>AS1428.1 (2001) Clause 10</w:t>
      </w:r>
      <w:r w:rsidRPr="008B1975">
        <w:t xml:space="preserve">, </w:t>
      </w:r>
      <w:r w:rsidRPr="008B1975">
        <w:rPr>
          <w:i/>
        </w:rPr>
        <w:t>Sanitary facilities</w:t>
      </w:r>
      <w:r w:rsidRPr="008B1975">
        <w:rPr>
          <w:color w:val="000000" w:themeColor="text1"/>
        </w:rPr>
        <w:t xml:space="preserve">”, substitute </w:t>
      </w:r>
      <w:r w:rsidR="00F754D9" w:rsidRPr="008B1975">
        <w:rPr>
          <w:color w:val="000000" w:themeColor="text1"/>
        </w:rPr>
        <w:t>“section 12 of AS1428.1 (2021) (sanitary facilities)”</w:t>
      </w:r>
      <w:r w:rsidRPr="008B1975">
        <w:rPr>
          <w:color w:val="000000" w:themeColor="text1"/>
        </w:rPr>
        <w:t>.</w:t>
      </w:r>
    </w:p>
    <w:p w14:paraId="1EA7597D" w14:textId="77777777" w:rsidR="00FB42CC" w:rsidRPr="008B1975" w:rsidRDefault="000A511B" w:rsidP="00946DEA">
      <w:pPr>
        <w:pStyle w:val="ItemHead"/>
      </w:pPr>
      <w:bookmarkStart w:id="205" w:name="_Ref185338473"/>
      <w:r w:rsidRPr="008B1975">
        <w:t xml:space="preserve">3  </w:t>
      </w:r>
      <w:r w:rsidR="00FB42CC" w:rsidRPr="008B1975">
        <w:t>Section 15.1 (table)</w:t>
      </w:r>
      <w:bookmarkEnd w:id="205"/>
    </w:p>
    <w:p w14:paraId="1520C5FD" w14:textId="77777777" w:rsidR="00FB42CC" w:rsidRPr="008B1975" w:rsidRDefault="00FB42CC" w:rsidP="00FB42CC">
      <w:pPr>
        <w:pStyle w:val="Item"/>
      </w:pPr>
      <w:r w:rsidRPr="008B1975">
        <w:t>Repeal the table, substitute:</w:t>
      </w:r>
    </w:p>
    <w:p w14:paraId="25582984" w14:textId="77777777" w:rsidR="00FB42CC" w:rsidRPr="008B1975" w:rsidRDefault="00FB42CC" w:rsidP="00FB42CC">
      <w:pPr>
        <w:pStyle w:val="subsection"/>
      </w:pPr>
      <w:r w:rsidRPr="008B1975">
        <w:tab/>
        <w:t>(2)</w:t>
      </w:r>
      <w:r w:rsidRPr="008B1975">
        <w:tab/>
        <w:t>The following table specifies conveyances, premises and infrastructure this section applies to.</w:t>
      </w:r>
    </w:p>
    <w:p w14:paraId="423D860B" w14:textId="77777777" w:rsidR="00FB42CC" w:rsidRPr="008B1975" w:rsidRDefault="00FB42CC" w:rsidP="00FB42C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7E5C1E5A"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4D4C2CB6" w14:textId="77777777" w:rsidR="00FB42CC" w:rsidRPr="008B1975" w:rsidRDefault="00FB42CC" w:rsidP="00FB42CC">
            <w:pPr>
              <w:pStyle w:val="TableHeading"/>
            </w:pPr>
            <w:r w:rsidRPr="008B1975">
              <w:t>Application of this section</w:t>
            </w:r>
          </w:p>
        </w:tc>
      </w:tr>
      <w:tr w:rsidR="00FB42CC" w:rsidRPr="008B1975" w14:paraId="7A8E7474" w14:textId="77777777" w:rsidTr="00CC36E0">
        <w:trPr>
          <w:trHeight w:val="300"/>
          <w:tblHeader/>
        </w:trPr>
        <w:tc>
          <w:tcPr>
            <w:tcW w:w="1667" w:type="pct"/>
            <w:tcBorders>
              <w:top w:val="single" w:sz="6" w:space="0" w:color="auto"/>
              <w:left w:val="nil"/>
              <w:bottom w:val="single" w:sz="12" w:space="0" w:color="auto"/>
              <w:right w:val="nil"/>
            </w:tcBorders>
            <w:hideMark/>
          </w:tcPr>
          <w:p w14:paraId="2F05538A" w14:textId="77777777" w:rsidR="00FB42CC" w:rsidRPr="008B1975" w:rsidRDefault="00FB42CC" w:rsidP="00FB42CC">
            <w:pPr>
              <w:pStyle w:val="TableHeading"/>
            </w:pPr>
            <w:r w:rsidRPr="008B1975">
              <w:t>Conveyances</w:t>
            </w:r>
          </w:p>
        </w:tc>
        <w:tc>
          <w:tcPr>
            <w:tcW w:w="1667" w:type="pct"/>
            <w:tcBorders>
              <w:top w:val="single" w:sz="6" w:space="0" w:color="auto"/>
              <w:left w:val="nil"/>
              <w:bottom w:val="single" w:sz="12" w:space="0" w:color="auto"/>
              <w:right w:val="nil"/>
            </w:tcBorders>
            <w:hideMark/>
          </w:tcPr>
          <w:p w14:paraId="7A629DE3" w14:textId="77777777" w:rsidR="00FB42CC" w:rsidRPr="008B1975" w:rsidRDefault="00FB42CC" w:rsidP="00FB42CC">
            <w:pPr>
              <w:pStyle w:val="TableHeading"/>
            </w:pPr>
            <w:r w:rsidRPr="008B1975">
              <w:t>Premises</w:t>
            </w:r>
          </w:p>
        </w:tc>
        <w:tc>
          <w:tcPr>
            <w:tcW w:w="1667" w:type="pct"/>
            <w:tcBorders>
              <w:top w:val="single" w:sz="6" w:space="0" w:color="auto"/>
              <w:left w:val="nil"/>
              <w:bottom w:val="single" w:sz="12" w:space="0" w:color="auto"/>
              <w:right w:val="nil"/>
            </w:tcBorders>
            <w:hideMark/>
          </w:tcPr>
          <w:p w14:paraId="344FF59E" w14:textId="77777777" w:rsidR="00FB42CC" w:rsidRPr="008B1975" w:rsidRDefault="00FB42CC" w:rsidP="00FB42CC">
            <w:pPr>
              <w:pStyle w:val="TableHeading"/>
            </w:pPr>
            <w:r w:rsidRPr="008B1975">
              <w:t>Infrastructure</w:t>
            </w:r>
          </w:p>
        </w:tc>
      </w:tr>
      <w:tr w:rsidR="00FB42CC" w:rsidRPr="008B1975" w14:paraId="6C50CDDD" w14:textId="77777777" w:rsidTr="00CC36E0">
        <w:trPr>
          <w:trHeight w:val="300"/>
        </w:trPr>
        <w:tc>
          <w:tcPr>
            <w:tcW w:w="1667" w:type="pct"/>
            <w:tcBorders>
              <w:top w:val="single" w:sz="12" w:space="0" w:color="auto"/>
              <w:left w:val="nil"/>
              <w:bottom w:val="single" w:sz="12" w:space="0" w:color="auto"/>
              <w:right w:val="nil"/>
            </w:tcBorders>
            <w:hideMark/>
          </w:tcPr>
          <w:p w14:paraId="46167FF9" w14:textId="77777777" w:rsidR="00FB42CC" w:rsidRPr="008B1975" w:rsidRDefault="00FB42CC" w:rsidP="00FB42CC">
            <w:pPr>
              <w:pStyle w:val="Tabletext"/>
            </w:pPr>
            <w:r w:rsidRPr="008B1975">
              <w:t>None</w:t>
            </w:r>
          </w:p>
        </w:tc>
        <w:tc>
          <w:tcPr>
            <w:tcW w:w="1667" w:type="pct"/>
            <w:tcBorders>
              <w:top w:val="single" w:sz="12" w:space="0" w:color="auto"/>
              <w:left w:val="nil"/>
              <w:bottom w:val="single" w:sz="12" w:space="0" w:color="auto"/>
              <w:right w:val="nil"/>
            </w:tcBorders>
            <w:hideMark/>
          </w:tcPr>
          <w:p w14:paraId="68385AC8" w14:textId="77777777" w:rsidR="00FB42CC" w:rsidRPr="008B1975" w:rsidRDefault="00FB42CC" w:rsidP="00FB42C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54FF9700" w14:textId="77777777" w:rsidR="00FB42CC" w:rsidRPr="008B1975" w:rsidRDefault="00FB42CC" w:rsidP="00FB42CC">
            <w:pPr>
              <w:pStyle w:val="Tabletext"/>
            </w:pPr>
            <w:r w:rsidRPr="008B1975">
              <w:t>All</w:t>
            </w:r>
          </w:p>
        </w:tc>
      </w:tr>
    </w:tbl>
    <w:p w14:paraId="72F68294" w14:textId="77777777" w:rsidR="00181E60" w:rsidRPr="008B1975" w:rsidRDefault="000A511B" w:rsidP="00946DEA">
      <w:pPr>
        <w:pStyle w:val="ItemHead"/>
      </w:pPr>
      <w:bookmarkStart w:id="206" w:name="_Ref185338513"/>
      <w:r w:rsidRPr="008B1975">
        <w:t xml:space="preserve">4  </w:t>
      </w:r>
      <w:r w:rsidR="00181E60" w:rsidRPr="008B1975">
        <w:t>Section 15.2</w:t>
      </w:r>
      <w:bookmarkEnd w:id="206"/>
    </w:p>
    <w:p w14:paraId="75FC6C29" w14:textId="77777777" w:rsidR="00181E60" w:rsidRPr="008B1975" w:rsidRDefault="00181E60" w:rsidP="00181E60">
      <w:pPr>
        <w:pStyle w:val="Item"/>
      </w:pPr>
      <w:r w:rsidRPr="008B1975">
        <w:t>Before “Accessible”, insert “(1)”.</w:t>
      </w:r>
    </w:p>
    <w:p w14:paraId="6FCE5F98" w14:textId="77777777" w:rsidR="00181E60" w:rsidRPr="008B1975" w:rsidRDefault="000A511B" w:rsidP="00946DEA">
      <w:pPr>
        <w:pStyle w:val="ItemHead"/>
      </w:pPr>
      <w:bookmarkStart w:id="207" w:name="_Ref185338514"/>
      <w:r w:rsidRPr="008B1975">
        <w:t xml:space="preserve">5  </w:t>
      </w:r>
      <w:r w:rsidR="00181E60" w:rsidRPr="008B1975">
        <w:t>Section 15.2 (table)</w:t>
      </w:r>
      <w:bookmarkEnd w:id="207"/>
    </w:p>
    <w:p w14:paraId="5B36506A" w14:textId="77777777" w:rsidR="00181E60" w:rsidRPr="008B1975" w:rsidRDefault="00181E60" w:rsidP="00181E60">
      <w:pPr>
        <w:pStyle w:val="Item"/>
      </w:pPr>
      <w:r w:rsidRPr="008B1975">
        <w:t>Repeal the table, substitute:</w:t>
      </w:r>
    </w:p>
    <w:p w14:paraId="4DB7D8A2" w14:textId="77777777" w:rsidR="00181E60" w:rsidRPr="008B1975" w:rsidRDefault="00181E60" w:rsidP="00181E60">
      <w:pPr>
        <w:pStyle w:val="subsection"/>
      </w:pPr>
      <w:r w:rsidRPr="008B1975">
        <w:tab/>
        <w:t>(2)</w:t>
      </w:r>
      <w:r w:rsidRPr="008B1975">
        <w:tab/>
        <w:t>The following table specifies conveyances, premises and infrastructure this section applies to.</w:t>
      </w:r>
    </w:p>
    <w:p w14:paraId="20FEAECC"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28A82298"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658489D2" w14:textId="77777777" w:rsidR="00181E60" w:rsidRPr="008B1975" w:rsidRDefault="00181E60" w:rsidP="00DA693F">
            <w:pPr>
              <w:pStyle w:val="TableHeading"/>
            </w:pPr>
            <w:r w:rsidRPr="008B1975">
              <w:t>Application of this section</w:t>
            </w:r>
          </w:p>
        </w:tc>
      </w:tr>
      <w:tr w:rsidR="00181E60" w:rsidRPr="008B1975" w14:paraId="759E2F18" w14:textId="77777777" w:rsidTr="00CC36E0">
        <w:trPr>
          <w:trHeight w:val="300"/>
          <w:tblHeader/>
        </w:trPr>
        <w:tc>
          <w:tcPr>
            <w:tcW w:w="1667" w:type="pct"/>
            <w:tcBorders>
              <w:top w:val="single" w:sz="6" w:space="0" w:color="auto"/>
              <w:left w:val="nil"/>
              <w:bottom w:val="single" w:sz="12" w:space="0" w:color="auto"/>
              <w:right w:val="nil"/>
            </w:tcBorders>
            <w:hideMark/>
          </w:tcPr>
          <w:p w14:paraId="5543EADF"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29965C0F"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08566646" w14:textId="77777777" w:rsidR="00181E60" w:rsidRPr="008B1975" w:rsidRDefault="00181E60" w:rsidP="00DA693F">
            <w:pPr>
              <w:pStyle w:val="TableHeading"/>
            </w:pPr>
            <w:r w:rsidRPr="008B1975">
              <w:t>Infrastructure</w:t>
            </w:r>
          </w:p>
        </w:tc>
      </w:tr>
      <w:tr w:rsidR="00181E60" w:rsidRPr="008B1975" w14:paraId="5A89E923" w14:textId="77777777" w:rsidTr="00CC36E0">
        <w:trPr>
          <w:trHeight w:val="300"/>
        </w:trPr>
        <w:tc>
          <w:tcPr>
            <w:tcW w:w="1667" w:type="pct"/>
            <w:tcBorders>
              <w:top w:val="single" w:sz="12" w:space="0" w:color="auto"/>
              <w:left w:val="nil"/>
              <w:bottom w:val="single" w:sz="12" w:space="0" w:color="auto"/>
              <w:right w:val="nil"/>
            </w:tcBorders>
            <w:hideMark/>
          </w:tcPr>
          <w:p w14:paraId="5081973D" w14:textId="77777777" w:rsidR="00181E60" w:rsidRPr="008B1975" w:rsidRDefault="00181E60"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1693F22E" w14:textId="77777777" w:rsidR="00181E60" w:rsidRPr="008B1975" w:rsidRDefault="00181E60" w:rsidP="00DA693F">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44BE7B38" w14:textId="77777777" w:rsidR="00181E60" w:rsidRPr="008B1975" w:rsidRDefault="00181E60" w:rsidP="00DA693F">
            <w:pPr>
              <w:pStyle w:val="Tabletext"/>
            </w:pPr>
            <w:r w:rsidRPr="008B1975">
              <w:t>All</w:t>
            </w:r>
          </w:p>
        </w:tc>
      </w:tr>
    </w:tbl>
    <w:p w14:paraId="77C1BCBA" w14:textId="77777777" w:rsidR="008D0C53" w:rsidRPr="008B1975" w:rsidRDefault="00946DEA" w:rsidP="00946DEA">
      <w:pPr>
        <w:pStyle w:val="ItemHead"/>
      </w:pPr>
      <w:bookmarkStart w:id="208" w:name="_Ref185338547"/>
      <w:r w:rsidRPr="008B1975">
        <w:t xml:space="preserve">6  </w:t>
      </w:r>
      <w:r w:rsidR="008D0C53" w:rsidRPr="008B1975">
        <w:t>Section 15.3</w:t>
      </w:r>
      <w:bookmarkEnd w:id="208"/>
    </w:p>
    <w:p w14:paraId="5E7223AE" w14:textId="77777777" w:rsidR="008D0C53" w:rsidRPr="008B1975" w:rsidRDefault="008D0C53" w:rsidP="008D0C53">
      <w:pPr>
        <w:pStyle w:val="Item"/>
      </w:pPr>
      <w:r w:rsidRPr="008B1975">
        <w:t>Before “If”, insert “(1)”.</w:t>
      </w:r>
    </w:p>
    <w:p w14:paraId="5BCFAAA4" w14:textId="77777777" w:rsidR="008D0C53" w:rsidRPr="008B1975" w:rsidRDefault="00946DEA" w:rsidP="00946DEA">
      <w:pPr>
        <w:pStyle w:val="ItemHead"/>
      </w:pPr>
      <w:bookmarkStart w:id="209" w:name="_Ref175326803"/>
      <w:r w:rsidRPr="008B1975">
        <w:t xml:space="preserve">7  </w:t>
      </w:r>
      <w:r w:rsidR="008D0C53" w:rsidRPr="008B1975">
        <w:t>Section 15.3 (before the table)</w:t>
      </w:r>
      <w:bookmarkEnd w:id="209"/>
    </w:p>
    <w:p w14:paraId="48D24D03" w14:textId="77777777" w:rsidR="008D0C53" w:rsidRPr="008B1975" w:rsidRDefault="008D0C53" w:rsidP="008D0C53">
      <w:pPr>
        <w:pStyle w:val="Item"/>
      </w:pPr>
      <w:r w:rsidRPr="008B1975">
        <w:t>Insert:</w:t>
      </w:r>
    </w:p>
    <w:p w14:paraId="46E15A76" w14:textId="77777777" w:rsidR="008D0C53" w:rsidRPr="008B1975" w:rsidRDefault="008D0C53" w:rsidP="008D0C53">
      <w:pPr>
        <w:pStyle w:val="subsection"/>
      </w:pPr>
      <w:r w:rsidRPr="008B1975">
        <w:tab/>
      </w:r>
      <w:r w:rsidR="00EF0A3A" w:rsidRPr="008B1975">
        <w:t>(2)</w:t>
      </w:r>
      <w:r w:rsidRPr="008B1975">
        <w:tab/>
        <w:t>If 2 or more unisex accessible toilets are provided, there must be, as nearly as possible, an equal number of:</w:t>
      </w:r>
    </w:p>
    <w:p w14:paraId="4E5829B2" w14:textId="77777777" w:rsidR="008D0C53" w:rsidRPr="008B1975" w:rsidRDefault="008D0C53" w:rsidP="008D0C53">
      <w:pPr>
        <w:pStyle w:val="paragraph"/>
        <w:rPr>
          <w:color w:val="000000" w:themeColor="text1"/>
        </w:rPr>
      </w:pPr>
      <w:r w:rsidRPr="008B1975">
        <w:tab/>
      </w:r>
      <w:r w:rsidR="00EF0A3A" w:rsidRPr="008B1975">
        <w:t>(a)</w:t>
      </w:r>
      <w:r w:rsidRPr="008B1975">
        <w:tab/>
        <w:t xml:space="preserve">toilets with a space for a </w:t>
      </w:r>
      <w:r w:rsidRPr="008B1975">
        <w:rPr>
          <w:color w:val="000000" w:themeColor="text1"/>
        </w:rPr>
        <w:t>mobility aid to the left of the pan; and</w:t>
      </w:r>
    </w:p>
    <w:p w14:paraId="274480C9" w14:textId="77777777" w:rsidR="008D0C53" w:rsidRPr="008B1975" w:rsidRDefault="008D0C53" w:rsidP="008D0C53">
      <w:pPr>
        <w:pStyle w:val="paragraph"/>
      </w:pPr>
      <w:r w:rsidRPr="008B1975">
        <w:rPr>
          <w:color w:val="000000" w:themeColor="text1"/>
        </w:rPr>
        <w:tab/>
      </w:r>
      <w:r w:rsidR="00EF0A3A" w:rsidRPr="008B1975">
        <w:rPr>
          <w:color w:val="000000" w:themeColor="text1"/>
        </w:rPr>
        <w:t>(b)</w:t>
      </w:r>
      <w:r w:rsidRPr="008B1975">
        <w:rPr>
          <w:color w:val="000000" w:themeColor="text1"/>
        </w:rPr>
        <w:tab/>
        <w:t xml:space="preserve">toilets with a space for a mobility aid </w:t>
      </w:r>
      <w:r w:rsidRPr="008B1975">
        <w:t>to the right of the pan.</w:t>
      </w:r>
    </w:p>
    <w:p w14:paraId="0A0D60CF" w14:textId="77777777" w:rsidR="00181E60" w:rsidRPr="008B1975" w:rsidRDefault="00946DEA" w:rsidP="00946DEA">
      <w:pPr>
        <w:pStyle w:val="ItemHead"/>
      </w:pPr>
      <w:bookmarkStart w:id="210" w:name="_Ref185338595"/>
      <w:r w:rsidRPr="008B1975">
        <w:lastRenderedPageBreak/>
        <w:t xml:space="preserve">8  </w:t>
      </w:r>
      <w:r w:rsidR="00181E60" w:rsidRPr="008B1975">
        <w:t>Section 15.3 (table)</w:t>
      </w:r>
      <w:bookmarkEnd w:id="210"/>
    </w:p>
    <w:p w14:paraId="3E47AB1C" w14:textId="77777777" w:rsidR="00181E60" w:rsidRPr="008B1975" w:rsidRDefault="00181E60" w:rsidP="00181E60">
      <w:pPr>
        <w:pStyle w:val="Item"/>
      </w:pPr>
      <w:r w:rsidRPr="008B1975">
        <w:t>Repeal the table, substitute:</w:t>
      </w:r>
    </w:p>
    <w:p w14:paraId="5E7C16B4" w14:textId="77777777" w:rsidR="00181E60" w:rsidRPr="008B1975" w:rsidRDefault="00181E60" w:rsidP="00181E60">
      <w:pPr>
        <w:pStyle w:val="subsection"/>
      </w:pPr>
      <w:r w:rsidRPr="008B1975">
        <w:tab/>
        <w:t>(</w:t>
      </w:r>
      <w:r w:rsidR="00F13B63" w:rsidRPr="008B1975">
        <w:t>3</w:t>
      </w:r>
      <w:r w:rsidRPr="008B1975">
        <w:t>)</w:t>
      </w:r>
      <w:r w:rsidRPr="008B1975">
        <w:tab/>
        <w:t>The following table specifies conveyances, premises and infrastructure this section applies to.</w:t>
      </w:r>
    </w:p>
    <w:p w14:paraId="597FE6CF"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49E483B5"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1AC670DD" w14:textId="77777777" w:rsidR="00181E60" w:rsidRPr="008B1975" w:rsidRDefault="00181E60" w:rsidP="00DA693F">
            <w:pPr>
              <w:pStyle w:val="TableHeading"/>
            </w:pPr>
            <w:r w:rsidRPr="008B1975">
              <w:t>Application of this section</w:t>
            </w:r>
          </w:p>
        </w:tc>
      </w:tr>
      <w:tr w:rsidR="00181E60" w:rsidRPr="008B1975" w14:paraId="724D937D" w14:textId="77777777" w:rsidTr="00CC36E0">
        <w:trPr>
          <w:trHeight w:val="300"/>
          <w:tblHeader/>
        </w:trPr>
        <w:tc>
          <w:tcPr>
            <w:tcW w:w="1667" w:type="pct"/>
            <w:tcBorders>
              <w:top w:val="single" w:sz="6" w:space="0" w:color="auto"/>
              <w:left w:val="nil"/>
              <w:bottom w:val="single" w:sz="12" w:space="0" w:color="auto"/>
              <w:right w:val="nil"/>
            </w:tcBorders>
            <w:hideMark/>
          </w:tcPr>
          <w:p w14:paraId="5E9DA426"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60AF2723"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3A7D41AE" w14:textId="77777777" w:rsidR="00181E60" w:rsidRPr="008B1975" w:rsidRDefault="00181E60" w:rsidP="00DA693F">
            <w:pPr>
              <w:pStyle w:val="TableHeading"/>
            </w:pPr>
            <w:r w:rsidRPr="008B1975">
              <w:t>Infrastructure</w:t>
            </w:r>
          </w:p>
        </w:tc>
      </w:tr>
      <w:tr w:rsidR="00181E60" w:rsidRPr="008B1975" w14:paraId="7E87A6F9" w14:textId="77777777" w:rsidTr="00CC36E0">
        <w:trPr>
          <w:trHeight w:val="300"/>
        </w:trPr>
        <w:tc>
          <w:tcPr>
            <w:tcW w:w="1667" w:type="pct"/>
            <w:tcBorders>
              <w:top w:val="single" w:sz="12" w:space="0" w:color="auto"/>
              <w:left w:val="nil"/>
              <w:bottom w:val="single" w:sz="12" w:space="0" w:color="auto"/>
              <w:right w:val="nil"/>
            </w:tcBorders>
            <w:hideMark/>
          </w:tcPr>
          <w:p w14:paraId="2520161A" w14:textId="77777777" w:rsidR="00181E60" w:rsidRPr="008B1975" w:rsidRDefault="00181E60" w:rsidP="00181E60">
            <w:pPr>
              <w:pStyle w:val="Tabletext"/>
            </w:pPr>
            <w:r w:rsidRPr="008B1975">
              <w:t>The following:</w:t>
            </w:r>
          </w:p>
          <w:p w14:paraId="5AFCA84E" w14:textId="77777777" w:rsidR="00181E60" w:rsidRPr="008B1975" w:rsidRDefault="00181E60" w:rsidP="00181E60">
            <w:pPr>
              <w:pStyle w:val="Tablea"/>
            </w:pPr>
            <w:r w:rsidRPr="008B1975">
              <w:t>(a) ferries</w:t>
            </w:r>
            <w:r w:rsidR="001024C7" w:rsidRPr="008B1975">
              <w:t>;</w:t>
            </w:r>
          </w:p>
          <w:p w14:paraId="29D18F67" w14:textId="77777777" w:rsidR="00181E60" w:rsidRPr="008B1975" w:rsidRDefault="00181E60" w:rsidP="001024C7">
            <w:pPr>
              <w:pStyle w:val="Tablea"/>
            </w:pPr>
            <w:r w:rsidRPr="008B1975">
              <w:t>(b) accessible rail cars</w:t>
            </w:r>
          </w:p>
        </w:tc>
        <w:tc>
          <w:tcPr>
            <w:tcW w:w="1667" w:type="pct"/>
            <w:tcBorders>
              <w:top w:val="single" w:sz="12" w:space="0" w:color="auto"/>
              <w:left w:val="nil"/>
              <w:bottom w:val="single" w:sz="12" w:space="0" w:color="auto"/>
              <w:right w:val="nil"/>
            </w:tcBorders>
            <w:hideMark/>
          </w:tcPr>
          <w:p w14:paraId="67773ECD" w14:textId="77777777" w:rsidR="00181E60" w:rsidRPr="008B1975" w:rsidRDefault="00181E60"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64B13D40" w14:textId="77777777" w:rsidR="00181E60" w:rsidRPr="008B1975" w:rsidRDefault="00181E60" w:rsidP="00DA693F">
            <w:pPr>
              <w:pStyle w:val="Tabletext"/>
            </w:pPr>
            <w:r w:rsidRPr="008B1975">
              <w:t>None</w:t>
            </w:r>
          </w:p>
        </w:tc>
      </w:tr>
    </w:tbl>
    <w:p w14:paraId="351D9FC9" w14:textId="77777777" w:rsidR="00FB42CC" w:rsidRPr="008B1975" w:rsidRDefault="00946DEA" w:rsidP="00946DEA">
      <w:pPr>
        <w:pStyle w:val="ItemHead"/>
      </w:pPr>
      <w:bookmarkStart w:id="211" w:name="_Ref185275067"/>
      <w:bookmarkStart w:id="212" w:name="_Ref190175286"/>
      <w:r w:rsidRPr="008B1975">
        <w:t xml:space="preserve">9  </w:t>
      </w:r>
      <w:r w:rsidR="00FB42CC" w:rsidRPr="008B1975">
        <w:t>Subsection 15.4(2)</w:t>
      </w:r>
      <w:bookmarkEnd w:id="211"/>
      <w:bookmarkEnd w:id="212"/>
    </w:p>
    <w:p w14:paraId="4C87A947" w14:textId="77777777" w:rsidR="00FB42CC" w:rsidRPr="008B1975" w:rsidRDefault="00FB42CC" w:rsidP="00FB42CC">
      <w:pPr>
        <w:pStyle w:val="Item"/>
      </w:pPr>
      <w:r w:rsidRPr="008B1975">
        <w:t>Repeal the subsection, substitute:</w:t>
      </w:r>
    </w:p>
    <w:p w14:paraId="0B75D8AC" w14:textId="77777777" w:rsidR="00FB42CC" w:rsidRPr="008B1975" w:rsidRDefault="00FB42CC" w:rsidP="00FB42CC">
      <w:pPr>
        <w:pStyle w:val="subsection"/>
      </w:pPr>
      <w:r w:rsidRPr="008B1975">
        <w:tab/>
        <w:t>(2)</w:t>
      </w:r>
      <w:r w:rsidRPr="008B1975">
        <w:tab/>
        <w:t>The minimum dimension from the centre line of the pan to the near</w:t>
      </w:r>
      <w:r w:rsidRPr="008B1975">
        <w:noBreakHyphen/>
        <w:t>side wall must be 450 mm (figure 38 of AS 1428.1 (2009)).</w:t>
      </w:r>
    </w:p>
    <w:p w14:paraId="4305E3B9" w14:textId="77777777" w:rsidR="00FB42CC" w:rsidRPr="008B1975" w:rsidRDefault="00946DEA" w:rsidP="00946DEA">
      <w:pPr>
        <w:pStyle w:val="ItemHead"/>
      </w:pPr>
      <w:bookmarkStart w:id="213" w:name="_Ref185338655"/>
      <w:r w:rsidRPr="008B1975">
        <w:t xml:space="preserve">10  </w:t>
      </w:r>
      <w:r w:rsidR="00FB42CC" w:rsidRPr="008B1975">
        <w:t>Subsection 15.4(3)</w:t>
      </w:r>
      <w:bookmarkEnd w:id="213"/>
    </w:p>
    <w:p w14:paraId="53FE149C" w14:textId="77777777" w:rsidR="00FB42CC" w:rsidRPr="008B1975" w:rsidRDefault="00FB42CC" w:rsidP="00FB42CC">
      <w:pPr>
        <w:pStyle w:val="Item"/>
      </w:pPr>
      <w:r w:rsidRPr="008B1975">
        <w:t>Omit “be 1150 mm (</w:t>
      </w:r>
      <w:r w:rsidRPr="008B1975">
        <w:rPr>
          <w:b/>
        </w:rPr>
        <w:t>AS1428.1 (2001) Figure 22</w:t>
      </w:r>
      <w:r w:rsidRPr="008B1975">
        <w:t>)”, substitute “fall within the range of 1150 to 1450 mm”.</w:t>
      </w:r>
    </w:p>
    <w:p w14:paraId="55698DCC" w14:textId="77777777" w:rsidR="00FB42CC" w:rsidRPr="008B1975" w:rsidRDefault="00946DEA" w:rsidP="00946DEA">
      <w:pPr>
        <w:pStyle w:val="ItemHead"/>
      </w:pPr>
      <w:bookmarkStart w:id="214" w:name="_Ref185338657"/>
      <w:r w:rsidRPr="008B1975">
        <w:t xml:space="preserve">11  </w:t>
      </w:r>
      <w:r w:rsidR="00FB42CC" w:rsidRPr="008B1975">
        <w:t>Subsection 15.4(4)</w:t>
      </w:r>
      <w:bookmarkEnd w:id="214"/>
    </w:p>
    <w:p w14:paraId="4D719EE1" w14:textId="77777777" w:rsidR="00FB42CC" w:rsidRPr="008B1975" w:rsidRDefault="00FB42CC" w:rsidP="00FB42CC">
      <w:pPr>
        <w:pStyle w:val="Item"/>
      </w:pPr>
      <w:r w:rsidRPr="008B1975">
        <w:t>Omit “(</w:t>
      </w:r>
      <w:r w:rsidRPr="008B1975">
        <w:rPr>
          <w:b/>
        </w:rPr>
        <w:t>AS1428.1 (2001) Figure 22</w:t>
      </w:r>
      <w:r w:rsidRPr="008B1975">
        <w:t>)”, substitute “(figure 38 of AS 1428.1 (2009))”.</w:t>
      </w:r>
    </w:p>
    <w:p w14:paraId="1AE8FA6D" w14:textId="77777777" w:rsidR="00FB42CC" w:rsidRPr="008B1975" w:rsidRDefault="00946DEA" w:rsidP="00946DEA">
      <w:pPr>
        <w:pStyle w:val="ItemHead"/>
      </w:pPr>
      <w:bookmarkStart w:id="215" w:name="_Ref185338659"/>
      <w:r w:rsidRPr="008B1975">
        <w:t xml:space="preserve">12  </w:t>
      </w:r>
      <w:r w:rsidR="002A22ED" w:rsidRPr="008B1975">
        <w:t>S</w:t>
      </w:r>
      <w:r w:rsidR="00FB42CC" w:rsidRPr="008B1975">
        <w:t>ubsection 15.4(5)</w:t>
      </w:r>
      <w:bookmarkEnd w:id="215"/>
    </w:p>
    <w:p w14:paraId="76DBF585" w14:textId="77777777" w:rsidR="00FB42CC" w:rsidRPr="008B1975" w:rsidRDefault="00FB42CC" w:rsidP="00FB42CC">
      <w:pPr>
        <w:pStyle w:val="Item"/>
      </w:pPr>
      <w:r w:rsidRPr="008B1975">
        <w:t>Omit “(</w:t>
      </w:r>
      <w:r w:rsidRPr="008B1975">
        <w:rPr>
          <w:b/>
        </w:rPr>
        <w:t>AS1428.1 (2001) Figure 18</w:t>
      </w:r>
      <w:r w:rsidRPr="008B1975">
        <w:t>)”, substitute “(figure 38 of AS 1428.1 (2009))”.</w:t>
      </w:r>
    </w:p>
    <w:p w14:paraId="6F66EBEB" w14:textId="77777777" w:rsidR="00FB42CC" w:rsidRPr="008B1975" w:rsidRDefault="00946DEA" w:rsidP="00946DEA">
      <w:pPr>
        <w:pStyle w:val="ItemHead"/>
      </w:pPr>
      <w:bookmarkStart w:id="216" w:name="_Ref185275082"/>
      <w:r w:rsidRPr="008B1975">
        <w:t xml:space="preserve">13  </w:t>
      </w:r>
      <w:r w:rsidR="00FB42CC" w:rsidRPr="008B1975">
        <w:t>Subsection 15.4(6)</w:t>
      </w:r>
      <w:bookmarkEnd w:id="216"/>
    </w:p>
    <w:p w14:paraId="5A759945" w14:textId="77777777" w:rsidR="00FB42CC" w:rsidRPr="008B1975" w:rsidRDefault="00FB42CC" w:rsidP="00FB42CC">
      <w:pPr>
        <w:pStyle w:val="Item"/>
      </w:pPr>
      <w:r w:rsidRPr="008B1975">
        <w:t>Repeal the subsection, substitute:</w:t>
      </w:r>
    </w:p>
    <w:p w14:paraId="6C85D27E" w14:textId="77777777" w:rsidR="00FB42CC" w:rsidRPr="008B1975" w:rsidRDefault="00FB42CC" w:rsidP="00FB42CC">
      <w:pPr>
        <w:pStyle w:val="subsection"/>
      </w:pPr>
      <w:r w:rsidRPr="008B1975">
        <w:tab/>
        <w:t>(6)</w:t>
      </w:r>
      <w:r w:rsidRPr="008B1975">
        <w:tab/>
        <w:t>Hand washing facilities must be provided inside the toilet</w:t>
      </w:r>
      <w:r w:rsidR="005D59AE" w:rsidRPr="008B1975">
        <w:t xml:space="preserve"> cubicle</w:t>
      </w:r>
      <w:r w:rsidRPr="008B1975">
        <w:t xml:space="preserve"> (clause 15.2.10 of AS 1428.1 (2009) (Washbasins for unisex accessible sanitary facilities).</w:t>
      </w:r>
    </w:p>
    <w:p w14:paraId="64E91139" w14:textId="77777777" w:rsidR="00181E60" w:rsidRPr="008B1975" w:rsidRDefault="00946DEA" w:rsidP="00946DEA">
      <w:pPr>
        <w:pStyle w:val="ItemHead"/>
      </w:pPr>
      <w:bookmarkStart w:id="217" w:name="_Ref185275188"/>
      <w:r w:rsidRPr="008B1975">
        <w:t xml:space="preserve">14  </w:t>
      </w:r>
      <w:r w:rsidR="00181E60" w:rsidRPr="008B1975">
        <w:t>Section 15.4 (table)</w:t>
      </w:r>
      <w:bookmarkEnd w:id="217"/>
    </w:p>
    <w:p w14:paraId="5C46B5CF" w14:textId="77777777" w:rsidR="00181E60" w:rsidRPr="008B1975" w:rsidRDefault="00181E60" w:rsidP="00181E60">
      <w:pPr>
        <w:pStyle w:val="Item"/>
      </w:pPr>
      <w:r w:rsidRPr="008B1975">
        <w:t>Repeal the table, substitute:</w:t>
      </w:r>
    </w:p>
    <w:p w14:paraId="1FB9BAF1" w14:textId="77777777" w:rsidR="00181E60" w:rsidRPr="008B1975" w:rsidRDefault="00181E60" w:rsidP="00181E60">
      <w:pPr>
        <w:pStyle w:val="subsection"/>
      </w:pPr>
      <w:r w:rsidRPr="008B1975">
        <w:tab/>
        <w:t>(7)</w:t>
      </w:r>
      <w:r w:rsidRPr="008B1975">
        <w:tab/>
        <w:t>The following table specifies conveyances, premises and infrastructure this section applies to.</w:t>
      </w:r>
    </w:p>
    <w:p w14:paraId="334562E1"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7A17A496"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07EF157A" w14:textId="77777777" w:rsidR="00181E60" w:rsidRPr="008B1975" w:rsidRDefault="00181E60" w:rsidP="00DA693F">
            <w:pPr>
              <w:pStyle w:val="TableHeading"/>
            </w:pPr>
            <w:r w:rsidRPr="008B1975">
              <w:t>Application of this section</w:t>
            </w:r>
          </w:p>
        </w:tc>
      </w:tr>
      <w:tr w:rsidR="00181E60" w:rsidRPr="008B1975" w14:paraId="7B189745" w14:textId="77777777" w:rsidTr="00CC36E0">
        <w:trPr>
          <w:trHeight w:val="300"/>
          <w:tblHeader/>
        </w:trPr>
        <w:tc>
          <w:tcPr>
            <w:tcW w:w="1667" w:type="pct"/>
            <w:tcBorders>
              <w:top w:val="single" w:sz="6" w:space="0" w:color="auto"/>
              <w:left w:val="nil"/>
              <w:bottom w:val="single" w:sz="12" w:space="0" w:color="auto"/>
              <w:right w:val="nil"/>
            </w:tcBorders>
            <w:hideMark/>
          </w:tcPr>
          <w:p w14:paraId="78120254"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65F049D3"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4E4D007D" w14:textId="77777777" w:rsidR="00181E60" w:rsidRPr="008B1975" w:rsidRDefault="00181E60" w:rsidP="00DA693F">
            <w:pPr>
              <w:pStyle w:val="TableHeading"/>
            </w:pPr>
            <w:r w:rsidRPr="008B1975">
              <w:t>Infrastructure</w:t>
            </w:r>
          </w:p>
        </w:tc>
      </w:tr>
      <w:tr w:rsidR="00181E60" w:rsidRPr="008B1975" w14:paraId="39DB0750" w14:textId="77777777" w:rsidTr="00CC36E0">
        <w:trPr>
          <w:trHeight w:val="300"/>
        </w:trPr>
        <w:tc>
          <w:tcPr>
            <w:tcW w:w="1667" w:type="pct"/>
            <w:tcBorders>
              <w:top w:val="single" w:sz="12" w:space="0" w:color="auto"/>
              <w:left w:val="nil"/>
              <w:bottom w:val="single" w:sz="12" w:space="0" w:color="auto"/>
              <w:right w:val="nil"/>
            </w:tcBorders>
            <w:hideMark/>
          </w:tcPr>
          <w:p w14:paraId="7970266D" w14:textId="325B6DBB" w:rsidR="00181E60" w:rsidRPr="008B1975" w:rsidRDefault="00181E60" w:rsidP="00DA693F">
            <w:pPr>
              <w:pStyle w:val="Tabletext"/>
            </w:pPr>
            <w:r w:rsidRPr="008B1975">
              <w:t>The following:</w:t>
            </w:r>
          </w:p>
          <w:p w14:paraId="5E7F273F" w14:textId="77777777" w:rsidR="00181E60" w:rsidRPr="008B1975" w:rsidRDefault="00181E60" w:rsidP="00DA693F">
            <w:pPr>
              <w:pStyle w:val="Tablea"/>
            </w:pPr>
            <w:r w:rsidRPr="008B1975">
              <w:t>(a) ferries</w:t>
            </w:r>
            <w:r w:rsidR="001024C7" w:rsidRPr="008B1975">
              <w:t>;</w:t>
            </w:r>
          </w:p>
          <w:p w14:paraId="4F117B45" w14:textId="77777777" w:rsidR="00181E60" w:rsidRPr="008B1975" w:rsidRDefault="00181E60" w:rsidP="001024C7">
            <w:pPr>
              <w:pStyle w:val="Tablea"/>
            </w:pPr>
            <w:r w:rsidRPr="008B1975">
              <w:t>(b) accessible rail cars</w:t>
            </w:r>
          </w:p>
        </w:tc>
        <w:tc>
          <w:tcPr>
            <w:tcW w:w="1667" w:type="pct"/>
            <w:tcBorders>
              <w:top w:val="single" w:sz="12" w:space="0" w:color="auto"/>
              <w:left w:val="nil"/>
              <w:bottom w:val="single" w:sz="12" w:space="0" w:color="auto"/>
              <w:right w:val="nil"/>
            </w:tcBorders>
            <w:hideMark/>
          </w:tcPr>
          <w:p w14:paraId="6CB2E8AB" w14:textId="77777777" w:rsidR="00181E60" w:rsidRPr="008B1975" w:rsidRDefault="00181E60"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2694E9D3" w14:textId="77777777" w:rsidR="00181E60" w:rsidRPr="008B1975" w:rsidRDefault="00181E60" w:rsidP="00DA693F">
            <w:pPr>
              <w:pStyle w:val="Tabletext"/>
            </w:pPr>
            <w:r w:rsidRPr="008B1975">
              <w:t>None</w:t>
            </w:r>
          </w:p>
        </w:tc>
      </w:tr>
    </w:tbl>
    <w:p w14:paraId="22B462BA" w14:textId="77777777" w:rsidR="00181E60" w:rsidRPr="008B1975" w:rsidRDefault="00946DEA" w:rsidP="00946DEA">
      <w:pPr>
        <w:pStyle w:val="ItemHead"/>
      </w:pPr>
      <w:bookmarkStart w:id="218" w:name="_Ref185339186"/>
      <w:r w:rsidRPr="008B1975">
        <w:t xml:space="preserve">15  </w:t>
      </w:r>
      <w:r w:rsidR="00181E60" w:rsidRPr="008B1975">
        <w:t>Section 15.5 (table)</w:t>
      </w:r>
      <w:bookmarkEnd w:id="218"/>
    </w:p>
    <w:p w14:paraId="7D3C4B2A" w14:textId="77777777" w:rsidR="00181E60" w:rsidRPr="008B1975" w:rsidRDefault="00181E60" w:rsidP="00181E60">
      <w:pPr>
        <w:pStyle w:val="Item"/>
      </w:pPr>
      <w:r w:rsidRPr="008B1975">
        <w:t>Repeal the table, substitute:</w:t>
      </w:r>
    </w:p>
    <w:p w14:paraId="0D1C830C" w14:textId="77777777" w:rsidR="00181E60" w:rsidRPr="008B1975" w:rsidRDefault="00181E60" w:rsidP="00181E60">
      <w:pPr>
        <w:pStyle w:val="subsection"/>
      </w:pPr>
      <w:r w:rsidRPr="008B1975">
        <w:lastRenderedPageBreak/>
        <w:tab/>
        <w:t>(3)</w:t>
      </w:r>
      <w:r w:rsidRPr="008B1975">
        <w:tab/>
        <w:t>The following table specifies conveyances, premises and infrastructure this section applies to.</w:t>
      </w:r>
    </w:p>
    <w:p w14:paraId="19DC0F58"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44A71BD5"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2A456E59" w14:textId="77777777" w:rsidR="00181E60" w:rsidRPr="008B1975" w:rsidRDefault="00181E60" w:rsidP="00DA693F">
            <w:pPr>
              <w:pStyle w:val="TableHeading"/>
            </w:pPr>
            <w:r w:rsidRPr="008B1975">
              <w:t>Application of this section</w:t>
            </w:r>
          </w:p>
        </w:tc>
      </w:tr>
      <w:tr w:rsidR="00181E60" w:rsidRPr="008B1975" w14:paraId="55F213B3" w14:textId="77777777" w:rsidTr="00CC36E0">
        <w:trPr>
          <w:trHeight w:val="300"/>
          <w:tblHeader/>
        </w:trPr>
        <w:tc>
          <w:tcPr>
            <w:tcW w:w="1667" w:type="pct"/>
            <w:tcBorders>
              <w:top w:val="single" w:sz="6" w:space="0" w:color="auto"/>
              <w:left w:val="nil"/>
              <w:bottom w:val="single" w:sz="12" w:space="0" w:color="auto"/>
              <w:right w:val="nil"/>
            </w:tcBorders>
            <w:hideMark/>
          </w:tcPr>
          <w:p w14:paraId="59E38980"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091EEC83"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02641E7B" w14:textId="77777777" w:rsidR="00181E60" w:rsidRPr="008B1975" w:rsidRDefault="00181E60" w:rsidP="00DA693F">
            <w:pPr>
              <w:pStyle w:val="TableHeading"/>
            </w:pPr>
            <w:r w:rsidRPr="008B1975">
              <w:t>Infrastructure</w:t>
            </w:r>
          </w:p>
        </w:tc>
      </w:tr>
      <w:tr w:rsidR="00181E60" w:rsidRPr="008B1975" w14:paraId="5908026E" w14:textId="77777777" w:rsidTr="00CC36E0">
        <w:trPr>
          <w:trHeight w:val="300"/>
        </w:trPr>
        <w:tc>
          <w:tcPr>
            <w:tcW w:w="1667" w:type="pct"/>
            <w:tcBorders>
              <w:top w:val="single" w:sz="12" w:space="0" w:color="auto"/>
              <w:left w:val="nil"/>
              <w:bottom w:val="single" w:sz="12" w:space="0" w:color="auto"/>
              <w:right w:val="nil"/>
            </w:tcBorders>
            <w:hideMark/>
          </w:tcPr>
          <w:p w14:paraId="42EA8AA7" w14:textId="77777777" w:rsidR="00181E60" w:rsidRPr="008B1975" w:rsidRDefault="00181E60" w:rsidP="001024C7">
            <w:pPr>
              <w:pStyle w:val="Tabletext"/>
            </w:pPr>
            <w:r w:rsidRPr="008B1975">
              <w:t>Wide-body twin-aisle aircraft</w:t>
            </w:r>
          </w:p>
        </w:tc>
        <w:tc>
          <w:tcPr>
            <w:tcW w:w="1667" w:type="pct"/>
            <w:tcBorders>
              <w:top w:val="single" w:sz="12" w:space="0" w:color="auto"/>
              <w:left w:val="nil"/>
              <w:bottom w:val="single" w:sz="12" w:space="0" w:color="auto"/>
              <w:right w:val="nil"/>
            </w:tcBorders>
            <w:hideMark/>
          </w:tcPr>
          <w:p w14:paraId="3AD6043B" w14:textId="77777777" w:rsidR="00181E60" w:rsidRPr="008B1975" w:rsidRDefault="00181E60" w:rsidP="001024C7">
            <w:pPr>
              <w:pStyle w:val="Tabletext"/>
            </w:pPr>
            <w:r w:rsidRPr="008B1975">
              <w:t>None</w:t>
            </w:r>
          </w:p>
        </w:tc>
        <w:tc>
          <w:tcPr>
            <w:tcW w:w="1667" w:type="pct"/>
            <w:tcBorders>
              <w:top w:val="single" w:sz="12" w:space="0" w:color="auto"/>
              <w:left w:val="nil"/>
              <w:bottom w:val="single" w:sz="12" w:space="0" w:color="auto"/>
              <w:right w:val="nil"/>
            </w:tcBorders>
            <w:hideMark/>
          </w:tcPr>
          <w:p w14:paraId="3F6D23ED" w14:textId="77777777" w:rsidR="00181E60" w:rsidRPr="008B1975" w:rsidRDefault="00181E60" w:rsidP="001024C7">
            <w:pPr>
              <w:pStyle w:val="Tabletext"/>
            </w:pPr>
            <w:r w:rsidRPr="008B1975">
              <w:t>None</w:t>
            </w:r>
          </w:p>
        </w:tc>
      </w:tr>
    </w:tbl>
    <w:p w14:paraId="23520CCE" w14:textId="77777777" w:rsidR="00181E60" w:rsidRPr="008B1975" w:rsidRDefault="00946DEA" w:rsidP="00946DEA">
      <w:pPr>
        <w:pStyle w:val="ItemHead"/>
      </w:pPr>
      <w:bookmarkStart w:id="219" w:name="_Ref185339188"/>
      <w:r w:rsidRPr="008B1975">
        <w:t xml:space="preserve">16  </w:t>
      </w:r>
      <w:r w:rsidR="00181E60" w:rsidRPr="008B1975">
        <w:t>Section 15.6</w:t>
      </w:r>
      <w:bookmarkEnd w:id="219"/>
    </w:p>
    <w:p w14:paraId="1DC20252" w14:textId="77777777" w:rsidR="00181E60" w:rsidRPr="008B1975" w:rsidRDefault="00181E60" w:rsidP="00181E60">
      <w:pPr>
        <w:pStyle w:val="Item"/>
      </w:pPr>
      <w:r w:rsidRPr="008B1975">
        <w:t>Before “If”, insert “(1)”.</w:t>
      </w:r>
    </w:p>
    <w:p w14:paraId="36DFC235" w14:textId="77777777" w:rsidR="00181E60" w:rsidRPr="008B1975" w:rsidRDefault="00946DEA" w:rsidP="00946DEA">
      <w:pPr>
        <w:pStyle w:val="ItemHead"/>
      </w:pPr>
      <w:bookmarkStart w:id="220" w:name="_Ref185275202"/>
      <w:r w:rsidRPr="008B1975">
        <w:t xml:space="preserve">17  </w:t>
      </w:r>
      <w:r w:rsidR="00181E60" w:rsidRPr="008B1975">
        <w:t>Section 15.6 (table)</w:t>
      </w:r>
      <w:bookmarkEnd w:id="220"/>
    </w:p>
    <w:p w14:paraId="412A2A7E" w14:textId="77777777" w:rsidR="00181E60" w:rsidRPr="008B1975" w:rsidRDefault="00181E60" w:rsidP="00181E60">
      <w:pPr>
        <w:pStyle w:val="Item"/>
      </w:pPr>
      <w:r w:rsidRPr="008B1975">
        <w:t>Repeal the table, substitute:</w:t>
      </w:r>
    </w:p>
    <w:p w14:paraId="09AD094E" w14:textId="77777777" w:rsidR="00181E60" w:rsidRPr="008B1975" w:rsidRDefault="00181E60" w:rsidP="00181E60">
      <w:pPr>
        <w:pStyle w:val="subsection"/>
      </w:pPr>
      <w:r w:rsidRPr="008B1975">
        <w:tab/>
        <w:t>(2)</w:t>
      </w:r>
      <w:r w:rsidRPr="008B1975">
        <w:tab/>
        <w:t>The following table specifies conveyances, premises and infrastructure this section applies to.</w:t>
      </w:r>
    </w:p>
    <w:p w14:paraId="4E4AAD88"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1398B74D"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21F01D17" w14:textId="77777777" w:rsidR="00181E60" w:rsidRPr="008B1975" w:rsidRDefault="00181E60" w:rsidP="00DA693F">
            <w:pPr>
              <w:pStyle w:val="TableHeading"/>
            </w:pPr>
            <w:r w:rsidRPr="008B1975">
              <w:t>Application of this section</w:t>
            </w:r>
          </w:p>
        </w:tc>
      </w:tr>
      <w:tr w:rsidR="00181E60" w:rsidRPr="008B1975" w14:paraId="3871CE4A" w14:textId="77777777" w:rsidTr="00CC36E0">
        <w:trPr>
          <w:trHeight w:val="300"/>
          <w:tblHeader/>
        </w:trPr>
        <w:tc>
          <w:tcPr>
            <w:tcW w:w="1667" w:type="pct"/>
            <w:tcBorders>
              <w:top w:val="single" w:sz="6" w:space="0" w:color="auto"/>
              <w:left w:val="nil"/>
              <w:bottom w:val="single" w:sz="12" w:space="0" w:color="auto"/>
              <w:right w:val="nil"/>
            </w:tcBorders>
            <w:hideMark/>
          </w:tcPr>
          <w:p w14:paraId="64BCC46F"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38C8D0C2"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0AFD74AD" w14:textId="77777777" w:rsidR="00181E60" w:rsidRPr="008B1975" w:rsidRDefault="00181E60" w:rsidP="00DA693F">
            <w:pPr>
              <w:pStyle w:val="TableHeading"/>
            </w:pPr>
            <w:r w:rsidRPr="008B1975">
              <w:t>Infrastructure</w:t>
            </w:r>
          </w:p>
        </w:tc>
      </w:tr>
      <w:tr w:rsidR="00181E60" w:rsidRPr="008B1975" w14:paraId="68A2EB09" w14:textId="77777777" w:rsidTr="00CC36E0">
        <w:trPr>
          <w:trHeight w:val="300"/>
        </w:trPr>
        <w:tc>
          <w:tcPr>
            <w:tcW w:w="1667" w:type="pct"/>
            <w:tcBorders>
              <w:top w:val="single" w:sz="12" w:space="0" w:color="auto"/>
              <w:left w:val="nil"/>
              <w:bottom w:val="single" w:sz="12" w:space="0" w:color="auto"/>
              <w:right w:val="nil"/>
            </w:tcBorders>
            <w:hideMark/>
          </w:tcPr>
          <w:p w14:paraId="0103C4A1" w14:textId="77777777" w:rsidR="00181E60" w:rsidRPr="008B1975" w:rsidRDefault="00D90E96" w:rsidP="001024C7">
            <w:pPr>
              <w:pStyle w:val="Tablea"/>
            </w:pPr>
            <w:r w:rsidRPr="008B1975">
              <w:t>Coaches</w:t>
            </w:r>
          </w:p>
        </w:tc>
        <w:tc>
          <w:tcPr>
            <w:tcW w:w="1667" w:type="pct"/>
            <w:tcBorders>
              <w:top w:val="single" w:sz="12" w:space="0" w:color="auto"/>
              <w:left w:val="nil"/>
              <w:bottom w:val="single" w:sz="12" w:space="0" w:color="auto"/>
              <w:right w:val="nil"/>
            </w:tcBorders>
            <w:hideMark/>
          </w:tcPr>
          <w:p w14:paraId="089AFC81" w14:textId="77777777" w:rsidR="00181E60" w:rsidRPr="008B1975" w:rsidRDefault="00181E60"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3CD59431" w14:textId="77777777" w:rsidR="00181E60" w:rsidRPr="008B1975" w:rsidRDefault="00181E60" w:rsidP="00DA693F">
            <w:pPr>
              <w:pStyle w:val="Tabletext"/>
            </w:pPr>
            <w:r w:rsidRPr="008B1975">
              <w:t>None</w:t>
            </w:r>
          </w:p>
        </w:tc>
      </w:tr>
    </w:tbl>
    <w:p w14:paraId="4D1FA883" w14:textId="77777777" w:rsidR="00824838" w:rsidRPr="008B1975" w:rsidRDefault="00824838" w:rsidP="00824838">
      <w:pPr>
        <w:pStyle w:val="ActHead6"/>
        <w:pageBreakBefore/>
      </w:pPr>
      <w:bookmarkStart w:id="221" w:name="_Toc197178960"/>
      <w:r w:rsidRPr="008B1975">
        <w:lastRenderedPageBreak/>
        <w:t>Schedule 16—</w:t>
      </w:r>
      <w:r w:rsidRPr="008B1975">
        <w:rPr>
          <w:rStyle w:val="CharAmSchText"/>
        </w:rPr>
        <w:t>P</w:t>
      </w:r>
      <w:r w:rsidRPr="008B1975">
        <w:t>art 16 (Symbols) Amendments</w:t>
      </w:r>
      <w:bookmarkEnd w:id="221"/>
    </w:p>
    <w:p w14:paraId="5290872D" w14:textId="77777777" w:rsidR="00824838" w:rsidRPr="008B1975" w:rsidRDefault="00824838" w:rsidP="00824838">
      <w:pPr>
        <w:pStyle w:val="ActHead9"/>
      </w:pPr>
      <w:bookmarkStart w:id="222" w:name="_Toc197178961"/>
      <w:r w:rsidRPr="008B1975">
        <w:t>Disability Standards for Accessible Public Transport 2002</w:t>
      </w:r>
      <w:bookmarkEnd w:id="222"/>
    </w:p>
    <w:p w14:paraId="0D9E9E2B" w14:textId="77777777" w:rsidR="00FB42CC" w:rsidRPr="008B1975" w:rsidRDefault="00946DEA" w:rsidP="00946DEA">
      <w:pPr>
        <w:pStyle w:val="ItemHead"/>
      </w:pPr>
      <w:bookmarkStart w:id="223" w:name="_Ref185275231"/>
      <w:r w:rsidRPr="008B1975">
        <w:t xml:space="preserve">1  </w:t>
      </w:r>
      <w:r w:rsidR="00FB42CC" w:rsidRPr="008B1975">
        <w:t>Section 16.1</w:t>
      </w:r>
      <w:bookmarkEnd w:id="223"/>
    </w:p>
    <w:p w14:paraId="1926A2C7" w14:textId="77777777" w:rsidR="00FB42CC" w:rsidRPr="008B1975" w:rsidRDefault="00FB42CC" w:rsidP="00FB42CC">
      <w:pPr>
        <w:pStyle w:val="Item"/>
      </w:pPr>
      <w:r w:rsidRPr="008B1975">
        <w:t>Repeal the section, substitute:</w:t>
      </w:r>
    </w:p>
    <w:p w14:paraId="7A3F66E2" w14:textId="77777777" w:rsidR="00FB42CC" w:rsidRPr="008B1975" w:rsidRDefault="00FB42CC" w:rsidP="006202EA">
      <w:pPr>
        <w:pStyle w:val="ActHead5"/>
        <w:outlineLvl w:val="9"/>
      </w:pPr>
      <w:r w:rsidRPr="008B1975">
        <w:t>16.1  International symbols for accessibility and deafness</w:t>
      </w:r>
    </w:p>
    <w:p w14:paraId="6D5AEDF3" w14:textId="77777777" w:rsidR="00FB42CC" w:rsidRPr="008B1975" w:rsidRDefault="00FB42CC" w:rsidP="00FB42CC">
      <w:pPr>
        <w:pStyle w:val="subsection"/>
      </w:pPr>
      <w:r w:rsidRPr="008B1975">
        <w:tab/>
        <w:t>(1)</w:t>
      </w:r>
      <w:r w:rsidRPr="008B1975">
        <w:tab/>
        <w:t>Both of the following symbols must be used to identify access paths</w:t>
      </w:r>
      <w:r w:rsidR="00C45EDF" w:rsidRPr="008B1975">
        <w:t xml:space="preserve"> and accessible</w:t>
      </w:r>
      <w:r w:rsidRPr="008B1975">
        <w:t xml:space="preserve"> facilities and boarding points:</w:t>
      </w:r>
    </w:p>
    <w:p w14:paraId="54677B3D" w14:textId="77777777" w:rsidR="00FB42CC" w:rsidRPr="008B1975" w:rsidRDefault="00FB42CC" w:rsidP="00FB42CC">
      <w:pPr>
        <w:pStyle w:val="paragraph"/>
      </w:pPr>
      <w:r w:rsidRPr="008B1975">
        <w:tab/>
        <w:t>(a)</w:t>
      </w:r>
      <w:r w:rsidRPr="008B1975">
        <w:tab/>
        <w:t>the international symbol of access in a form that satisfies the requirements in paragraphs 5.2.1(a), (b) and (d) of AS 1428.1 (2021)</w:t>
      </w:r>
      <w:r w:rsidR="00E43ECF" w:rsidRPr="008B1975">
        <w:t>;</w:t>
      </w:r>
    </w:p>
    <w:p w14:paraId="20EFA5A9" w14:textId="77777777" w:rsidR="00FB42CC" w:rsidRPr="008B1975" w:rsidRDefault="00FB42CC" w:rsidP="00FB42CC">
      <w:pPr>
        <w:pStyle w:val="paragraph"/>
      </w:pPr>
      <w:r w:rsidRPr="008B1975">
        <w:tab/>
        <w:t>(b)</w:t>
      </w:r>
      <w:r w:rsidRPr="008B1975">
        <w:tab/>
        <w:t>the international symbol for deafness in a form that satisfies the requirements in paragraphs 5.2.2(a), (b) and (d) of AS 1428.1 (2021).</w:t>
      </w:r>
    </w:p>
    <w:p w14:paraId="24B2F759" w14:textId="77777777" w:rsidR="00FB42CC" w:rsidRPr="008B1975" w:rsidRDefault="00FB42CC" w:rsidP="00FB42CC">
      <w:pPr>
        <w:pStyle w:val="notetext"/>
      </w:pPr>
      <w:r w:rsidRPr="008B1975">
        <w:t>Note:</w:t>
      </w:r>
      <w:r w:rsidRPr="008B1975">
        <w:tab/>
        <w:t>The symbols, however, do not have to satisfy the colour requirements provided by paragraphs 5.2.1(c) and 5.2.2(c) of AS 1428.1 (2021).</w:t>
      </w:r>
    </w:p>
    <w:p w14:paraId="00C7D898" w14:textId="77777777" w:rsidR="00FB42CC" w:rsidRPr="008B1975" w:rsidRDefault="00FB42CC" w:rsidP="00FB42CC">
      <w:pPr>
        <w:pStyle w:val="subsection"/>
      </w:pPr>
      <w:r w:rsidRPr="008B1975">
        <w:tab/>
        <w:t>(2)</w:t>
      </w:r>
      <w:r w:rsidRPr="008B1975">
        <w:tab/>
        <w:t>If the symbols are provided as part of a fixed sign, the size of the symbol on that sign must:</w:t>
      </w:r>
    </w:p>
    <w:p w14:paraId="0DCCE8BB" w14:textId="51A2FCAF" w:rsidR="00FB42CC" w:rsidRPr="008B1975" w:rsidRDefault="00FB42CC" w:rsidP="00FB42CC">
      <w:pPr>
        <w:pStyle w:val="paragraph"/>
      </w:pPr>
      <w:r w:rsidRPr="008B1975">
        <w:tab/>
        <w:t>(a)</w:t>
      </w:r>
      <w:r w:rsidRPr="008B1975">
        <w:tab/>
        <w:t>be an appropriate size to be viewed from a distance by a person who may be seeking to use the access path, facility or boarding point identified by the symbols</w:t>
      </w:r>
      <w:r w:rsidR="0035685F" w:rsidRPr="008B1975">
        <w:t>;</w:t>
      </w:r>
      <w:r w:rsidR="004E6262" w:rsidRPr="008B1975">
        <w:t xml:space="preserve"> and</w:t>
      </w:r>
    </w:p>
    <w:p w14:paraId="0909198B" w14:textId="77777777" w:rsidR="00FB42CC" w:rsidRPr="008B1975" w:rsidRDefault="00FB42CC" w:rsidP="00FB42CC">
      <w:pPr>
        <w:pStyle w:val="paragraph"/>
      </w:pPr>
      <w:r w:rsidRPr="008B1975">
        <w:tab/>
        <w:t>(b)</w:t>
      </w:r>
      <w:r w:rsidRPr="008B1975">
        <w:tab/>
        <w:t xml:space="preserve">have a minimum height and length of </w:t>
      </w:r>
      <w:r w:rsidR="00741500" w:rsidRPr="008B1975">
        <w:t>6</w:t>
      </w:r>
      <w:r w:rsidRPr="008B1975">
        <w:t>0</w:t>
      </w:r>
      <w:r w:rsidR="00741500" w:rsidRPr="008B1975">
        <w:t xml:space="preserve"> </w:t>
      </w:r>
      <w:r w:rsidRPr="008B1975">
        <w:t>mm.</w:t>
      </w:r>
    </w:p>
    <w:p w14:paraId="3D258CAD" w14:textId="77777777" w:rsidR="00FB42CC" w:rsidRPr="008B1975" w:rsidRDefault="00FB42CC" w:rsidP="00FB42CC">
      <w:pPr>
        <w:pStyle w:val="subsection"/>
      </w:pPr>
      <w:r w:rsidRPr="008B1975">
        <w:tab/>
        <w:t>(3)</w:t>
      </w:r>
      <w:r w:rsidRPr="008B1975">
        <w:tab/>
        <w:t>The following table specifies conveyances, premises and infrastructure this section applies to.</w:t>
      </w:r>
    </w:p>
    <w:p w14:paraId="64929A41" w14:textId="77777777" w:rsidR="00FB42CC" w:rsidRPr="008B1975" w:rsidRDefault="00FB42CC" w:rsidP="00FB42C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6A72204B"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6734AA32" w14:textId="77777777" w:rsidR="00FB42CC" w:rsidRPr="008B1975" w:rsidRDefault="00FB42CC" w:rsidP="00FB42CC">
            <w:pPr>
              <w:pStyle w:val="TableHeading"/>
            </w:pPr>
            <w:r w:rsidRPr="008B1975">
              <w:t>Application of this section</w:t>
            </w:r>
          </w:p>
        </w:tc>
      </w:tr>
      <w:tr w:rsidR="00FB42CC" w:rsidRPr="008B1975" w14:paraId="75589B82" w14:textId="77777777" w:rsidTr="00CC36E0">
        <w:trPr>
          <w:trHeight w:val="300"/>
          <w:tblHeader/>
        </w:trPr>
        <w:tc>
          <w:tcPr>
            <w:tcW w:w="1667" w:type="pct"/>
            <w:tcBorders>
              <w:top w:val="single" w:sz="6" w:space="0" w:color="auto"/>
              <w:left w:val="nil"/>
              <w:bottom w:val="single" w:sz="12" w:space="0" w:color="auto"/>
              <w:right w:val="nil"/>
            </w:tcBorders>
            <w:hideMark/>
          </w:tcPr>
          <w:p w14:paraId="374DDF2C" w14:textId="77777777" w:rsidR="00FB42CC" w:rsidRPr="008B1975" w:rsidRDefault="00FB42CC" w:rsidP="00FB42CC">
            <w:pPr>
              <w:pStyle w:val="TableHeading"/>
            </w:pPr>
            <w:r w:rsidRPr="008B1975">
              <w:t>Conveyances</w:t>
            </w:r>
          </w:p>
        </w:tc>
        <w:tc>
          <w:tcPr>
            <w:tcW w:w="1667" w:type="pct"/>
            <w:tcBorders>
              <w:top w:val="single" w:sz="6" w:space="0" w:color="auto"/>
              <w:left w:val="nil"/>
              <w:bottom w:val="single" w:sz="12" w:space="0" w:color="auto"/>
              <w:right w:val="nil"/>
            </w:tcBorders>
            <w:hideMark/>
          </w:tcPr>
          <w:p w14:paraId="4177737A" w14:textId="77777777" w:rsidR="00FB42CC" w:rsidRPr="008B1975" w:rsidRDefault="00FB42CC" w:rsidP="00FB42CC">
            <w:pPr>
              <w:pStyle w:val="TableHeading"/>
            </w:pPr>
            <w:r w:rsidRPr="008B1975">
              <w:t>Premises</w:t>
            </w:r>
          </w:p>
        </w:tc>
        <w:tc>
          <w:tcPr>
            <w:tcW w:w="1667" w:type="pct"/>
            <w:tcBorders>
              <w:top w:val="single" w:sz="6" w:space="0" w:color="auto"/>
              <w:left w:val="nil"/>
              <w:bottom w:val="single" w:sz="12" w:space="0" w:color="auto"/>
              <w:right w:val="nil"/>
            </w:tcBorders>
            <w:hideMark/>
          </w:tcPr>
          <w:p w14:paraId="1E95D6A8" w14:textId="77777777" w:rsidR="00FB42CC" w:rsidRPr="008B1975" w:rsidRDefault="00FB42CC" w:rsidP="00FB42CC">
            <w:pPr>
              <w:pStyle w:val="TableHeading"/>
            </w:pPr>
            <w:r w:rsidRPr="008B1975">
              <w:t>Infrastructure</w:t>
            </w:r>
          </w:p>
        </w:tc>
      </w:tr>
      <w:tr w:rsidR="00FB42CC" w:rsidRPr="008B1975" w14:paraId="2A1F3201" w14:textId="77777777" w:rsidTr="00CC36E0">
        <w:trPr>
          <w:trHeight w:val="300"/>
        </w:trPr>
        <w:tc>
          <w:tcPr>
            <w:tcW w:w="1667" w:type="pct"/>
            <w:tcBorders>
              <w:top w:val="single" w:sz="12" w:space="0" w:color="auto"/>
              <w:left w:val="nil"/>
              <w:bottom w:val="single" w:sz="12" w:space="0" w:color="auto"/>
              <w:right w:val="nil"/>
            </w:tcBorders>
            <w:hideMark/>
          </w:tcPr>
          <w:p w14:paraId="6352B812" w14:textId="77777777" w:rsidR="00FB42CC" w:rsidRPr="008B1975" w:rsidRDefault="00FB42CC" w:rsidP="00FB42CC">
            <w:pPr>
              <w:pStyle w:val="Tabletext"/>
            </w:pPr>
            <w:r w:rsidRPr="008B1975">
              <w:t>All</w:t>
            </w:r>
          </w:p>
        </w:tc>
        <w:tc>
          <w:tcPr>
            <w:tcW w:w="1667" w:type="pct"/>
            <w:tcBorders>
              <w:top w:val="single" w:sz="12" w:space="0" w:color="auto"/>
              <w:left w:val="nil"/>
              <w:bottom w:val="single" w:sz="12" w:space="0" w:color="auto"/>
              <w:right w:val="nil"/>
            </w:tcBorders>
            <w:hideMark/>
          </w:tcPr>
          <w:p w14:paraId="776C6F77" w14:textId="77777777" w:rsidR="00FB42CC" w:rsidRPr="008B1975" w:rsidRDefault="00FB42CC" w:rsidP="00FB42C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15FD1BC6" w14:textId="77777777" w:rsidR="00FB42CC" w:rsidRPr="008B1975" w:rsidRDefault="00FB42CC" w:rsidP="00FB42CC">
            <w:pPr>
              <w:pStyle w:val="Tabletext"/>
            </w:pPr>
            <w:r w:rsidRPr="008B1975">
              <w:t>All</w:t>
            </w:r>
          </w:p>
        </w:tc>
      </w:tr>
    </w:tbl>
    <w:p w14:paraId="09CE1740" w14:textId="77777777" w:rsidR="00FB42CC" w:rsidRPr="008B1975" w:rsidRDefault="00946DEA" w:rsidP="00946DEA">
      <w:pPr>
        <w:pStyle w:val="ItemHead"/>
      </w:pPr>
      <w:bookmarkStart w:id="224" w:name="_Ref185275254"/>
      <w:r w:rsidRPr="008B1975">
        <w:t xml:space="preserve">2  </w:t>
      </w:r>
      <w:r w:rsidR="00FB42CC" w:rsidRPr="008B1975">
        <w:t>Section 16.2</w:t>
      </w:r>
      <w:bookmarkEnd w:id="224"/>
    </w:p>
    <w:p w14:paraId="425E9F48" w14:textId="77777777" w:rsidR="00FB42CC" w:rsidRPr="008B1975" w:rsidRDefault="00FB42CC" w:rsidP="00FB42CC">
      <w:pPr>
        <w:pStyle w:val="Item"/>
      </w:pPr>
      <w:r w:rsidRPr="008B1975">
        <w:t>Repeal the section, substitute:</w:t>
      </w:r>
    </w:p>
    <w:p w14:paraId="43116D5D" w14:textId="77777777" w:rsidR="00FB42CC" w:rsidRPr="008B1975" w:rsidRDefault="00FB42CC" w:rsidP="006202EA">
      <w:pPr>
        <w:pStyle w:val="ActHead5"/>
        <w:outlineLvl w:val="9"/>
      </w:pPr>
      <w:r w:rsidRPr="008B1975">
        <w:t>16.2  Graphical symbols for public information from ISO 7001 must be used</w:t>
      </w:r>
    </w:p>
    <w:p w14:paraId="0E9D6B52" w14:textId="77777777" w:rsidR="00FB42CC" w:rsidRPr="008B1975" w:rsidRDefault="00FB42CC" w:rsidP="00FB42CC">
      <w:pPr>
        <w:pStyle w:val="subsection"/>
      </w:pPr>
      <w:r w:rsidRPr="008B1975">
        <w:tab/>
        <w:t>(1)</w:t>
      </w:r>
      <w:r w:rsidRPr="008B1975">
        <w:tab/>
        <w:t>The graphical symbols for the purposes of public information specified in ISO 7001 must be used.</w:t>
      </w:r>
    </w:p>
    <w:p w14:paraId="482AD6CB" w14:textId="77777777" w:rsidR="00FB42CC" w:rsidRPr="008B1975" w:rsidRDefault="00FB42CC" w:rsidP="00FB42CC">
      <w:pPr>
        <w:pStyle w:val="subsection"/>
      </w:pPr>
      <w:r w:rsidRPr="008B1975">
        <w:tab/>
        <w:t>(2)</w:t>
      </w:r>
      <w:r w:rsidRPr="008B1975">
        <w:tab/>
        <w:t>The following table specifies conveyances, premises and infrastructure this section applies to.</w:t>
      </w:r>
    </w:p>
    <w:p w14:paraId="2E7F17D1" w14:textId="77777777" w:rsidR="00FB42CC" w:rsidRPr="008B1975" w:rsidRDefault="00FB42CC" w:rsidP="00FB42CC">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0661CA21"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5CC1803F" w14:textId="77777777" w:rsidR="00FB42CC" w:rsidRPr="008B1975" w:rsidRDefault="00FB42CC" w:rsidP="00FB42CC">
            <w:pPr>
              <w:pStyle w:val="TableHeading"/>
            </w:pPr>
            <w:r w:rsidRPr="008B1975">
              <w:t>Application of this section</w:t>
            </w:r>
          </w:p>
        </w:tc>
      </w:tr>
      <w:tr w:rsidR="00FB42CC" w:rsidRPr="008B1975" w14:paraId="1DF7CB8C" w14:textId="77777777" w:rsidTr="00CC36E0">
        <w:trPr>
          <w:trHeight w:val="300"/>
          <w:tblHeader/>
        </w:trPr>
        <w:tc>
          <w:tcPr>
            <w:tcW w:w="1667" w:type="pct"/>
            <w:tcBorders>
              <w:top w:val="single" w:sz="6" w:space="0" w:color="auto"/>
              <w:left w:val="nil"/>
              <w:bottom w:val="single" w:sz="12" w:space="0" w:color="auto"/>
              <w:right w:val="nil"/>
            </w:tcBorders>
            <w:hideMark/>
          </w:tcPr>
          <w:p w14:paraId="70941446" w14:textId="77777777" w:rsidR="00FB42CC" w:rsidRPr="008B1975" w:rsidRDefault="00FB42CC" w:rsidP="00FB42CC">
            <w:pPr>
              <w:pStyle w:val="TableHeading"/>
            </w:pPr>
            <w:r w:rsidRPr="008B1975">
              <w:t>Conveyances</w:t>
            </w:r>
          </w:p>
        </w:tc>
        <w:tc>
          <w:tcPr>
            <w:tcW w:w="1667" w:type="pct"/>
            <w:tcBorders>
              <w:top w:val="single" w:sz="6" w:space="0" w:color="auto"/>
              <w:left w:val="nil"/>
              <w:bottom w:val="single" w:sz="12" w:space="0" w:color="auto"/>
              <w:right w:val="nil"/>
            </w:tcBorders>
            <w:hideMark/>
          </w:tcPr>
          <w:p w14:paraId="7BDABBC9" w14:textId="77777777" w:rsidR="00FB42CC" w:rsidRPr="008B1975" w:rsidRDefault="00FB42CC" w:rsidP="00FB42CC">
            <w:pPr>
              <w:pStyle w:val="TableHeading"/>
            </w:pPr>
            <w:r w:rsidRPr="008B1975">
              <w:t>Premises</w:t>
            </w:r>
          </w:p>
        </w:tc>
        <w:tc>
          <w:tcPr>
            <w:tcW w:w="1667" w:type="pct"/>
            <w:tcBorders>
              <w:top w:val="single" w:sz="6" w:space="0" w:color="auto"/>
              <w:left w:val="nil"/>
              <w:bottom w:val="single" w:sz="12" w:space="0" w:color="auto"/>
              <w:right w:val="nil"/>
            </w:tcBorders>
            <w:hideMark/>
          </w:tcPr>
          <w:p w14:paraId="1162FFB0" w14:textId="77777777" w:rsidR="00FB42CC" w:rsidRPr="008B1975" w:rsidRDefault="00FB42CC" w:rsidP="00FB42CC">
            <w:pPr>
              <w:pStyle w:val="TableHeading"/>
            </w:pPr>
            <w:r w:rsidRPr="008B1975">
              <w:t>Infrastructure</w:t>
            </w:r>
          </w:p>
        </w:tc>
      </w:tr>
      <w:tr w:rsidR="00FB42CC" w:rsidRPr="008B1975" w14:paraId="01621F4C" w14:textId="77777777" w:rsidTr="00CC36E0">
        <w:trPr>
          <w:trHeight w:val="300"/>
        </w:trPr>
        <w:tc>
          <w:tcPr>
            <w:tcW w:w="1667" w:type="pct"/>
            <w:tcBorders>
              <w:top w:val="single" w:sz="12" w:space="0" w:color="auto"/>
              <w:left w:val="nil"/>
              <w:bottom w:val="single" w:sz="12" w:space="0" w:color="auto"/>
              <w:right w:val="nil"/>
            </w:tcBorders>
            <w:hideMark/>
          </w:tcPr>
          <w:p w14:paraId="46486DB6" w14:textId="77777777" w:rsidR="00FB42CC" w:rsidRPr="008B1975" w:rsidRDefault="00FF0A44" w:rsidP="00FB42CC">
            <w:pPr>
              <w:pStyle w:val="Tabletext"/>
            </w:pPr>
            <w:r w:rsidRPr="008B1975">
              <w:t>All</w:t>
            </w:r>
          </w:p>
        </w:tc>
        <w:tc>
          <w:tcPr>
            <w:tcW w:w="1667" w:type="pct"/>
            <w:tcBorders>
              <w:top w:val="single" w:sz="12" w:space="0" w:color="auto"/>
              <w:left w:val="nil"/>
              <w:bottom w:val="single" w:sz="12" w:space="0" w:color="auto"/>
              <w:right w:val="nil"/>
            </w:tcBorders>
            <w:hideMark/>
          </w:tcPr>
          <w:p w14:paraId="63A5AD44" w14:textId="77777777" w:rsidR="00FB42CC" w:rsidRPr="008B1975" w:rsidRDefault="00FB42CC" w:rsidP="00FB42CC">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5F4F4D9" w14:textId="77777777" w:rsidR="00FB42CC" w:rsidRPr="008B1975" w:rsidRDefault="00FB42CC" w:rsidP="00FB42CC">
            <w:pPr>
              <w:pStyle w:val="Tabletext"/>
            </w:pPr>
            <w:r w:rsidRPr="008B1975">
              <w:t>All</w:t>
            </w:r>
          </w:p>
        </w:tc>
      </w:tr>
    </w:tbl>
    <w:p w14:paraId="2C5760C1" w14:textId="77777777" w:rsidR="00181E60" w:rsidRPr="008B1975" w:rsidRDefault="00946DEA" w:rsidP="00946DEA">
      <w:pPr>
        <w:pStyle w:val="ItemHead"/>
      </w:pPr>
      <w:bookmarkStart w:id="225" w:name="_Ref185275569"/>
      <w:r w:rsidRPr="008B1975">
        <w:lastRenderedPageBreak/>
        <w:t xml:space="preserve">3  </w:t>
      </w:r>
      <w:r w:rsidR="00181E60" w:rsidRPr="008B1975">
        <w:t>Section 16.3</w:t>
      </w:r>
      <w:bookmarkEnd w:id="225"/>
    </w:p>
    <w:p w14:paraId="2F27A428" w14:textId="77777777" w:rsidR="00181E60" w:rsidRPr="008B1975" w:rsidRDefault="00181E60" w:rsidP="00181E60">
      <w:pPr>
        <w:pStyle w:val="Item"/>
      </w:pPr>
      <w:r w:rsidRPr="008B1975">
        <w:t>Before “The”, insert “(1)”.</w:t>
      </w:r>
    </w:p>
    <w:p w14:paraId="1ED161EC" w14:textId="77777777" w:rsidR="00181E60" w:rsidRPr="008B1975" w:rsidRDefault="00946DEA" w:rsidP="00946DEA">
      <w:pPr>
        <w:pStyle w:val="ItemHead"/>
      </w:pPr>
      <w:bookmarkStart w:id="226" w:name="_Ref185339267"/>
      <w:r w:rsidRPr="008B1975">
        <w:t xml:space="preserve">4  </w:t>
      </w:r>
      <w:r w:rsidR="00181E60" w:rsidRPr="008B1975">
        <w:t>Section 16.3 (table)</w:t>
      </w:r>
      <w:bookmarkEnd w:id="226"/>
    </w:p>
    <w:p w14:paraId="61A64C39" w14:textId="77777777" w:rsidR="00181E60" w:rsidRPr="008B1975" w:rsidRDefault="00181E60" w:rsidP="00181E60">
      <w:pPr>
        <w:pStyle w:val="Item"/>
      </w:pPr>
      <w:r w:rsidRPr="008B1975">
        <w:t>Repeal the table, substitute:</w:t>
      </w:r>
    </w:p>
    <w:p w14:paraId="43C712B7" w14:textId="77777777" w:rsidR="00181E60" w:rsidRPr="008B1975" w:rsidRDefault="00181E60" w:rsidP="00181E60">
      <w:pPr>
        <w:pStyle w:val="subsection"/>
      </w:pPr>
      <w:r w:rsidRPr="008B1975">
        <w:tab/>
        <w:t>(2)</w:t>
      </w:r>
      <w:r w:rsidRPr="008B1975">
        <w:tab/>
        <w:t>The following table specifies conveyances, premises and infrastructure this section applies to.</w:t>
      </w:r>
    </w:p>
    <w:p w14:paraId="4725DD22"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4D88628F"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12A13559" w14:textId="77777777" w:rsidR="00181E60" w:rsidRPr="008B1975" w:rsidRDefault="00181E60" w:rsidP="00DA693F">
            <w:pPr>
              <w:pStyle w:val="TableHeading"/>
            </w:pPr>
            <w:r w:rsidRPr="008B1975">
              <w:t>Application of this section</w:t>
            </w:r>
          </w:p>
        </w:tc>
      </w:tr>
      <w:tr w:rsidR="00181E60" w:rsidRPr="008B1975" w14:paraId="213D5AAB" w14:textId="77777777" w:rsidTr="00CC36E0">
        <w:trPr>
          <w:trHeight w:val="300"/>
          <w:tblHeader/>
        </w:trPr>
        <w:tc>
          <w:tcPr>
            <w:tcW w:w="1667" w:type="pct"/>
            <w:tcBorders>
              <w:top w:val="single" w:sz="6" w:space="0" w:color="auto"/>
              <w:left w:val="nil"/>
              <w:bottom w:val="single" w:sz="12" w:space="0" w:color="auto"/>
              <w:right w:val="nil"/>
            </w:tcBorders>
            <w:hideMark/>
          </w:tcPr>
          <w:p w14:paraId="0439EFE1"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3DB43BBE"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4664B9EC" w14:textId="77777777" w:rsidR="00181E60" w:rsidRPr="008B1975" w:rsidRDefault="00181E60" w:rsidP="00DA693F">
            <w:pPr>
              <w:pStyle w:val="TableHeading"/>
            </w:pPr>
            <w:r w:rsidRPr="008B1975">
              <w:t>Infrastructure</w:t>
            </w:r>
          </w:p>
        </w:tc>
      </w:tr>
      <w:tr w:rsidR="00181E60" w:rsidRPr="008B1975" w14:paraId="4666F675" w14:textId="77777777" w:rsidTr="00CC36E0">
        <w:trPr>
          <w:trHeight w:val="300"/>
        </w:trPr>
        <w:tc>
          <w:tcPr>
            <w:tcW w:w="1667" w:type="pct"/>
            <w:tcBorders>
              <w:top w:val="single" w:sz="12" w:space="0" w:color="auto"/>
              <w:left w:val="nil"/>
              <w:bottom w:val="single" w:sz="12" w:space="0" w:color="auto"/>
              <w:right w:val="nil"/>
            </w:tcBorders>
            <w:hideMark/>
          </w:tcPr>
          <w:p w14:paraId="3527776D" w14:textId="5D356FCD" w:rsidR="00181E60" w:rsidRPr="008B1975" w:rsidRDefault="00FF0A44" w:rsidP="00DA693F">
            <w:pPr>
              <w:pStyle w:val="Tabletext"/>
            </w:pPr>
            <w:r w:rsidRPr="008B1975">
              <w:t>All</w:t>
            </w:r>
          </w:p>
        </w:tc>
        <w:tc>
          <w:tcPr>
            <w:tcW w:w="1667" w:type="pct"/>
            <w:tcBorders>
              <w:top w:val="single" w:sz="12" w:space="0" w:color="auto"/>
              <w:left w:val="nil"/>
              <w:bottom w:val="single" w:sz="12" w:space="0" w:color="auto"/>
              <w:right w:val="nil"/>
            </w:tcBorders>
            <w:hideMark/>
          </w:tcPr>
          <w:p w14:paraId="461D5203" w14:textId="77777777" w:rsidR="00181E60" w:rsidRPr="008B1975" w:rsidRDefault="00181E60" w:rsidP="00DA693F">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DE00684" w14:textId="77777777" w:rsidR="00181E60" w:rsidRPr="008B1975" w:rsidRDefault="00FF0A44" w:rsidP="00DA693F">
            <w:pPr>
              <w:pStyle w:val="Tabletext"/>
            </w:pPr>
            <w:r w:rsidRPr="008B1975">
              <w:t>All</w:t>
            </w:r>
          </w:p>
        </w:tc>
      </w:tr>
    </w:tbl>
    <w:p w14:paraId="7709ADC2" w14:textId="77777777" w:rsidR="00181E60" w:rsidRPr="008B1975" w:rsidRDefault="00946DEA" w:rsidP="00946DEA">
      <w:pPr>
        <w:pStyle w:val="ItemHead"/>
      </w:pPr>
      <w:bookmarkStart w:id="227" w:name="_Ref185339269"/>
      <w:r w:rsidRPr="008B1975">
        <w:t xml:space="preserve">5  </w:t>
      </w:r>
      <w:r w:rsidR="00181E60" w:rsidRPr="008B1975">
        <w:t>Section 16.4 (table)</w:t>
      </w:r>
      <w:bookmarkEnd w:id="227"/>
    </w:p>
    <w:p w14:paraId="495BE1B7" w14:textId="77777777" w:rsidR="00181E60" w:rsidRPr="008B1975" w:rsidRDefault="00181E60" w:rsidP="00181E60">
      <w:pPr>
        <w:pStyle w:val="Item"/>
      </w:pPr>
      <w:r w:rsidRPr="008B1975">
        <w:t>Repeal the table, substitute:</w:t>
      </w:r>
    </w:p>
    <w:p w14:paraId="64EEF53B" w14:textId="77777777" w:rsidR="00181E60" w:rsidRPr="008B1975" w:rsidRDefault="00181E60" w:rsidP="00181E60">
      <w:pPr>
        <w:pStyle w:val="subsection"/>
      </w:pPr>
      <w:r w:rsidRPr="008B1975">
        <w:tab/>
        <w:t>(3)</w:t>
      </w:r>
      <w:r w:rsidRPr="008B1975">
        <w:tab/>
        <w:t>The following table specifies conveyances, premises and infrastructure this section applies to.</w:t>
      </w:r>
    </w:p>
    <w:p w14:paraId="3E42CAC6" w14:textId="77777777" w:rsidR="00181E60" w:rsidRPr="008B1975" w:rsidRDefault="00181E60" w:rsidP="00181E6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181E60" w:rsidRPr="008B1975" w14:paraId="31FB7615"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2369EED0" w14:textId="77777777" w:rsidR="00181E60" w:rsidRPr="008B1975" w:rsidRDefault="00181E60" w:rsidP="00DA693F">
            <w:pPr>
              <w:pStyle w:val="TableHeading"/>
            </w:pPr>
            <w:r w:rsidRPr="008B1975">
              <w:t>Application of this section</w:t>
            </w:r>
          </w:p>
        </w:tc>
      </w:tr>
      <w:tr w:rsidR="00181E60" w:rsidRPr="008B1975" w14:paraId="0F0EC398" w14:textId="77777777" w:rsidTr="00CC36E0">
        <w:trPr>
          <w:trHeight w:val="300"/>
          <w:tblHeader/>
        </w:trPr>
        <w:tc>
          <w:tcPr>
            <w:tcW w:w="1667" w:type="pct"/>
            <w:tcBorders>
              <w:top w:val="single" w:sz="6" w:space="0" w:color="auto"/>
              <w:left w:val="nil"/>
              <w:bottom w:val="single" w:sz="12" w:space="0" w:color="auto"/>
              <w:right w:val="nil"/>
            </w:tcBorders>
            <w:hideMark/>
          </w:tcPr>
          <w:p w14:paraId="16EDD946" w14:textId="77777777" w:rsidR="00181E60" w:rsidRPr="008B1975" w:rsidRDefault="00181E60"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3DB51D82" w14:textId="77777777" w:rsidR="00181E60" w:rsidRPr="008B1975" w:rsidRDefault="00181E60"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6839DE37" w14:textId="77777777" w:rsidR="00181E60" w:rsidRPr="008B1975" w:rsidRDefault="00181E60" w:rsidP="00DA693F">
            <w:pPr>
              <w:pStyle w:val="TableHeading"/>
            </w:pPr>
            <w:r w:rsidRPr="008B1975">
              <w:t>Infrastructure</w:t>
            </w:r>
          </w:p>
        </w:tc>
      </w:tr>
      <w:tr w:rsidR="00181E60" w:rsidRPr="008B1975" w14:paraId="2B5D8CA2" w14:textId="77777777" w:rsidTr="00CC36E0">
        <w:trPr>
          <w:trHeight w:val="300"/>
        </w:trPr>
        <w:tc>
          <w:tcPr>
            <w:tcW w:w="1667" w:type="pct"/>
            <w:tcBorders>
              <w:top w:val="single" w:sz="12" w:space="0" w:color="auto"/>
              <w:left w:val="nil"/>
              <w:bottom w:val="single" w:sz="12" w:space="0" w:color="auto"/>
              <w:right w:val="nil"/>
            </w:tcBorders>
            <w:hideMark/>
          </w:tcPr>
          <w:p w14:paraId="44724901" w14:textId="77777777" w:rsidR="00181E60" w:rsidRPr="008B1975" w:rsidRDefault="00181E60" w:rsidP="0037506D">
            <w:pPr>
              <w:pStyle w:val="Tabletext"/>
            </w:pPr>
            <w:r w:rsidRPr="008B1975">
              <w:t>Buses</w:t>
            </w:r>
          </w:p>
        </w:tc>
        <w:tc>
          <w:tcPr>
            <w:tcW w:w="1667" w:type="pct"/>
            <w:tcBorders>
              <w:top w:val="single" w:sz="12" w:space="0" w:color="auto"/>
              <w:left w:val="nil"/>
              <w:bottom w:val="single" w:sz="12" w:space="0" w:color="auto"/>
              <w:right w:val="nil"/>
            </w:tcBorders>
            <w:hideMark/>
          </w:tcPr>
          <w:p w14:paraId="6F677A56" w14:textId="77777777" w:rsidR="00181E60" w:rsidRPr="008B1975" w:rsidRDefault="00181E60"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6FCD2050" w14:textId="77777777" w:rsidR="00181E60" w:rsidRPr="008B1975" w:rsidRDefault="00181E60" w:rsidP="00DA693F">
            <w:pPr>
              <w:pStyle w:val="Tabletext"/>
            </w:pPr>
            <w:r w:rsidRPr="008B1975">
              <w:t>None</w:t>
            </w:r>
          </w:p>
        </w:tc>
      </w:tr>
    </w:tbl>
    <w:p w14:paraId="3EE8E829" w14:textId="77777777" w:rsidR="00DA693F" w:rsidRPr="008B1975" w:rsidRDefault="00946DEA" w:rsidP="00946DEA">
      <w:pPr>
        <w:pStyle w:val="ItemHead"/>
      </w:pPr>
      <w:bookmarkStart w:id="228" w:name="_Ref185339271"/>
      <w:r w:rsidRPr="008B1975">
        <w:t xml:space="preserve">6  </w:t>
      </w:r>
      <w:r w:rsidR="00DA693F" w:rsidRPr="008B1975">
        <w:t>Section 16.5</w:t>
      </w:r>
      <w:bookmarkEnd w:id="228"/>
    </w:p>
    <w:p w14:paraId="081F4769" w14:textId="77777777" w:rsidR="00DA693F" w:rsidRPr="008B1975" w:rsidRDefault="00DA693F" w:rsidP="00DA693F">
      <w:pPr>
        <w:pStyle w:val="Item"/>
      </w:pPr>
      <w:r w:rsidRPr="008B1975">
        <w:t>Before “The”, insert “(1)”.</w:t>
      </w:r>
    </w:p>
    <w:p w14:paraId="33034ACE" w14:textId="77777777" w:rsidR="00DA693F" w:rsidRPr="008B1975" w:rsidRDefault="00946DEA" w:rsidP="00946DEA">
      <w:pPr>
        <w:pStyle w:val="ItemHead"/>
      </w:pPr>
      <w:bookmarkStart w:id="229" w:name="_Ref185275580"/>
      <w:r w:rsidRPr="008B1975">
        <w:t xml:space="preserve">7  </w:t>
      </w:r>
      <w:r w:rsidR="00DA693F" w:rsidRPr="008B1975">
        <w:t>Section 16.5 (table)</w:t>
      </w:r>
      <w:bookmarkEnd w:id="229"/>
    </w:p>
    <w:p w14:paraId="20599B80" w14:textId="77777777" w:rsidR="00DA693F" w:rsidRPr="008B1975" w:rsidRDefault="00DA693F" w:rsidP="00DA693F">
      <w:pPr>
        <w:pStyle w:val="Item"/>
      </w:pPr>
      <w:r w:rsidRPr="008B1975">
        <w:t>Repeal the table, substitute:</w:t>
      </w:r>
    </w:p>
    <w:p w14:paraId="28AF4F19" w14:textId="77777777" w:rsidR="00DA693F" w:rsidRPr="008B1975" w:rsidRDefault="00DA693F" w:rsidP="00DA693F">
      <w:pPr>
        <w:pStyle w:val="subsection"/>
      </w:pPr>
      <w:r w:rsidRPr="008B1975">
        <w:tab/>
        <w:t>(2)</w:t>
      </w:r>
      <w:r w:rsidRPr="008B1975">
        <w:tab/>
        <w:t>The following table specifies conveyances, premises and infrastructure this section applies to.</w:t>
      </w:r>
    </w:p>
    <w:p w14:paraId="687A4480" w14:textId="77777777" w:rsidR="00DA693F" w:rsidRPr="008B1975" w:rsidRDefault="00DA693F" w:rsidP="00DA693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A693F" w:rsidRPr="008B1975" w14:paraId="43C071FF" w14:textId="77777777" w:rsidTr="00DA693F">
        <w:trPr>
          <w:trHeight w:val="300"/>
          <w:tblHeader/>
        </w:trPr>
        <w:tc>
          <w:tcPr>
            <w:tcW w:w="5000" w:type="pct"/>
            <w:gridSpan w:val="3"/>
            <w:tcBorders>
              <w:top w:val="single" w:sz="12" w:space="0" w:color="auto"/>
              <w:left w:val="nil"/>
              <w:bottom w:val="single" w:sz="6" w:space="0" w:color="auto"/>
              <w:right w:val="nil"/>
            </w:tcBorders>
            <w:hideMark/>
          </w:tcPr>
          <w:p w14:paraId="35A2DB36" w14:textId="77777777" w:rsidR="00DA693F" w:rsidRPr="008B1975" w:rsidRDefault="00DA693F" w:rsidP="00DA693F">
            <w:pPr>
              <w:pStyle w:val="TableHeading"/>
            </w:pPr>
            <w:r w:rsidRPr="008B1975">
              <w:t>Application of this section</w:t>
            </w:r>
          </w:p>
        </w:tc>
      </w:tr>
      <w:tr w:rsidR="00DA693F" w:rsidRPr="008B1975" w14:paraId="2609E301" w14:textId="77777777" w:rsidTr="00CC36E0">
        <w:trPr>
          <w:trHeight w:val="300"/>
          <w:tblHeader/>
        </w:trPr>
        <w:tc>
          <w:tcPr>
            <w:tcW w:w="1667" w:type="pct"/>
            <w:tcBorders>
              <w:top w:val="single" w:sz="6" w:space="0" w:color="auto"/>
              <w:left w:val="nil"/>
              <w:bottom w:val="single" w:sz="12" w:space="0" w:color="auto"/>
              <w:right w:val="nil"/>
            </w:tcBorders>
            <w:hideMark/>
          </w:tcPr>
          <w:p w14:paraId="48E21323" w14:textId="77777777" w:rsidR="00DA693F" w:rsidRPr="008B1975" w:rsidRDefault="00DA693F" w:rsidP="00DA693F">
            <w:pPr>
              <w:pStyle w:val="TableHeading"/>
            </w:pPr>
            <w:r w:rsidRPr="008B1975">
              <w:t>Conveyances</w:t>
            </w:r>
          </w:p>
        </w:tc>
        <w:tc>
          <w:tcPr>
            <w:tcW w:w="1667" w:type="pct"/>
            <w:tcBorders>
              <w:top w:val="single" w:sz="6" w:space="0" w:color="auto"/>
              <w:left w:val="nil"/>
              <w:bottom w:val="single" w:sz="12" w:space="0" w:color="auto"/>
              <w:right w:val="nil"/>
            </w:tcBorders>
            <w:hideMark/>
          </w:tcPr>
          <w:p w14:paraId="2404F4D7" w14:textId="77777777" w:rsidR="00DA693F" w:rsidRPr="008B1975" w:rsidRDefault="00DA693F" w:rsidP="00DA693F">
            <w:pPr>
              <w:pStyle w:val="TableHeading"/>
            </w:pPr>
            <w:r w:rsidRPr="008B1975">
              <w:t>Premises</w:t>
            </w:r>
          </w:p>
        </w:tc>
        <w:tc>
          <w:tcPr>
            <w:tcW w:w="1667" w:type="pct"/>
            <w:tcBorders>
              <w:top w:val="single" w:sz="6" w:space="0" w:color="auto"/>
              <w:left w:val="nil"/>
              <w:bottom w:val="single" w:sz="12" w:space="0" w:color="auto"/>
              <w:right w:val="nil"/>
            </w:tcBorders>
            <w:hideMark/>
          </w:tcPr>
          <w:p w14:paraId="6D31AEC0" w14:textId="77777777" w:rsidR="00DA693F" w:rsidRPr="008B1975" w:rsidRDefault="00DA693F" w:rsidP="00DA693F">
            <w:pPr>
              <w:pStyle w:val="TableHeading"/>
            </w:pPr>
            <w:r w:rsidRPr="008B1975">
              <w:t>Infrastructure</w:t>
            </w:r>
          </w:p>
        </w:tc>
      </w:tr>
      <w:tr w:rsidR="00DA693F" w:rsidRPr="008B1975" w14:paraId="3E4DD1CF" w14:textId="77777777" w:rsidTr="00CC36E0">
        <w:trPr>
          <w:trHeight w:val="300"/>
        </w:trPr>
        <w:tc>
          <w:tcPr>
            <w:tcW w:w="1667" w:type="pct"/>
            <w:tcBorders>
              <w:top w:val="single" w:sz="12" w:space="0" w:color="auto"/>
              <w:left w:val="nil"/>
              <w:bottom w:val="single" w:sz="12" w:space="0" w:color="auto"/>
              <w:right w:val="nil"/>
            </w:tcBorders>
            <w:hideMark/>
          </w:tcPr>
          <w:p w14:paraId="64565C87" w14:textId="77777777" w:rsidR="00DA693F" w:rsidRPr="008B1975" w:rsidRDefault="00DA693F" w:rsidP="001024C7">
            <w:pPr>
              <w:pStyle w:val="Tabletext"/>
            </w:pPr>
            <w:r w:rsidRPr="008B1975">
              <w:t>The following:</w:t>
            </w:r>
          </w:p>
          <w:p w14:paraId="6028859A" w14:textId="77777777" w:rsidR="00DA693F" w:rsidRPr="008B1975" w:rsidRDefault="00DA693F" w:rsidP="00DA693F">
            <w:pPr>
              <w:pStyle w:val="Tablea"/>
            </w:pPr>
            <w:r w:rsidRPr="008B1975">
              <w:t>(a) ferries</w:t>
            </w:r>
            <w:r w:rsidR="001024C7" w:rsidRPr="008B1975">
              <w:t>;</w:t>
            </w:r>
          </w:p>
          <w:p w14:paraId="0D9A47A1" w14:textId="77777777" w:rsidR="00DA693F" w:rsidRPr="008B1975" w:rsidRDefault="00DA693F" w:rsidP="00DA693F">
            <w:pPr>
              <w:pStyle w:val="Tablea"/>
            </w:pPr>
            <w:r w:rsidRPr="008B1975">
              <w:t>(b) trains</w:t>
            </w:r>
            <w:r w:rsidR="001024C7" w:rsidRPr="008B1975">
              <w:t>;</w:t>
            </w:r>
          </w:p>
          <w:p w14:paraId="72BAA76E" w14:textId="77777777" w:rsidR="00DA693F" w:rsidRPr="008B1975" w:rsidRDefault="00DA693F" w:rsidP="00DA693F">
            <w:pPr>
              <w:pStyle w:val="Tablea"/>
            </w:pPr>
            <w:r w:rsidRPr="008B1975">
              <w:t>(c) trams</w:t>
            </w:r>
            <w:r w:rsidR="001024C7" w:rsidRPr="008B1975">
              <w:t>;</w:t>
            </w:r>
          </w:p>
          <w:p w14:paraId="7DB60CC9" w14:textId="77777777" w:rsidR="00DA693F" w:rsidRPr="008B1975" w:rsidRDefault="00DA693F" w:rsidP="00DA693F">
            <w:pPr>
              <w:pStyle w:val="Tablea"/>
            </w:pPr>
            <w:r w:rsidRPr="008B1975">
              <w:t>(d) light rail</w:t>
            </w:r>
          </w:p>
        </w:tc>
        <w:tc>
          <w:tcPr>
            <w:tcW w:w="1667" w:type="pct"/>
            <w:tcBorders>
              <w:top w:val="single" w:sz="12" w:space="0" w:color="auto"/>
              <w:left w:val="nil"/>
              <w:bottom w:val="single" w:sz="12" w:space="0" w:color="auto"/>
              <w:right w:val="nil"/>
            </w:tcBorders>
            <w:hideMark/>
          </w:tcPr>
          <w:p w14:paraId="4C157587" w14:textId="77777777" w:rsidR="00DA693F" w:rsidRPr="008B1975" w:rsidRDefault="00801754" w:rsidP="00DA693F">
            <w:pPr>
              <w:pStyle w:val="Tabletext"/>
            </w:pPr>
            <w:r w:rsidRPr="008B1975">
              <w:t>None</w:t>
            </w:r>
          </w:p>
        </w:tc>
        <w:tc>
          <w:tcPr>
            <w:tcW w:w="1667" w:type="pct"/>
            <w:tcBorders>
              <w:top w:val="single" w:sz="12" w:space="0" w:color="auto"/>
              <w:left w:val="nil"/>
              <w:bottom w:val="single" w:sz="12" w:space="0" w:color="auto"/>
              <w:right w:val="nil"/>
            </w:tcBorders>
            <w:hideMark/>
          </w:tcPr>
          <w:p w14:paraId="6E4A9548" w14:textId="77777777" w:rsidR="00DA693F" w:rsidRPr="008B1975" w:rsidRDefault="00DA693F" w:rsidP="00DA693F">
            <w:pPr>
              <w:pStyle w:val="Tabletext"/>
            </w:pPr>
            <w:r w:rsidRPr="008B1975">
              <w:t>None</w:t>
            </w:r>
          </w:p>
        </w:tc>
      </w:tr>
    </w:tbl>
    <w:p w14:paraId="4A76C658" w14:textId="77777777" w:rsidR="00824838" w:rsidRPr="008B1975" w:rsidRDefault="00824838" w:rsidP="00824838">
      <w:pPr>
        <w:pStyle w:val="ActHead6"/>
        <w:pageBreakBefore/>
      </w:pPr>
      <w:bookmarkStart w:id="230" w:name="_Toc197178962"/>
      <w:r w:rsidRPr="008B1975">
        <w:lastRenderedPageBreak/>
        <w:t>Schedule 17—Part 17 (Signs) Amendments</w:t>
      </w:r>
      <w:bookmarkEnd w:id="230"/>
    </w:p>
    <w:p w14:paraId="49A3F722" w14:textId="77777777" w:rsidR="00824838" w:rsidRPr="008B1975" w:rsidRDefault="00824838" w:rsidP="00824838">
      <w:pPr>
        <w:pStyle w:val="ActHead9"/>
      </w:pPr>
      <w:bookmarkStart w:id="231" w:name="_Toc197178963"/>
      <w:r w:rsidRPr="008B1975">
        <w:t>Disability Standards for Accessible Public Transport 2002</w:t>
      </w:r>
      <w:bookmarkEnd w:id="231"/>
    </w:p>
    <w:p w14:paraId="324CB309" w14:textId="77777777" w:rsidR="008D0C53" w:rsidRPr="008B1975" w:rsidRDefault="00946DEA" w:rsidP="00946DEA">
      <w:pPr>
        <w:pStyle w:val="ItemHead"/>
      </w:pPr>
      <w:bookmarkStart w:id="232" w:name="_Ref185275622"/>
      <w:r w:rsidRPr="008B1975">
        <w:t xml:space="preserve">1  </w:t>
      </w:r>
      <w:r w:rsidR="008D0C53" w:rsidRPr="008B1975">
        <w:t>Section 17.1</w:t>
      </w:r>
      <w:bookmarkEnd w:id="232"/>
    </w:p>
    <w:p w14:paraId="437D3863" w14:textId="77777777" w:rsidR="008D0C53" w:rsidRPr="008B1975" w:rsidRDefault="008D0C53" w:rsidP="008D0C53">
      <w:pPr>
        <w:pStyle w:val="Item"/>
      </w:pPr>
      <w:r w:rsidRPr="008B1975">
        <w:t>Repeal the section, substitute:</w:t>
      </w:r>
    </w:p>
    <w:p w14:paraId="35E8F8D2" w14:textId="77777777" w:rsidR="008D0C53" w:rsidRPr="008B1975" w:rsidRDefault="008D0C53" w:rsidP="006202EA">
      <w:pPr>
        <w:pStyle w:val="ActHead5"/>
        <w:outlineLvl w:val="9"/>
      </w:pPr>
      <w:r w:rsidRPr="008B1975">
        <w:t>17.1  Height, illumination and legibility</w:t>
      </w:r>
    </w:p>
    <w:p w14:paraId="459E555F" w14:textId="77777777" w:rsidR="008D0C53" w:rsidRPr="008B1975" w:rsidRDefault="008D0C53" w:rsidP="008D0C53">
      <w:pPr>
        <w:pStyle w:val="subsection"/>
      </w:pPr>
      <w:r w:rsidRPr="008B1975">
        <w:tab/>
      </w:r>
      <w:r w:rsidR="001024C7" w:rsidRPr="008B1975">
        <w:t>(1)</w:t>
      </w:r>
      <w:r w:rsidRPr="008B1975">
        <w:tab/>
        <w:t>A sign must comply with clauses 17.1, 17.2, 17.3 and figure 30 of AS</w:t>
      </w:r>
      <w:r w:rsidR="006A22D9" w:rsidRPr="008B1975">
        <w:t xml:space="preserve"> </w:t>
      </w:r>
      <w:r w:rsidRPr="008B1975">
        <w:t>1428.2 (1992).</w:t>
      </w:r>
    </w:p>
    <w:p w14:paraId="663E097B" w14:textId="77777777" w:rsidR="008D0C53" w:rsidRPr="008B1975" w:rsidRDefault="008D0C53" w:rsidP="008D0C53">
      <w:pPr>
        <w:pStyle w:val="subsection"/>
      </w:pPr>
      <w:r w:rsidRPr="008B1975">
        <w:tab/>
      </w:r>
      <w:r w:rsidR="001024C7" w:rsidRPr="008B1975">
        <w:t>(2)</w:t>
      </w:r>
      <w:r w:rsidRPr="008B1975">
        <w:tab/>
        <w:t>A static sign that is not provided in braille and tactile must satisfy all of the following:</w:t>
      </w:r>
    </w:p>
    <w:p w14:paraId="74FEAA11" w14:textId="77777777" w:rsidR="008D0C53" w:rsidRPr="008B1975" w:rsidRDefault="008D0C53" w:rsidP="001024C7">
      <w:pPr>
        <w:pStyle w:val="paragraph"/>
      </w:pPr>
      <w:r w:rsidRPr="008B1975">
        <w:tab/>
      </w:r>
      <w:r w:rsidR="001024C7" w:rsidRPr="008B1975">
        <w:t>(a)</w:t>
      </w:r>
      <w:r w:rsidR="001024C7" w:rsidRPr="008B1975">
        <w:tab/>
      </w:r>
      <w:r w:rsidRPr="008B1975">
        <w:t>the sign is clear and legible;</w:t>
      </w:r>
    </w:p>
    <w:p w14:paraId="68CF4E14" w14:textId="77777777" w:rsidR="008D0C53" w:rsidRPr="008B1975" w:rsidRDefault="008D0C53" w:rsidP="008D0C53">
      <w:pPr>
        <w:pStyle w:val="paragraph"/>
      </w:pPr>
      <w:r w:rsidRPr="008B1975">
        <w:tab/>
      </w:r>
      <w:r w:rsidR="001024C7" w:rsidRPr="008B1975">
        <w:t>(b)</w:t>
      </w:r>
      <w:r w:rsidRPr="008B1975">
        <w:tab/>
        <w:t xml:space="preserve">any text used </w:t>
      </w:r>
      <w:r w:rsidRPr="008B1975">
        <w:rPr>
          <w:color w:val="000000" w:themeColor="text1"/>
        </w:rPr>
        <w:t>in</w:t>
      </w:r>
      <w:r w:rsidRPr="008B1975">
        <w:t xml:space="preserve"> the sign is in a sans serif font;</w:t>
      </w:r>
    </w:p>
    <w:p w14:paraId="73F33180" w14:textId="77777777" w:rsidR="008D0C53" w:rsidRPr="008B1975" w:rsidRDefault="008D0C53" w:rsidP="008D0C53">
      <w:pPr>
        <w:pStyle w:val="paragraph"/>
      </w:pPr>
      <w:r w:rsidRPr="008B1975">
        <w:tab/>
      </w:r>
      <w:r w:rsidR="001024C7" w:rsidRPr="008B1975">
        <w:t>(c)</w:t>
      </w:r>
      <w:r w:rsidRPr="008B1975">
        <w:tab/>
        <w:t xml:space="preserve">any </w:t>
      </w:r>
      <w:r w:rsidRPr="008B1975">
        <w:rPr>
          <w:color w:val="000000" w:themeColor="text1"/>
        </w:rPr>
        <w:t>text</w:t>
      </w:r>
      <w:r w:rsidRPr="008B1975">
        <w:t>, icons and symbols used by the sign has a luminance contrast of not less than 30% when viewed against the background of the sign;</w:t>
      </w:r>
    </w:p>
    <w:p w14:paraId="53BEEC57" w14:textId="77777777" w:rsidR="008D0C53" w:rsidRPr="008B1975" w:rsidRDefault="008D0C53" w:rsidP="008D0C53">
      <w:pPr>
        <w:pStyle w:val="paragraph"/>
      </w:pPr>
      <w:r w:rsidRPr="008B1975">
        <w:tab/>
      </w:r>
      <w:r w:rsidR="001024C7" w:rsidRPr="008B1975">
        <w:t>(d)</w:t>
      </w:r>
      <w:r w:rsidRPr="008B1975">
        <w:tab/>
        <w:t>the sign itself has a luminance contrast of not less than 30% when viewed against:</w:t>
      </w:r>
    </w:p>
    <w:p w14:paraId="5E7DB4B9" w14:textId="77777777" w:rsidR="008D0C53" w:rsidRPr="008B1975" w:rsidRDefault="008D0C53" w:rsidP="008D0C53">
      <w:pPr>
        <w:pStyle w:val="paragraphsub"/>
      </w:pPr>
      <w:r w:rsidRPr="008B1975">
        <w:tab/>
      </w:r>
      <w:r w:rsidR="001024C7" w:rsidRPr="008B1975">
        <w:t>(i)</w:t>
      </w:r>
      <w:r w:rsidRPr="008B1975">
        <w:tab/>
        <w:t>the background to the sign; or</w:t>
      </w:r>
    </w:p>
    <w:p w14:paraId="178B055C" w14:textId="77777777" w:rsidR="008D0C53" w:rsidRPr="008B1975" w:rsidRDefault="008D0C53" w:rsidP="008D0C53">
      <w:pPr>
        <w:pStyle w:val="paragraphsub"/>
      </w:pPr>
      <w:r w:rsidRPr="008B1975">
        <w:tab/>
      </w:r>
      <w:r w:rsidR="001024C7" w:rsidRPr="008B1975">
        <w:t>(ii)</w:t>
      </w:r>
      <w:r w:rsidRPr="008B1975">
        <w:tab/>
        <w:t>other surfaces that are within 2 metres of the sign.</w:t>
      </w:r>
    </w:p>
    <w:p w14:paraId="4B596054" w14:textId="77777777" w:rsidR="008D0C53" w:rsidRPr="008B1975" w:rsidRDefault="008D0C53" w:rsidP="008D0C53">
      <w:pPr>
        <w:pStyle w:val="subsection"/>
      </w:pPr>
      <w:r w:rsidRPr="008B1975">
        <w:tab/>
        <w:t>(3)</w:t>
      </w:r>
      <w:r w:rsidRPr="008B1975">
        <w:tab/>
        <w:t>The following table specifies conveyances, premises and infrastructure this section applies to.</w:t>
      </w:r>
    </w:p>
    <w:p w14:paraId="3ED1626A" w14:textId="77777777" w:rsidR="008D0C53" w:rsidRPr="008B1975" w:rsidRDefault="008D0C53" w:rsidP="008D0C5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3BAE82F9"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01B94591" w14:textId="77777777" w:rsidR="008D0C53" w:rsidRPr="008B1975" w:rsidRDefault="008D0C53" w:rsidP="008D0C53">
            <w:pPr>
              <w:pStyle w:val="TableHeading"/>
            </w:pPr>
            <w:r w:rsidRPr="008B1975">
              <w:t>Application of this section</w:t>
            </w:r>
          </w:p>
        </w:tc>
      </w:tr>
      <w:tr w:rsidR="008D0C53" w:rsidRPr="008B1975" w14:paraId="3FCEB2CA" w14:textId="77777777" w:rsidTr="00CC36E0">
        <w:trPr>
          <w:trHeight w:val="300"/>
          <w:tblHeader/>
        </w:trPr>
        <w:tc>
          <w:tcPr>
            <w:tcW w:w="1667" w:type="pct"/>
            <w:tcBorders>
              <w:top w:val="single" w:sz="6" w:space="0" w:color="auto"/>
              <w:bottom w:val="single" w:sz="12" w:space="0" w:color="auto"/>
            </w:tcBorders>
            <w:shd w:val="clear" w:color="auto" w:fill="auto"/>
            <w:hideMark/>
          </w:tcPr>
          <w:p w14:paraId="30E3663F" w14:textId="77777777" w:rsidR="008D0C53" w:rsidRPr="008B1975" w:rsidRDefault="008D0C53" w:rsidP="008D0C53">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1ED65CED" w14:textId="77777777" w:rsidR="008D0C53" w:rsidRPr="008B1975" w:rsidRDefault="008D0C53" w:rsidP="008D0C53">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0B7A201" w14:textId="77777777" w:rsidR="008D0C53" w:rsidRPr="008B1975" w:rsidRDefault="008D0C53" w:rsidP="008D0C53">
            <w:pPr>
              <w:pStyle w:val="TableHeading"/>
            </w:pPr>
            <w:r w:rsidRPr="008B1975">
              <w:t>Infrastructure</w:t>
            </w:r>
          </w:p>
        </w:tc>
      </w:tr>
      <w:tr w:rsidR="008D0C53" w:rsidRPr="008B1975" w14:paraId="1407BAEF" w14:textId="77777777" w:rsidTr="00CC36E0">
        <w:trPr>
          <w:trHeight w:val="300"/>
        </w:trPr>
        <w:tc>
          <w:tcPr>
            <w:tcW w:w="1667" w:type="pct"/>
            <w:tcBorders>
              <w:top w:val="single" w:sz="12" w:space="0" w:color="auto"/>
              <w:bottom w:val="single" w:sz="12" w:space="0" w:color="auto"/>
            </w:tcBorders>
            <w:shd w:val="clear" w:color="auto" w:fill="auto"/>
            <w:hideMark/>
          </w:tcPr>
          <w:p w14:paraId="77ADD296" w14:textId="77777777" w:rsidR="008D0C53" w:rsidRPr="008B1975" w:rsidRDefault="008D0C53" w:rsidP="008D0C53">
            <w:pPr>
              <w:pStyle w:val="Tabletext"/>
            </w:pPr>
            <w:r w:rsidRPr="008B1975">
              <w:t>All</w:t>
            </w:r>
          </w:p>
        </w:tc>
        <w:tc>
          <w:tcPr>
            <w:tcW w:w="1667" w:type="pct"/>
            <w:tcBorders>
              <w:top w:val="single" w:sz="12" w:space="0" w:color="auto"/>
              <w:bottom w:val="single" w:sz="12" w:space="0" w:color="auto"/>
            </w:tcBorders>
            <w:shd w:val="clear" w:color="auto" w:fill="auto"/>
            <w:hideMark/>
          </w:tcPr>
          <w:p w14:paraId="6274B136" w14:textId="3060C25B" w:rsidR="008D0C53" w:rsidRPr="008B1975" w:rsidRDefault="008D0C53" w:rsidP="008D0C53">
            <w:pPr>
              <w:pStyle w:val="Tabletext"/>
            </w:pPr>
            <w:r w:rsidRPr="008B1975">
              <w:t>All, except premises to which the Premises Standards apply</w:t>
            </w:r>
          </w:p>
        </w:tc>
        <w:tc>
          <w:tcPr>
            <w:tcW w:w="1667" w:type="pct"/>
            <w:tcBorders>
              <w:top w:val="single" w:sz="12" w:space="0" w:color="auto"/>
              <w:bottom w:val="single" w:sz="12" w:space="0" w:color="auto"/>
            </w:tcBorders>
            <w:shd w:val="clear" w:color="auto" w:fill="auto"/>
          </w:tcPr>
          <w:p w14:paraId="31BF5409" w14:textId="77777777" w:rsidR="008D0C53" w:rsidRPr="008B1975" w:rsidRDefault="008D0C53" w:rsidP="008D0C53">
            <w:pPr>
              <w:pStyle w:val="Tabletext"/>
            </w:pPr>
            <w:r w:rsidRPr="008B1975">
              <w:t>All</w:t>
            </w:r>
          </w:p>
        </w:tc>
      </w:tr>
    </w:tbl>
    <w:p w14:paraId="079B1840" w14:textId="77777777" w:rsidR="008D0C53" w:rsidRPr="008B1975" w:rsidRDefault="00946DEA" w:rsidP="00946DEA">
      <w:pPr>
        <w:pStyle w:val="ItemHead"/>
      </w:pPr>
      <w:bookmarkStart w:id="233" w:name="_Ref185275655"/>
      <w:r w:rsidRPr="008B1975">
        <w:t xml:space="preserve">2  </w:t>
      </w:r>
      <w:r w:rsidR="008D0C53" w:rsidRPr="008B1975">
        <w:t>Sections 17.2 and 17.3</w:t>
      </w:r>
      <w:bookmarkEnd w:id="233"/>
    </w:p>
    <w:p w14:paraId="63FE1648" w14:textId="77777777" w:rsidR="008D0C53" w:rsidRPr="008B1975" w:rsidRDefault="008D0C53" w:rsidP="008D0C53">
      <w:pPr>
        <w:pStyle w:val="Item"/>
      </w:pPr>
      <w:r w:rsidRPr="008B1975">
        <w:t>Repeal the sections, substitute:</w:t>
      </w:r>
    </w:p>
    <w:p w14:paraId="25A9A97D" w14:textId="77777777" w:rsidR="008D0C53" w:rsidRPr="008B1975" w:rsidRDefault="008D0C53" w:rsidP="006202EA">
      <w:pPr>
        <w:pStyle w:val="ActHead5"/>
        <w:outlineLvl w:val="9"/>
      </w:pPr>
      <w:r w:rsidRPr="008B1975">
        <w:t>17.2  Location</w:t>
      </w:r>
      <w:r w:rsidR="00F754D9" w:rsidRPr="008B1975">
        <w:t xml:space="preserve"> </w:t>
      </w:r>
      <w:r w:rsidRPr="008B1975">
        <w:t>of signs</w:t>
      </w:r>
    </w:p>
    <w:p w14:paraId="78D7F85F" w14:textId="77777777" w:rsidR="008D0C53" w:rsidRPr="008B1975" w:rsidRDefault="008D0C53" w:rsidP="008D0C53">
      <w:pPr>
        <w:pStyle w:val="subsection"/>
      </w:pPr>
      <w:r w:rsidRPr="008B1975">
        <w:tab/>
      </w:r>
      <w:r w:rsidR="00581512" w:rsidRPr="008B1975">
        <w:t>(1)</w:t>
      </w:r>
      <w:r w:rsidRPr="008B1975">
        <w:tab/>
        <w:t>Subject to subsection</w:t>
      </w:r>
      <w:r w:rsidR="00581512" w:rsidRPr="008B1975">
        <w:t xml:space="preserve"> (2)</w:t>
      </w:r>
      <w:r w:rsidRPr="008B1975">
        <w:t>, a sign must:</w:t>
      </w:r>
    </w:p>
    <w:p w14:paraId="10605E29" w14:textId="77777777" w:rsidR="008D0C53" w:rsidRPr="008B1975" w:rsidRDefault="008D0C53" w:rsidP="008D0C53">
      <w:pPr>
        <w:pStyle w:val="paragraph"/>
      </w:pPr>
      <w:r w:rsidRPr="008B1975">
        <w:tab/>
      </w:r>
      <w:r w:rsidR="00581512" w:rsidRPr="008B1975">
        <w:t>(a)</w:t>
      </w:r>
      <w:r w:rsidRPr="008B1975">
        <w:tab/>
        <w:t>be placed in accordance with paragraphs (a), (b) and (c) of clause 17.4 of AS</w:t>
      </w:r>
      <w:r w:rsidR="006A22D9" w:rsidRPr="008B1975">
        <w:t xml:space="preserve"> </w:t>
      </w:r>
      <w:r w:rsidRPr="008B1975">
        <w:t>1428.2 (1992) (location of signs), including the notes to those paragraphs; and</w:t>
      </w:r>
    </w:p>
    <w:p w14:paraId="5C08F1EE" w14:textId="77777777" w:rsidR="008D0C53" w:rsidRPr="008B1975" w:rsidRDefault="008D0C53" w:rsidP="008D0C53">
      <w:pPr>
        <w:pStyle w:val="paragraph"/>
      </w:pPr>
      <w:r w:rsidRPr="008B1975">
        <w:tab/>
      </w:r>
      <w:r w:rsidR="00581512" w:rsidRPr="008B1975">
        <w:t>(b)</w:t>
      </w:r>
      <w:r w:rsidRPr="008B1975">
        <w:tab/>
        <w:t>be visible from both seated and standing positions.</w:t>
      </w:r>
    </w:p>
    <w:p w14:paraId="5E3629A6" w14:textId="77777777" w:rsidR="008D0C53" w:rsidRPr="008B1975" w:rsidRDefault="008D0C53" w:rsidP="008D0C53">
      <w:pPr>
        <w:pStyle w:val="subsection"/>
      </w:pPr>
      <w:r w:rsidRPr="008B1975">
        <w:tab/>
      </w:r>
      <w:r w:rsidR="00581512" w:rsidRPr="008B1975">
        <w:t>(2)</w:t>
      </w:r>
      <w:r w:rsidRPr="008B1975">
        <w:tab/>
      </w:r>
      <w:r w:rsidR="00771572" w:rsidRPr="008B1975">
        <w:t>If</w:t>
      </w:r>
      <w:r w:rsidRPr="008B1975">
        <w:t xml:space="preserve"> the design of the conveyance means it is not possible to comply with subsection</w:t>
      </w:r>
      <w:r w:rsidR="00581512" w:rsidRPr="008B1975">
        <w:t xml:space="preserve"> (1)</w:t>
      </w:r>
      <w:r w:rsidRPr="008B1975">
        <w:t xml:space="preserve">, </w:t>
      </w:r>
      <w:r w:rsidR="00771572" w:rsidRPr="008B1975">
        <w:t>the sign must be placed where it is visible from the position (sitting or standing) that is usual for passengers in that area</w:t>
      </w:r>
      <w:r w:rsidRPr="008B1975">
        <w:t>.</w:t>
      </w:r>
    </w:p>
    <w:p w14:paraId="5EE8BE9D" w14:textId="77777777" w:rsidR="008D0C53" w:rsidRPr="008B1975" w:rsidRDefault="008D0C53" w:rsidP="008D0C53">
      <w:pPr>
        <w:pStyle w:val="subsection"/>
      </w:pPr>
      <w:r w:rsidRPr="008B1975">
        <w:tab/>
      </w:r>
      <w:r w:rsidR="00581512" w:rsidRPr="008B1975">
        <w:t>(3)</w:t>
      </w:r>
      <w:r w:rsidRPr="008B1975">
        <w:tab/>
        <w:t>Where one or more destination signs are used on a conveyance, at least one destination sign must be placed on the outside of the conveyance above the windscreen.</w:t>
      </w:r>
    </w:p>
    <w:p w14:paraId="21E569CC" w14:textId="5CF81F56" w:rsidR="008F5628" w:rsidRPr="008B1975" w:rsidRDefault="008F5628" w:rsidP="008F5628">
      <w:pPr>
        <w:pStyle w:val="subsection"/>
      </w:pPr>
      <w:r w:rsidRPr="008B1975">
        <w:lastRenderedPageBreak/>
        <w:tab/>
        <w:t>(4)</w:t>
      </w:r>
      <w:r w:rsidRPr="008B1975">
        <w:tab/>
        <w:t xml:space="preserve">A directional sign must be included at the location of a pedestrian entrance </w:t>
      </w:r>
      <w:r w:rsidR="000A171D" w:rsidRPr="008B1975">
        <w:t xml:space="preserve">that </w:t>
      </w:r>
      <w:r w:rsidRPr="008B1975">
        <w:t>is not accessible. Th</w:t>
      </w:r>
      <w:r w:rsidR="0084106D" w:rsidRPr="008B1975">
        <w:t>e</w:t>
      </w:r>
      <w:r w:rsidRPr="008B1975">
        <w:t xml:space="preserve"> sign must:</w:t>
      </w:r>
    </w:p>
    <w:p w14:paraId="79188C00" w14:textId="77777777" w:rsidR="008F5628" w:rsidRPr="008B1975" w:rsidRDefault="008F5628" w:rsidP="008F5628">
      <w:pPr>
        <w:pStyle w:val="paragraph"/>
      </w:pPr>
      <w:r w:rsidRPr="008B1975">
        <w:tab/>
        <w:t>(a)</w:t>
      </w:r>
      <w:r w:rsidRPr="008B1975">
        <w:tab/>
        <w:t>include the international symbol of access in a form that satisfies the requirements in paragraphs 5.2.1(a), (b) and (d) of AS 1428.1 (2021); and</w:t>
      </w:r>
    </w:p>
    <w:p w14:paraId="3DBFD47C" w14:textId="77777777" w:rsidR="008F5628" w:rsidRPr="008B1975" w:rsidRDefault="008F5628" w:rsidP="0084106D">
      <w:pPr>
        <w:pStyle w:val="paragraph"/>
      </w:pPr>
      <w:r w:rsidRPr="008B1975">
        <w:tab/>
        <w:t>(b)</w:t>
      </w:r>
      <w:r w:rsidRPr="008B1975">
        <w:tab/>
        <w:t>direct a person to the location of the nearest accessible pedestrian entrance.</w:t>
      </w:r>
    </w:p>
    <w:p w14:paraId="034775E3" w14:textId="77777777" w:rsidR="008D0C53" w:rsidRPr="008B1975" w:rsidRDefault="008D0C53" w:rsidP="008D0C53">
      <w:pPr>
        <w:pStyle w:val="subsection"/>
      </w:pPr>
      <w:r w:rsidRPr="008B1975">
        <w:tab/>
      </w:r>
      <w:r w:rsidR="00581512" w:rsidRPr="008B1975">
        <w:t>(</w:t>
      </w:r>
      <w:r w:rsidR="008F5628" w:rsidRPr="008B1975">
        <w:t>5</w:t>
      </w:r>
      <w:r w:rsidR="00581512" w:rsidRPr="008B1975">
        <w:t>)</w:t>
      </w:r>
      <w:r w:rsidRPr="008B1975">
        <w:tab/>
        <w:t>This section does not apply to a sign that is in braille and tactile.</w:t>
      </w:r>
    </w:p>
    <w:p w14:paraId="67823AF6" w14:textId="77777777" w:rsidR="008D0C53" w:rsidRPr="008B1975" w:rsidRDefault="008D0C53" w:rsidP="008D0C53">
      <w:pPr>
        <w:pStyle w:val="subsection"/>
      </w:pPr>
      <w:r w:rsidRPr="008B1975">
        <w:tab/>
        <w:t>(</w:t>
      </w:r>
      <w:r w:rsidR="008F5628" w:rsidRPr="008B1975">
        <w:t>6</w:t>
      </w:r>
      <w:r w:rsidRPr="008B1975">
        <w:t>)</w:t>
      </w:r>
      <w:r w:rsidRPr="008B1975">
        <w:tab/>
        <w:t>The following table specifies conveyances, premises and infrastructure this section applies to.</w:t>
      </w:r>
    </w:p>
    <w:p w14:paraId="0A1CE3BD" w14:textId="77777777" w:rsidR="008D0C53" w:rsidRPr="008B1975" w:rsidRDefault="008D0C53" w:rsidP="008D0C5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2F568E15"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11597127" w14:textId="77777777" w:rsidR="008D0C53" w:rsidRPr="008B1975" w:rsidRDefault="008D0C53" w:rsidP="008D0C53">
            <w:pPr>
              <w:pStyle w:val="TableHeading"/>
            </w:pPr>
            <w:r w:rsidRPr="008B1975">
              <w:t>Application of this section</w:t>
            </w:r>
          </w:p>
        </w:tc>
      </w:tr>
      <w:tr w:rsidR="008D0C53" w:rsidRPr="008B1975" w14:paraId="55FAB160" w14:textId="77777777" w:rsidTr="00CC36E0">
        <w:trPr>
          <w:trHeight w:val="300"/>
          <w:tblHeader/>
        </w:trPr>
        <w:tc>
          <w:tcPr>
            <w:tcW w:w="1667" w:type="pct"/>
            <w:tcBorders>
              <w:top w:val="single" w:sz="6" w:space="0" w:color="auto"/>
              <w:bottom w:val="single" w:sz="12" w:space="0" w:color="auto"/>
            </w:tcBorders>
            <w:shd w:val="clear" w:color="auto" w:fill="auto"/>
            <w:hideMark/>
          </w:tcPr>
          <w:p w14:paraId="269575DA" w14:textId="77777777" w:rsidR="008D0C53" w:rsidRPr="008B1975" w:rsidRDefault="008D0C53" w:rsidP="008D0C53">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4ED6E4D7" w14:textId="77777777" w:rsidR="008D0C53" w:rsidRPr="008B1975" w:rsidRDefault="008D0C53" w:rsidP="008D0C53">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515F23C" w14:textId="77777777" w:rsidR="008D0C53" w:rsidRPr="008B1975" w:rsidRDefault="008D0C53" w:rsidP="008D0C53">
            <w:pPr>
              <w:pStyle w:val="TableHeading"/>
            </w:pPr>
            <w:r w:rsidRPr="008B1975">
              <w:t>Infrastructure</w:t>
            </w:r>
          </w:p>
        </w:tc>
      </w:tr>
      <w:tr w:rsidR="008D0C53" w:rsidRPr="008B1975" w14:paraId="57D26766" w14:textId="77777777" w:rsidTr="00CC36E0">
        <w:trPr>
          <w:trHeight w:val="300"/>
        </w:trPr>
        <w:tc>
          <w:tcPr>
            <w:tcW w:w="1667" w:type="pct"/>
            <w:tcBorders>
              <w:top w:val="single" w:sz="12" w:space="0" w:color="auto"/>
              <w:bottom w:val="single" w:sz="12" w:space="0" w:color="auto"/>
            </w:tcBorders>
            <w:shd w:val="clear" w:color="auto" w:fill="auto"/>
            <w:hideMark/>
          </w:tcPr>
          <w:p w14:paraId="0D7397F4" w14:textId="77777777" w:rsidR="008D0C53" w:rsidRPr="008B1975" w:rsidRDefault="008D0C53" w:rsidP="00581512">
            <w:pPr>
              <w:pStyle w:val="Tabletext"/>
            </w:pPr>
            <w:r w:rsidRPr="008B1975">
              <w:t>The following:</w:t>
            </w:r>
          </w:p>
          <w:p w14:paraId="26992A95" w14:textId="77777777" w:rsidR="008D0C53" w:rsidRPr="008B1975" w:rsidRDefault="008D0C53" w:rsidP="008D0C53">
            <w:pPr>
              <w:pStyle w:val="Tablea"/>
            </w:pPr>
            <w:r w:rsidRPr="008B1975">
              <w:t>(a) buses</w:t>
            </w:r>
            <w:r w:rsidR="00581512" w:rsidRPr="008B1975">
              <w:t>;</w:t>
            </w:r>
          </w:p>
          <w:p w14:paraId="5D035FC8" w14:textId="77777777" w:rsidR="008D0C53" w:rsidRPr="008B1975" w:rsidRDefault="008D0C53" w:rsidP="008D0C53">
            <w:pPr>
              <w:pStyle w:val="Tablea"/>
            </w:pPr>
            <w:r w:rsidRPr="008B1975">
              <w:t>(b) coaches</w:t>
            </w:r>
            <w:r w:rsidR="00581512" w:rsidRPr="008B1975">
              <w:t>;</w:t>
            </w:r>
          </w:p>
          <w:p w14:paraId="657E6AB3" w14:textId="77777777" w:rsidR="008D0C53" w:rsidRPr="008B1975" w:rsidRDefault="008D0C53" w:rsidP="008D0C53">
            <w:pPr>
              <w:pStyle w:val="Tablea"/>
            </w:pPr>
            <w:r w:rsidRPr="008B1975">
              <w:t>(c) ferries</w:t>
            </w:r>
            <w:r w:rsidR="00581512" w:rsidRPr="008B1975">
              <w:t>;</w:t>
            </w:r>
          </w:p>
          <w:p w14:paraId="3DD03636" w14:textId="77777777" w:rsidR="008D0C53" w:rsidRPr="008B1975" w:rsidRDefault="008D0C53" w:rsidP="008D0C53">
            <w:pPr>
              <w:pStyle w:val="Tablea"/>
            </w:pPr>
            <w:r w:rsidRPr="008B1975">
              <w:t>(d) trains</w:t>
            </w:r>
            <w:r w:rsidR="00581512" w:rsidRPr="008B1975">
              <w:t>;</w:t>
            </w:r>
          </w:p>
          <w:p w14:paraId="77BC7FA5" w14:textId="77777777" w:rsidR="008D0C53" w:rsidRPr="008B1975" w:rsidRDefault="008D0C53" w:rsidP="008D0C53">
            <w:pPr>
              <w:pStyle w:val="Tablea"/>
            </w:pPr>
            <w:r w:rsidRPr="008B1975">
              <w:t>(e) trams</w:t>
            </w:r>
            <w:r w:rsidR="00581512" w:rsidRPr="008B1975">
              <w:t>;</w:t>
            </w:r>
          </w:p>
          <w:p w14:paraId="1579C877" w14:textId="77777777" w:rsidR="008D0C53" w:rsidRPr="008B1975" w:rsidRDefault="008D0C53" w:rsidP="008D0C53">
            <w:pPr>
              <w:pStyle w:val="Tablea"/>
            </w:pPr>
            <w:r w:rsidRPr="008B1975">
              <w:t>(f) light rail</w:t>
            </w:r>
          </w:p>
        </w:tc>
        <w:tc>
          <w:tcPr>
            <w:tcW w:w="1667" w:type="pct"/>
            <w:tcBorders>
              <w:top w:val="single" w:sz="12" w:space="0" w:color="auto"/>
              <w:bottom w:val="single" w:sz="12" w:space="0" w:color="auto"/>
            </w:tcBorders>
            <w:shd w:val="clear" w:color="auto" w:fill="auto"/>
            <w:hideMark/>
          </w:tcPr>
          <w:p w14:paraId="7C0C49E1" w14:textId="77777777" w:rsidR="008D0C53" w:rsidRPr="008B1975" w:rsidRDefault="008D0C53" w:rsidP="00581512">
            <w:pPr>
              <w:pStyle w:val="Tabletext"/>
            </w:pPr>
            <w:r w:rsidRPr="008B1975">
              <w:t>All, except premises to which the Premises Standards apply</w:t>
            </w:r>
          </w:p>
        </w:tc>
        <w:tc>
          <w:tcPr>
            <w:tcW w:w="1667" w:type="pct"/>
            <w:tcBorders>
              <w:top w:val="single" w:sz="12" w:space="0" w:color="auto"/>
              <w:bottom w:val="single" w:sz="12" w:space="0" w:color="auto"/>
            </w:tcBorders>
            <w:shd w:val="clear" w:color="auto" w:fill="auto"/>
          </w:tcPr>
          <w:p w14:paraId="7E7B35F8" w14:textId="77777777" w:rsidR="008D0C53" w:rsidRPr="008B1975" w:rsidRDefault="008D0C53" w:rsidP="00581512">
            <w:pPr>
              <w:pStyle w:val="Tabletext"/>
            </w:pPr>
            <w:r w:rsidRPr="008B1975">
              <w:t>All</w:t>
            </w:r>
          </w:p>
        </w:tc>
      </w:tr>
    </w:tbl>
    <w:p w14:paraId="3DD59B15" w14:textId="77777777" w:rsidR="007F1F0A" w:rsidRPr="008B1975" w:rsidRDefault="007F1F0A" w:rsidP="007F1F0A">
      <w:pPr>
        <w:pStyle w:val="ActHead5"/>
        <w:outlineLvl w:val="9"/>
      </w:pPr>
      <w:r w:rsidRPr="008B1975">
        <w:t xml:space="preserve">17.3  Signs in </w:t>
      </w:r>
      <w:r w:rsidR="00217C12" w:rsidRPr="008B1975">
        <w:t>space</w:t>
      </w:r>
      <w:r w:rsidRPr="008B1975">
        <w:t>s with hearing augmentation systems</w:t>
      </w:r>
    </w:p>
    <w:p w14:paraId="46AB451A" w14:textId="77777777" w:rsidR="007F1F0A" w:rsidRPr="008B1975" w:rsidRDefault="007F1F0A" w:rsidP="007F1F0A">
      <w:pPr>
        <w:pStyle w:val="subsection"/>
      </w:pPr>
      <w:r w:rsidRPr="008B1975">
        <w:tab/>
        <w:t>(1)</w:t>
      </w:r>
      <w:r w:rsidRPr="008B1975">
        <w:tab/>
        <w:t xml:space="preserve">If a </w:t>
      </w:r>
      <w:r w:rsidR="006A7C71" w:rsidRPr="008B1975">
        <w:t>space</w:t>
      </w:r>
      <w:r w:rsidRPr="008B1975">
        <w:t xml:space="preserve"> contains a hearing augmentation system, a sign must be provided that identifies the following:</w:t>
      </w:r>
    </w:p>
    <w:p w14:paraId="3386D36F" w14:textId="77777777" w:rsidR="007F1F0A" w:rsidRPr="008B1975" w:rsidRDefault="007F1F0A" w:rsidP="007F1F0A">
      <w:pPr>
        <w:pStyle w:val="paragraph"/>
      </w:pPr>
      <w:r w:rsidRPr="008B1975">
        <w:tab/>
        <w:t>(a)</w:t>
      </w:r>
      <w:r w:rsidRPr="008B1975">
        <w:tab/>
        <w:t xml:space="preserve">the type of system used in the </w:t>
      </w:r>
      <w:r w:rsidR="00217C12" w:rsidRPr="008B1975">
        <w:t>space</w:t>
      </w:r>
      <w:r w:rsidRPr="008B1975">
        <w:t>;</w:t>
      </w:r>
    </w:p>
    <w:p w14:paraId="566A0CC2" w14:textId="77777777" w:rsidR="007F1F0A" w:rsidRPr="008B1975" w:rsidRDefault="007F1F0A" w:rsidP="007F1F0A">
      <w:pPr>
        <w:pStyle w:val="paragraph"/>
      </w:pPr>
      <w:r w:rsidRPr="008B1975">
        <w:tab/>
        <w:t>(b)</w:t>
      </w:r>
      <w:r w:rsidRPr="008B1975">
        <w:tab/>
        <w:t xml:space="preserve">the area covered within the </w:t>
      </w:r>
      <w:r w:rsidR="00217C12" w:rsidRPr="008B1975">
        <w:t>space</w:t>
      </w:r>
      <w:r w:rsidRPr="008B1975">
        <w:t xml:space="preserve"> by the system;</w:t>
      </w:r>
    </w:p>
    <w:p w14:paraId="3D785A99" w14:textId="77777777" w:rsidR="007F1F0A" w:rsidRPr="008B1975" w:rsidRDefault="007F1F0A" w:rsidP="007F1F0A">
      <w:pPr>
        <w:pStyle w:val="paragraph"/>
      </w:pPr>
      <w:r w:rsidRPr="008B1975">
        <w:tab/>
        <w:t>(c)</w:t>
      </w:r>
      <w:r w:rsidRPr="008B1975">
        <w:tab/>
        <w:t>if receivers are being used by the system and where the receivers can be obtained.</w:t>
      </w:r>
    </w:p>
    <w:p w14:paraId="4D387D8B" w14:textId="77777777" w:rsidR="007F1F0A" w:rsidRPr="008B1975" w:rsidRDefault="007F1F0A" w:rsidP="007F1F0A">
      <w:pPr>
        <w:pStyle w:val="subsection"/>
      </w:pPr>
      <w:r w:rsidRPr="008B1975">
        <w:tab/>
        <w:t>(2)</w:t>
      </w:r>
      <w:r w:rsidRPr="008B1975">
        <w:tab/>
        <w:t>The sign must also include the international symbol for deafness in a form that satisfies the requirements in paragraphs 5.2.2(a), (b) and (d) of AS 1428.1 (2021).</w:t>
      </w:r>
    </w:p>
    <w:p w14:paraId="0B350ECC" w14:textId="77777777" w:rsidR="007F1F0A" w:rsidRPr="008B1975" w:rsidRDefault="007F1F0A" w:rsidP="007F1F0A">
      <w:pPr>
        <w:pStyle w:val="subsection"/>
      </w:pPr>
      <w:r w:rsidRPr="008B1975">
        <w:tab/>
        <w:t>(3)</w:t>
      </w:r>
      <w:r w:rsidRPr="008B1975">
        <w:tab/>
        <w:t>The following table specifies conveyances, premises and infrastructure this section applies to.</w:t>
      </w:r>
    </w:p>
    <w:p w14:paraId="0D855EA9" w14:textId="77777777" w:rsidR="007F1F0A" w:rsidRPr="008B1975" w:rsidRDefault="007F1F0A" w:rsidP="007F1F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F1F0A" w:rsidRPr="008B1975" w14:paraId="5458292A"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508D35DC" w14:textId="77777777" w:rsidR="007F1F0A" w:rsidRPr="008B1975" w:rsidRDefault="007F1F0A" w:rsidP="00AB53F1">
            <w:pPr>
              <w:pStyle w:val="TableHeading"/>
              <w:rPr>
                <w:lang w:eastAsia="en-US"/>
              </w:rPr>
            </w:pPr>
            <w:r w:rsidRPr="008B1975">
              <w:rPr>
                <w:lang w:eastAsia="en-US"/>
              </w:rPr>
              <w:t>Application of this section</w:t>
            </w:r>
          </w:p>
        </w:tc>
      </w:tr>
      <w:tr w:rsidR="007F1F0A" w:rsidRPr="008B1975" w14:paraId="2B83A03A" w14:textId="77777777" w:rsidTr="00CC36E0">
        <w:trPr>
          <w:trHeight w:val="300"/>
          <w:tblHeader/>
        </w:trPr>
        <w:tc>
          <w:tcPr>
            <w:tcW w:w="1667" w:type="pct"/>
            <w:tcBorders>
              <w:top w:val="single" w:sz="6" w:space="0" w:color="auto"/>
              <w:left w:val="nil"/>
              <w:bottom w:val="single" w:sz="12" w:space="0" w:color="auto"/>
              <w:right w:val="nil"/>
            </w:tcBorders>
            <w:hideMark/>
          </w:tcPr>
          <w:p w14:paraId="55300DD8" w14:textId="77777777" w:rsidR="007F1F0A" w:rsidRPr="008B1975" w:rsidRDefault="007F1F0A"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2F8FEC4A" w14:textId="77777777" w:rsidR="007F1F0A" w:rsidRPr="008B1975" w:rsidRDefault="007F1F0A"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3F689E09" w14:textId="77777777" w:rsidR="007F1F0A" w:rsidRPr="008B1975" w:rsidRDefault="007F1F0A" w:rsidP="00AB53F1">
            <w:pPr>
              <w:pStyle w:val="TableHeading"/>
              <w:rPr>
                <w:lang w:eastAsia="en-US"/>
              </w:rPr>
            </w:pPr>
            <w:r w:rsidRPr="008B1975">
              <w:rPr>
                <w:lang w:eastAsia="en-US"/>
              </w:rPr>
              <w:t>Infrastructure</w:t>
            </w:r>
          </w:p>
        </w:tc>
      </w:tr>
      <w:tr w:rsidR="007F1F0A" w:rsidRPr="008B1975" w14:paraId="18A672B9" w14:textId="77777777" w:rsidTr="00CC36E0">
        <w:trPr>
          <w:trHeight w:val="300"/>
        </w:trPr>
        <w:tc>
          <w:tcPr>
            <w:tcW w:w="1667" w:type="pct"/>
            <w:tcBorders>
              <w:top w:val="single" w:sz="12" w:space="0" w:color="auto"/>
              <w:left w:val="nil"/>
              <w:bottom w:val="single" w:sz="12" w:space="0" w:color="auto"/>
              <w:right w:val="nil"/>
            </w:tcBorders>
            <w:hideMark/>
          </w:tcPr>
          <w:p w14:paraId="73A6AC8E" w14:textId="77777777" w:rsidR="007F1F0A" w:rsidRPr="008B1975" w:rsidRDefault="007F1F0A" w:rsidP="00AB53F1">
            <w:pPr>
              <w:pStyle w:val="Tabletext"/>
              <w:rPr>
                <w:lang w:eastAsia="en-US"/>
              </w:rPr>
            </w:pPr>
            <w:r w:rsidRPr="008B1975">
              <w:rPr>
                <w:lang w:eastAsia="en-US"/>
              </w:rPr>
              <w:t>The following:</w:t>
            </w:r>
          </w:p>
          <w:p w14:paraId="5C36BB78" w14:textId="77777777" w:rsidR="007F1F0A" w:rsidRPr="008B1975" w:rsidRDefault="007F1F0A" w:rsidP="00AB53F1">
            <w:pPr>
              <w:pStyle w:val="Tablea"/>
              <w:rPr>
                <w:lang w:eastAsia="en-US"/>
              </w:rPr>
            </w:pPr>
            <w:r w:rsidRPr="008B1975">
              <w:rPr>
                <w:lang w:eastAsia="en-US"/>
              </w:rPr>
              <w:t>(a) buses;</w:t>
            </w:r>
          </w:p>
          <w:p w14:paraId="3AC2DC69" w14:textId="77777777" w:rsidR="007F1F0A" w:rsidRPr="008B1975" w:rsidRDefault="007F1F0A" w:rsidP="00AB53F1">
            <w:pPr>
              <w:pStyle w:val="Tablea"/>
              <w:rPr>
                <w:lang w:eastAsia="en-US"/>
              </w:rPr>
            </w:pPr>
            <w:r w:rsidRPr="008B1975">
              <w:rPr>
                <w:lang w:eastAsia="en-US"/>
              </w:rPr>
              <w:t>(b) coaches;</w:t>
            </w:r>
          </w:p>
          <w:p w14:paraId="608E7E9C" w14:textId="77777777" w:rsidR="007F1F0A" w:rsidRPr="008B1975" w:rsidRDefault="007F1F0A" w:rsidP="00AB53F1">
            <w:pPr>
              <w:pStyle w:val="Tablea"/>
              <w:rPr>
                <w:lang w:eastAsia="en-US"/>
              </w:rPr>
            </w:pPr>
            <w:r w:rsidRPr="008B1975">
              <w:rPr>
                <w:lang w:eastAsia="en-US"/>
              </w:rPr>
              <w:t>(c) ferries;</w:t>
            </w:r>
          </w:p>
          <w:p w14:paraId="559C180A" w14:textId="77777777" w:rsidR="007F1F0A" w:rsidRPr="008B1975" w:rsidRDefault="007F1F0A" w:rsidP="00AB53F1">
            <w:pPr>
              <w:pStyle w:val="Tablea"/>
              <w:rPr>
                <w:lang w:eastAsia="en-US"/>
              </w:rPr>
            </w:pPr>
            <w:r w:rsidRPr="008B1975">
              <w:rPr>
                <w:lang w:eastAsia="en-US"/>
              </w:rPr>
              <w:t>(d) trains;</w:t>
            </w:r>
          </w:p>
          <w:p w14:paraId="60530AA7" w14:textId="77777777" w:rsidR="007F1F0A" w:rsidRPr="008B1975" w:rsidRDefault="007F1F0A" w:rsidP="00AB53F1">
            <w:pPr>
              <w:pStyle w:val="Tablea"/>
              <w:rPr>
                <w:lang w:eastAsia="en-US"/>
              </w:rPr>
            </w:pPr>
            <w:r w:rsidRPr="008B1975">
              <w:rPr>
                <w:lang w:eastAsia="en-US"/>
              </w:rPr>
              <w:t>(e) trams;</w:t>
            </w:r>
          </w:p>
          <w:p w14:paraId="6CCC8C65" w14:textId="77777777" w:rsidR="007F1F0A" w:rsidRPr="008B1975" w:rsidRDefault="007F1F0A" w:rsidP="00AB53F1">
            <w:pPr>
              <w:pStyle w:val="Tablea"/>
              <w:rPr>
                <w:lang w:eastAsia="en-US"/>
              </w:rPr>
            </w:pPr>
            <w:r w:rsidRPr="008B1975">
              <w:rPr>
                <w:lang w:eastAsia="en-US"/>
              </w:rPr>
              <w:t>(f) light rail</w:t>
            </w:r>
          </w:p>
        </w:tc>
        <w:tc>
          <w:tcPr>
            <w:tcW w:w="1667" w:type="pct"/>
            <w:tcBorders>
              <w:top w:val="single" w:sz="12" w:space="0" w:color="auto"/>
              <w:left w:val="nil"/>
              <w:bottom w:val="single" w:sz="12" w:space="0" w:color="auto"/>
              <w:right w:val="nil"/>
            </w:tcBorders>
            <w:hideMark/>
          </w:tcPr>
          <w:p w14:paraId="7E32F5D3" w14:textId="77777777" w:rsidR="007F1F0A" w:rsidRPr="008B1975" w:rsidRDefault="007F1F0A"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040D98AA" w14:textId="77777777" w:rsidR="007F1F0A" w:rsidRPr="008B1975" w:rsidRDefault="007F1F0A" w:rsidP="00AB53F1">
            <w:pPr>
              <w:pStyle w:val="Tabletext"/>
              <w:rPr>
                <w:lang w:eastAsia="en-US"/>
              </w:rPr>
            </w:pPr>
            <w:r w:rsidRPr="008B1975">
              <w:rPr>
                <w:lang w:eastAsia="en-US"/>
              </w:rPr>
              <w:t>All</w:t>
            </w:r>
          </w:p>
        </w:tc>
      </w:tr>
    </w:tbl>
    <w:p w14:paraId="448BE931" w14:textId="77777777" w:rsidR="007F1F0A" w:rsidRPr="008B1975" w:rsidRDefault="007F1F0A" w:rsidP="007F1F0A">
      <w:pPr>
        <w:pStyle w:val="ActHead5"/>
        <w:outlineLvl w:val="9"/>
      </w:pPr>
      <w:r w:rsidRPr="008B1975">
        <w:lastRenderedPageBreak/>
        <w:t>17.3A  Signs in sanitary facilities</w:t>
      </w:r>
    </w:p>
    <w:p w14:paraId="467DC94D" w14:textId="77777777" w:rsidR="007F1F0A" w:rsidRPr="008B1975" w:rsidRDefault="007F1F0A" w:rsidP="007F1F0A">
      <w:pPr>
        <w:pStyle w:val="subsection"/>
      </w:pPr>
      <w:r w:rsidRPr="008B1975">
        <w:tab/>
        <w:t>(1)</w:t>
      </w:r>
      <w:r w:rsidRPr="008B1975">
        <w:tab/>
        <w:t>A sign provided for unisex accessible sanitary facilities must identify if the facility is suitable for left-handed or right-handed use.</w:t>
      </w:r>
    </w:p>
    <w:p w14:paraId="62A07A45" w14:textId="77777777" w:rsidR="007F1F0A" w:rsidRPr="008B1975" w:rsidRDefault="007F1F0A" w:rsidP="007F1F0A">
      <w:pPr>
        <w:pStyle w:val="subsection"/>
      </w:pPr>
      <w:r w:rsidRPr="008B1975">
        <w:tab/>
        <w:t>(2)</w:t>
      </w:r>
      <w:r w:rsidRPr="008B1975">
        <w:tab/>
        <w:t>A sign provided to identify an ambulant accessible sanitary facility must be located on the door of the facility.</w:t>
      </w:r>
    </w:p>
    <w:p w14:paraId="417F871A" w14:textId="7E2AC265" w:rsidR="007F1F0A" w:rsidRPr="008B1975" w:rsidRDefault="007F1F0A" w:rsidP="007F1F0A">
      <w:pPr>
        <w:pStyle w:val="subsection"/>
      </w:pPr>
      <w:r w:rsidRPr="008B1975">
        <w:tab/>
        <w:t>(3)</w:t>
      </w:r>
      <w:r w:rsidRPr="008B1975">
        <w:tab/>
        <w:t>If sanitary facilities do not include any unisex accessible sanitary facilities, a directional sign must be provided that does the following:</w:t>
      </w:r>
    </w:p>
    <w:p w14:paraId="546EC8B6" w14:textId="77777777" w:rsidR="007F1F0A" w:rsidRPr="008B1975" w:rsidRDefault="007F1F0A" w:rsidP="007F1F0A">
      <w:pPr>
        <w:pStyle w:val="paragraph"/>
      </w:pPr>
      <w:r w:rsidRPr="008B1975">
        <w:t xml:space="preserve"> </w:t>
      </w:r>
      <w:r w:rsidRPr="008B1975">
        <w:tab/>
        <w:t>(a)</w:t>
      </w:r>
      <w:r w:rsidRPr="008B1975">
        <w:tab/>
        <w:t>includes the international symbol of access in a form that satisfies the requirements in paragraphs 5.2.1(a), (b) and (d) of AS 1428.1 (2021);</w:t>
      </w:r>
    </w:p>
    <w:p w14:paraId="3916C6E8" w14:textId="77777777" w:rsidR="007F1F0A" w:rsidRPr="008B1975" w:rsidRDefault="007F1F0A" w:rsidP="007F1F0A">
      <w:pPr>
        <w:pStyle w:val="paragraph"/>
      </w:pPr>
      <w:r w:rsidRPr="008B1975">
        <w:tab/>
        <w:t>(b)</w:t>
      </w:r>
      <w:r w:rsidRPr="008B1975">
        <w:tab/>
        <w:t>directs a person to the location of the nearest unisex accessible sanitary facility.</w:t>
      </w:r>
    </w:p>
    <w:p w14:paraId="39D9957D" w14:textId="77777777" w:rsidR="007F1F0A" w:rsidRPr="008B1975" w:rsidRDefault="007F1F0A" w:rsidP="007F1F0A">
      <w:pPr>
        <w:pStyle w:val="subsection"/>
      </w:pPr>
      <w:r w:rsidRPr="008B1975">
        <w:tab/>
        <w:t>(4)</w:t>
      </w:r>
      <w:r w:rsidRPr="008B1975">
        <w:tab/>
        <w:t>The following table specifies conveyances, premises and infrastructure this section applies to.</w:t>
      </w:r>
    </w:p>
    <w:p w14:paraId="6B48A2C4" w14:textId="77777777" w:rsidR="007F1F0A" w:rsidRPr="008B1975" w:rsidRDefault="007F1F0A" w:rsidP="007F1F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F1F0A" w:rsidRPr="008B1975" w14:paraId="7AB559B3"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5C99288C" w14:textId="77777777" w:rsidR="007F1F0A" w:rsidRPr="008B1975" w:rsidRDefault="007F1F0A" w:rsidP="00AB53F1">
            <w:pPr>
              <w:pStyle w:val="TableHeading"/>
              <w:rPr>
                <w:lang w:eastAsia="en-US"/>
              </w:rPr>
            </w:pPr>
            <w:r w:rsidRPr="008B1975">
              <w:rPr>
                <w:lang w:eastAsia="en-US"/>
              </w:rPr>
              <w:t>Application of this section</w:t>
            </w:r>
          </w:p>
        </w:tc>
      </w:tr>
      <w:tr w:rsidR="007F1F0A" w:rsidRPr="008B1975" w14:paraId="51FC2EDB" w14:textId="77777777" w:rsidTr="00CC36E0">
        <w:trPr>
          <w:trHeight w:val="300"/>
          <w:tblHeader/>
        </w:trPr>
        <w:tc>
          <w:tcPr>
            <w:tcW w:w="1667" w:type="pct"/>
            <w:tcBorders>
              <w:top w:val="single" w:sz="6" w:space="0" w:color="auto"/>
              <w:left w:val="nil"/>
              <w:bottom w:val="single" w:sz="12" w:space="0" w:color="auto"/>
              <w:right w:val="nil"/>
            </w:tcBorders>
            <w:hideMark/>
          </w:tcPr>
          <w:p w14:paraId="1A3F15E0" w14:textId="77777777" w:rsidR="007F1F0A" w:rsidRPr="008B1975" w:rsidRDefault="007F1F0A"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0136F0F2" w14:textId="77777777" w:rsidR="007F1F0A" w:rsidRPr="008B1975" w:rsidRDefault="007F1F0A"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33C61ABA" w14:textId="77777777" w:rsidR="007F1F0A" w:rsidRPr="008B1975" w:rsidRDefault="007F1F0A" w:rsidP="00AB53F1">
            <w:pPr>
              <w:pStyle w:val="TableHeading"/>
              <w:rPr>
                <w:lang w:eastAsia="en-US"/>
              </w:rPr>
            </w:pPr>
            <w:r w:rsidRPr="008B1975">
              <w:rPr>
                <w:lang w:eastAsia="en-US"/>
              </w:rPr>
              <w:t>Infrastructure</w:t>
            </w:r>
          </w:p>
        </w:tc>
      </w:tr>
      <w:tr w:rsidR="007F1F0A" w:rsidRPr="008B1975" w14:paraId="6EF46A56" w14:textId="77777777" w:rsidTr="00CC36E0">
        <w:trPr>
          <w:trHeight w:val="300"/>
        </w:trPr>
        <w:tc>
          <w:tcPr>
            <w:tcW w:w="1667" w:type="pct"/>
            <w:tcBorders>
              <w:top w:val="single" w:sz="12" w:space="0" w:color="auto"/>
              <w:left w:val="nil"/>
              <w:bottom w:val="single" w:sz="12" w:space="0" w:color="auto"/>
              <w:right w:val="nil"/>
            </w:tcBorders>
            <w:hideMark/>
          </w:tcPr>
          <w:p w14:paraId="529E725E" w14:textId="77777777" w:rsidR="007F1F0A" w:rsidRPr="008B1975" w:rsidRDefault="007F1F0A" w:rsidP="00AB53F1">
            <w:pPr>
              <w:pStyle w:val="Tabletext"/>
              <w:rPr>
                <w:lang w:eastAsia="en-US"/>
              </w:rPr>
            </w:pPr>
            <w:r w:rsidRPr="008B1975">
              <w:rPr>
                <w:lang w:eastAsia="en-US"/>
              </w:rPr>
              <w:t>The following:</w:t>
            </w:r>
          </w:p>
          <w:p w14:paraId="23966A66" w14:textId="77777777" w:rsidR="007F1F0A" w:rsidRPr="008B1975" w:rsidRDefault="007F1F0A" w:rsidP="00AB53F1">
            <w:pPr>
              <w:pStyle w:val="Tablea"/>
              <w:rPr>
                <w:lang w:eastAsia="en-US"/>
              </w:rPr>
            </w:pPr>
            <w:r w:rsidRPr="008B1975">
              <w:rPr>
                <w:lang w:eastAsia="en-US"/>
              </w:rPr>
              <w:t>(a) buses;</w:t>
            </w:r>
          </w:p>
          <w:p w14:paraId="5C7C9442" w14:textId="77777777" w:rsidR="007F1F0A" w:rsidRPr="008B1975" w:rsidRDefault="007F1F0A" w:rsidP="00AB53F1">
            <w:pPr>
              <w:pStyle w:val="Tablea"/>
              <w:rPr>
                <w:lang w:eastAsia="en-US"/>
              </w:rPr>
            </w:pPr>
            <w:r w:rsidRPr="008B1975">
              <w:rPr>
                <w:lang w:eastAsia="en-US"/>
              </w:rPr>
              <w:t>(b) coaches;</w:t>
            </w:r>
          </w:p>
          <w:p w14:paraId="32509393" w14:textId="77777777" w:rsidR="007F1F0A" w:rsidRPr="008B1975" w:rsidRDefault="007F1F0A" w:rsidP="00AB53F1">
            <w:pPr>
              <w:pStyle w:val="Tablea"/>
              <w:rPr>
                <w:lang w:eastAsia="en-US"/>
              </w:rPr>
            </w:pPr>
            <w:r w:rsidRPr="008B1975">
              <w:rPr>
                <w:lang w:eastAsia="en-US"/>
              </w:rPr>
              <w:t>(c) ferries;</w:t>
            </w:r>
          </w:p>
          <w:p w14:paraId="583A41F2" w14:textId="77777777" w:rsidR="007F1F0A" w:rsidRPr="008B1975" w:rsidRDefault="007F1F0A" w:rsidP="00AB53F1">
            <w:pPr>
              <w:pStyle w:val="Tablea"/>
              <w:rPr>
                <w:lang w:eastAsia="en-US"/>
              </w:rPr>
            </w:pPr>
            <w:r w:rsidRPr="008B1975">
              <w:rPr>
                <w:lang w:eastAsia="en-US"/>
              </w:rPr>
              <w:t>(d) trains;</w:t>
            </w:r>
          </w:p>
          <w:p w14:paraId="4E00CF0F" w14:textId="77777777" w:rsidR="007F1F0A" w:rsidRPr="008B1975" w:rsidRDefault="007F1F0A" w:rsidP="00AB53F1">
            <w:pPr>
              <w:pStyle w:val="Tablea"/>
              <w:rPr>
                <w:lang w:eastAsia="en-US"/>
              </w:rPr>
            </w:pPr>
            <w:r w:rsidRPr="008B1975">
              <w:rPr>
                <w:lang w:eastAsia="en-US"/>
              </w:rPr>
              <w:t>(e) trams;</w:t>
            </w:r>
          </w:p>
          <w:p w14:paraId="10144CBE" w14:textId="77777777" w:rsidR="007F1F0A" w:rsidRPr="008B1975" w:rsidRDefault="007F1F0A" w:rsidP="00AB53F1">
            <w:pPr>
              <w:pStyle w:val="Tablea"/>
              <w:rPr>
                <w:lang w:eastAsia="en-US"/>
              </w:rPr>
            </w:pPr>
            <w:r w:rsidRPr="008B1975">
              <w:rPr>
                <w:lang w:eastAsia="en-US"/>
              </w:rPr>
              <w:t>(f) light rail</w:t>
            </w:r>
          </w:p>
        </w:tc>
        <w:tc>
          <w:tcPr>
            <w:tcW w:w="1667" w:type="pct"/>
            <w:tcBorders>
              <w:top w:val="single" w:sz="12" w:space="0" w:color="auto"/>
              <w:left w:val="nil"/>
              <w:bottom w:val="single" w:sz="12" w:space="0" w:color="auto"/>
              <w:right w:val="nil"/>
            </w:tcBorders>
            <w:hideMark/>
          </w:tcPr>
          <w:p w14:paraId="75D0C3C7" w14:textId="77777777" w:rsidR="007F1F0A" w:rsidRPr="008B1975" w:rsidRDefault="007F1F0A"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64F39051" w14:textId="77777777" w:rsidR="007F1F0A" w:rsidRPr="008B1975" w:rsidRDefault="007F1F0A" w:rsidP="00AB53F1">
            <w:pPr>
              <w:pStyle w:val="Tabletext"/>
              <w:rPr>
                <w:lang w:eastAsia="en-US"/>
              </w:rPr>
            </w:pPr>
            <w:r w:rsidRPr="008B1975">
              <w:rPr>
                <w:lang w:eastAsia="en-US"/>
              </w:rPr>
              <w:t>All</w:t>
            </w:r>
          </w:p>
        </w:tc>
      </w:tr>
    </w:tbl>
    <w:p w14:paraId="31A04933" w14:textId="77777777" w:rsidR="00801754" w:rsidRPr="008B1975" w:rsidRDefault="00946DEA" w:rsidP="00946DEA">
      <w:pPr>
        <w:pStyle w:val="ItemHead"/>
      </w:pPr>
      <w:bookmarkStart w:id="234" w:name="_Ref185275694"/>
      <w:r w:rsidRPr="008B1975">
        <w:t xml:space="preserve">3  </w:t>
      </w:r>
      <w:r w:rsidR="00801754" w:rsidRPr="008B1975">
        <w:t>Section 17.4 (table)</w:t>
      </w:r>
      <w:bookmarkEnd w:id="234"/>
    </w:p>
    <w:p w14:paraId="6D24E8FD" w14:textId="77777777" w:rsidR="00801754" w:rsidRPr="008B1975" w:rsidRDefault="00801754" w:rsidP="00801754">
      <w:pPr>
        <w:pStyle w:val="Item"/>
      </w:pPr>
      <w:r w:rsidRPr="008B1975">
        <w:t>Repeal the table, substitute:</w:t>
      </w:r>
    </w:p>
    <w:p w14:paraId="3C0B2C58" w14:textId="77777777" w:rsidR="00801754" w:rsidRPr="008B1975" w:rsidRDefault="00801754" w:rsidP="00801754">
      <w:pPr>
        <w:pStyle w:val="subsection"/>
      </w:pPr>
      <w:r w:rsidRPr="008B1975">
        <w:tab/>
        <w:t>(3)</w:t>
      </w:r>
      <w:r w:rsidRPr="008B1975">
        <w:tab/>
        <w:t>The following table specifies conveyances, premises and infrastructure this section applies to.</w:t>
      </w:r>
    </w:p>
    <w:p w14:paraId="13B0FE51" w14:textId="77777777" w:rsidR="00801754" w:rsidRPr="008B1975" w:rsidRDefault="00801754" w:rsidP="0080175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01754" w:rsidRPr="008B1975" w14:paraId="4A0B9256"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081934CF" w14:textId="77777777" w:rsidR="00801754" w:rsidRPr="008B1975" w:rsidRDefault="00801754" w:rsidP="00DE081B">
            <w:pPr>
              <w:pStyle w:val="TableHeading"/>
            </w:pPr>
            <w:r w:rsidRPr="008B1975">
              <w:t>Application of this section</w:t>
            </w:r>
          </w:p>
        </w:tc>
      </w:tr>
      <w:tr w:rsidR="00801754" w:rsidRPr="008B1975" w14:paraId="5144BA04" w14:textId="77777777" w:rsidTr="00CC36E0">
        <w:trPr>
          <w:trHeight w:val="300"/>
          <w:tblHeader/>
        </w:trPr>
        <w:tc>
          <w:tcPr>
            <w:tcW w:w="1667" w:type="pct"/>
            <w:tcBorders>
              <w:top w:val="single" w:sz="6" w:space="0" w:color="auto"/>
              <w:left w:val="nil"/>
              <w:bottom w:val="single" w:sz="12" w:space="0" w:color="auto"/>
              <w:right w:val="nil"/>
            </w:tcBorders>
            <w:hideMark/>
          </w:tcPr>
          <w:p w14:paraId="38F9BC5E" w14:textId="77777777" w:rsidR="00801754" w:rsidRPr="008B1975" w:rsidRDefault="00801754"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5FBC34CB" w14:textId="77777777" w:rsidR="00801754" w:rsidRPr="008B1975" w:rsidRDefault="00801754"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524236FF" w14:textId="77777777" w:rsidR="00801754" w:rsidRPr="008B1975" w:rsidRDefault="00801754" w:rsidP="00DE081B">
            <w:pPr>
              <w:pStyle w:val="TableHeading"/>
            </w:pPr>
            <w:r w:rsidRPr="008B1975">
              <w:t>Infrastructure</w:t>
            </w:r>
          </w:p>
        </w:tc>
      </w:tr>
      <w:tr w:rsidR="00801754" w:rsidRPr="008B1975" w14:paraId="46C033D2" w14:textId="77777777" w:rsidTr="00CC36E0">
        <w:trPr>
          <w:trHeight w:val="300"/>
        </w:trPr>
        <w:tc>
          <w:tcPr>
            <w:tcW w:w="1667" w:type="pct"/>
            <w:tcBorders>
              <w:top w:val="single" w:sz="12" w:space="0" w:color="auto"/>
              <w:left w:val="nil"/>
              <w:bottom w:val="single" w:sz="12" w:space="0" w:color="auto"/>
              <w:right w:val="nil"/>
            </w:tcBorders>
            <w:hideMark/>
          </w:tcPr>
          <w:p w14:paraId="54A0FC13" w14:textId="77777777" w:rsidR="00801754" w:rsidRPr="008B1975" w:rsidRDefault="00801754" w:rsidP="00801754">
            <w:pPr>
              <w:pStyle w:val="Tablea"/>
            </w:pPr>
            <w:r w:rsidRPr="008B1975">
              <w:t>The following:</w:t>
            </w:r>
          </w:p>
          <w:p w14:paraId="3EF34FD3" w14:textId="777CD277" w:rsidR="00801754" w:rsidRPr="008B1975" w:rsidRDefault="00801754" w:rsidP="00801754">
            <w:pPr>
              <w:pStyle w:val="Tablea"/>
            </w:pPr>
            <w:r w:rsidRPr="008B1975">
              <w:t>(a) buses</w:t>
            </w:r>
            <w:r w:rsidR="00CC36E0" w:rsidRPr="008B1975">
              <w:t>;</w:t>
            </w:r>
          </w:p>
          <w:p w14:paraId="174A3336" w14:textId="22AA134D" w:rsidR="00801754" w:rsidRPr="008B1975" w:rsidRDefault="00801754" w:rsidP="00801754">
            <w:pPr>
              <w:pStyle w:val="Tablea"/>
            </w:pPr>
            <w:r w:rsidRPr="008B1975">
              <w:t>(b) coaches</w:t>
            </w:r>
            <w:r w:rsidR="00CC36E0" w:rsidRPr="008B1975">
              <w:t>;</w:t>
            </w:r>
          </w:p>
          <w:p w14:paraId="149B6521" w14:textId="0A7C3241" w:rsidR="00801754" w:rsidRPr="008B1975" w:rsidRDefault="00801754" w:rsidP="00801754">
            <w:pPr>
              <w:pStyle w:val="Tablea"/>
            </w:pPr>
            <w:r w:rsidRPr="008B1975">
              <w:t>(c) ferries</w:t>
            </w:r>
            <w:r w:rsidR="00CC36E0" w:rsidRPr="008B1975">
              <w:t>;</w:t>
            </w:r>
          </w:p>
          <w:p w14:paraId="2883538B" w14:textId="35CF287E" w:rsidR="00801754" w:rsidRPr="008B1975" w:rsidRDefault="00801754" w:rsidP="00801754">
            <w:pPr>
              <w:pStyle w:val="Tablea"/>
            </w:pPr>
            <w:r w:rsidRPr="008B1975">
              <w:t>(d) trains</w:t>
            </w:r>
            <w:r w:rsidR="00CC36E0" w:rsidRPr="008B1975">
              <w:t>;</w:t>
            </w:r>
          </w:p>
          <w:p w14:paraId="5128C9F2" w14:textId="2C0CC3D3" w:rsidR="00801754" w:rsidRPr="008B1975" w:rsidRDefault="00801754" w:rsidP="00801754">
            <w:pPr>
              <w:pStyle w:val="Tablea"/>
            </w:pPr>
            <w:r w:rsidRPr="008B1975">
              <w:t>(e) trams</w:t>
            </w:r>
            <w:r w:rsidR="00CC36E0" w:rsidRPr="008B1975">
              <w:t>;</w:t>
            </w:r>
          </w:p>
          <w:p w14:paraId="24D82993" w14:textId="77777777" w:rsidR="00801754" w:rsidRPr="008B1975" w:rsidRDefault="00801754" w:rsidP="00801754">
            <w:pPr>
              <w:pStyle w:val="Tablea"/>
            </w:pPr>
            <w:r w:rsidRPr="008B1975">
              <w:t>(f) light rail</w:t>
            </w:r>
          </w:p>
        </w:tc>
        <w:tc>
          <w:tcPr>
            <w:tcW w:w="1667" w:type="pct"/>
            <w:tcBorders>
              <w:top w:val="single" w:sz="12" w:space="0" w:color="auto"/>
              <w:left w:val="nil"/>
              <w:bottom w:val="single" w:sz="12" w:space="0" w:color="auto"/>
              <w:right w:val="nil"/>
            </w:tcBorders>
            <w:hideMark/>
          </w:tcPr>
          <w:p w14:paraId="13BFAC05" w14:textId="77777777" w:rsidR="00801754" w:rsidRPr="008B1975" w:rsidRDefault="00F754D9" w:rsidP="00DE081B">
            <w:pPr>
              <w:pStyle w:val="Tabletext"/>
              <w:rPr>
                <w:color w:val="000000" w:themeColor="text1"/>
              </w:rPr>
            </w:pPr>
            <w:r w:rsidRPr="008B1975">
              <w:rPr>
                <w:color w:val="000000" w:themeColor="text1"/>
              </w:rPr>
              <w:t>All</w:t>
            </w:r>
          </w:p>
        </w:tc>
        <w:tc>
          <w:tcPr>
            <w:tcW w:w="1667" w:type="pct"/>
            <w:tcBorders>
              <w:top w:val="single" w:sz="12" w:space="0" w:color="auto"/>
              <w:left w:val="nil"/>
              <w:bottom w:val="single" w:sz="12" w:space="0" w:color="auto"/>
              <w:right w:val="nil"/>
            </w:tcBorders>
            <w:hideMark/>
          </w:tcPr>
          <w:p w14:paraId="3B36F776" w14:textId="77777777" w:rsidR="00801754" w:rsidRPr="008B1975" w:rsidRDefault="00F754D9" w:rsidP="00DE081B">
            <w:pPr>
              <w:pStyle w:val="Tabletext"/>
              <w:rPr>
                <w:color w:val="000000" w:themeColor="text1"/>
              </w:rPr>
            </w:pPr>
            <w:r w:rsidRPr="008B1975">
              <w:rPr>
                <w:color w:val="000000" w:themeColor="text1"/>
              </w:rPr>
              <w:t>All</w:t>
            </w:r>
          </w:p>
        </w:tc>
      </w:tr>
    </w:tbl>
    <w:p w14:paraId="5690E3D7" w14:textId="77777777" w:rsidR="008D0C53" w:rsidRPr="008B1975" w:rsidRDefault="00946DEA" w:rsidP="00946DEA">
      <w:pPr>
        <w:pStyle w:val="ItemHead"/>
      </w:pPr>
      <w:bookmarkStart w:id="235" w:name="_Ref185277459"/>
      <w:r w:rsidRPr="008B1975">
        <w:t xml:space="preserve">4  </w:t>
      </w:r>
      <w:r w:rsidR="008D0C53" w:rsidRPr="008B1975">
        <w:t>Section 17.5</w:t>
      </w:r>
      <w:bookmarkEnd w:id="235"/>
    </w:p>
    <w:p w14:paraId="0F81A62B" w14:textId="77777777" w:rsidR="008D0C53" w:rsidRPr="008B1975" w:rsidRDefault="008D0C53" w:rsidP="008D0C53">
      <w:pPr>
        <w:pStyle w:val="Item"/>
      </w:pPr>
      <w:r w:rsidRPr="008B1975">
        <w:t>Repeal the section, substitute:</w:t>
      </w:r>
    </w:p>
    <w:p w14:paraId="7BD08B25" w14:textId="77777777" w:rsidR="008D0C53" w:rsidRPr="008B1975" w:rsidRDefault="008D0C53" w:rsidP="006202EA">
      <w:pPr>
        <w:pStyle w:val="ActHead5"/>
        <w:outlineLvl w:val="9"/>
      </w:pPr>
      <w:r w:rsidRPr="008B1975">
        <w:lastRenderedPageBreak/>
        <w:t>17.5  Digital information display screens</w:t>
      </w:r>
    </w:p>
    <w:p w14:paraId="0A770E3E" w14:textId="77777777" w:rsidR="008D0C53" w:rsidRPr="008B1975" w:rsidRDefault="008D0C53" w:rsidP="008D0C53">
      <w:pPr>
        <w:pStyle w:val="subsection"/>
      </w:pPr>
      <w:r w:rsidRPr="008B1975">
        <w:tab/>
      </w:r>
      <w:r w:rsidR="00581512" w:rsidRPr="008B1975">
        <w:t>(1)</w:t>
      </w:r>
      <w:r w:rsidRPr="008B1975">
        <w:tab/>
        <w:t>The presentation of words or numbers on a digital information display screen must be visible for at least 10 seconds.</w:t>
      </w:r>
    </w:p>
    <w:p w14:paraId="146A277C" w14:textId="77777777" w:rsidR="008D0C53" w:rsidRPr="008B1975" w:rsidRDefault="008D0C53" w:rsidP="008D0C53">
      <w:pPr>
        <w:pStyle w:val="subsection"/>
      </w:pPr>
      <w:r w:rsidRPr="008B1975">
        <w:tab/>
      </w:r>
      <w:r w:rsidR="00581512" w:rsidRPr="008B1975">
        <w:t>(2)</w:t>
      </w:r>
      <w:r w:rsidRPr="008B1975">
        <w:tab/>
        <w:t>However, if the screen is for the purpose of ticket validation, the presentation of words or numbers need only remain visible for as long as is reasonably necessary for a person to acknowledge the content of the display.</w:t>
      </w:r>
    </w:p>
    <w:p w14:paraId="4779740C" w14:textId="77777777" w:rsidR="008D0C53" w:rsidRPr="008B1975" w:rsidRDefault="008D0C53" w:rsidP="008D0C53">
      <w:pPr>
        <w:pStyle w:val="subsection"/>
      </w:pPr>
      <w:r w:rsidRPr="008B1975">
        <w:tab/>
      </w:r>
      <w:r w:rsidR="00581512" w:rsidRPr="008B1975">
        <w:t>(3)</w:t>
      </w:r>
      <w:r w:rsidRPr="008B1975">
        <w:tab/>
      </w:r>
      <w:r w:rsidR="00ED053B" w:rsidRPr="008B1975">
        <w:t>The</w:t>
      </w:r>
      <w:r w:rsidRPr="008B1975">
        <w:t xml:space="preserve"> screen must also:</w:t>
      </w:r>
    </w:p>
    <w:p w14:paraId="1965CC73" w14:textId="77777777" w:rsidR="008D0C53" w:rsidRPr="008B1975" w:rsidRDefault="008D0C53" w:rsidP="008D0C53">
      <w:pPr>
        <w:pStyle w:val="paragraph"/>
      </w:pPr>
      <w:r w:rsidRPr="008B1975">
        <w:tab/>
      </w:r>
      <w:r w:rsidR="00581512" w:rsidRPr="008B1975">
        <w:t>(a)</w:t>
      </w:r>
      <w:r w:rsidRPr="008B1975">
        <w:tab/>
        <w:t>be visible by a direct line of sight free from obstruction from all viewing areas, including the display enclosure or housing; and</w:t>
      </w:r>
    </w:p>
    <w:p w14:paraId="71611451" w14:textId="77777777" w:rsidR="008D0C53" w:rsidRPr="008B1975" w:rsidRDefault="008D0C53" w:rsidP="008D0C53">
      <w:pPr>
        <w:pStyle w:val="paragraph"/>
      </w:pPr>
      <w:r w:rsidRPr="008B1975">
        <w:tab/>
      </w:r>
      <w:r w:rsidR="00581512" w:rsidRPr="008B1975">
        <w:t>(b)</w:t>
      </w:r>
      <w:r w:rsidRPr="008B1975">
        <w:tab/>
        <w:t>be readable by a person wearing polarised eyeglasses; and</w:t>
      </w:r>
    </w:p>
    <w:p w14:paraId="34555EA3" w14:textId="77777777" w:rsidR="008D0C53" w:rsidRPr="008B1975" w:rsidRDefault="008D0C53" w:rsidP="008D0C53">
      <w:pPr>
        <w:pStyle w:val="paragraph"/>
        <w:rPr>
          <w:i/>
        </w:rPr>
      </w:pPr>
      <w:r w:rsidRPr="008B1975">
        <w:tab/>
      </w:r>
      <w:r w:rsidR="00581512" w:rsidRPr="008B1975">
        <w:t>(</w:t>
      </w:r>
      <w:r w:rsidR="001C1DE0" w:rsidRPr="008B1975">
        <w:t>c</w:t>
      </w:r>
      <w:r w:rsidR="00581512" w:rsidRPr="008B1975">
        <w:t>)</w:t>
      </w:r>
      <w:r w:rsidRPr="008B1975">
        <w:tab/>
        <w:t xml:space="preserve">in </w:t>
      </w:r>
      <w:r w:rsidRPr="008B1975">
        <w:rPr>
          <w:color w:val="000000" w:themeColor="text1"/>
        </w:rPr>
        <w:t xml:space="preserve">relation to </w:t>
      </w:r>
      <w:r w:rsidR="00A105EB" w:rsidRPr="008B1975">
        <w:rPr>
          <w:color w:val="000000" w:themeColor="text1"/>
        </w:rPr>
        <w:t>contrast minimum</w:t>
      </w:r>
      <w:r w:rsidRPr="008B1975">
        <w:rPr>
          <w:color w:val="000000" w:themeColor="text1"/>
        </w:rPr>
        <w:t xml:space="preserve">—comply </w:t>
      </w:r>
      <w:r w:rsidRPr="008B1975">
        <w:t>with the requirements of</w:t>
      </w:r>
      <w:r w:rsidR="00A105EB" w:rsidRPr="008B1975">
        <w:t xml:space="preserve"> </w:t>
      </w:r>
      <w:r w:rsidRPr="008B1975">
        <w:t>AS EN 301 549</w:t>
      </w:r>
      <w:r w:rsidRPr="008B1975">
        <w:rPr>
          <w:i/>
        </w:rPr>
        <w:t>.</w:t>
      </w:r>
    </w:p>
    <w:p w14:paraId="4A1C6CC1" w14:textId="77777777" w:rsidR="00620E3B" w:rsidRPr="008B1975" w:rsidRDefault="00620E3B" w:rsidP="00620E3B">
      <w:pPr>
        <w:pStyle w:val="SubsectionHead"/>
        <w:rPr>
          <w:color w:val="000000" w:themeColor="text1"/>
        </w:rPr>
      </w:pPr>
      <w:r w:rsidRPr="008B1975">
        <w:rPr>
          <w:color w:val="000000" w:themeColor="text1"/>
        </w:rPr>
        <w:t>Height of letters</w:t>
      </w:r>
    </w:p>
    <w:p w14:paraId="3F850447" w14:textId="77777777" w:rsidR="00A105EB" w:rsidRPr="008B1975" w:rsidRDefault="00620E3B" w:rsidP="00A105EB">
      <w:pPr>
        <w:pStyle w:val="subsection"/>
        <w:rPr>
          <w:color w:val="000000" w:themeColor="text1"/>
        </w:rPr>
      </w:pPr>
      <w:r w:rsidRPr="008B1975">
        <w:rPr>
          <w:color w:val="000000" w:themeColor="text1"/>
        </w:rPr>
        <w:tab/>
      </w:r>
      <w:r w:rsidR="00A105EB" w:rsidRPr="008B1975">
        <w:rPr>
          <w:color w:val="000000" w:themeColor="text1"/>
        </w:rPr>
        <w:t>(4)</w:t>
      </w:r>
      <w:r w:rsidR="00A105EB" w:rsidRPr="008B1975">
        <w:rPr>
          <w:color w:val="000000" w:themeColor="text1"/>
        </w:rPr>
        <w:tab/>
        <w:t>If the required viewing distance of the screen is mentioned in Table 2 of AS 1428.2 (1992), the height of the letters in any text on the screen must be no less than the height of letters mentioned for that distance in that table.</w:t>
      </w:r>
    </w:p>
    <w:p w14:paraId="6D01DB4D" w14:textId="77777777" w:rsidR="00A105EB" w:rsidRPr="008B1975" w:rsidRDefault="00A105EB" w:rsidP="00A105EB">
      <w:pPr>
        <w:pStyle w:val="subsection"/>
        <w:rPr>
          <w:color w:val="000000" w:themeColor="text1"/>
        </w:rPr>
      </w:pPr>
      <w:r w:rsidRPr="008B1975">
        <w:rPr>
          <w:color w:val="000000" w:themeColor="text1"/>
        </w:rPr>
        <w:tab/>
        <w:t>(5)</w:t>
      </w:r>
      <w:r w:rsidRPr="008B1975">
        <w:rPr>
          <w:color w:val="000000" w:themeColor="text1"/>
        </w:rPr>
        <w:tab/>
        <w:t xml:space="preserve">If the required viewing distance of the screen is not mentioned in Table 2 of AS 1428.2 (1992), the height (in millimetres) of the letters in any text on the screen must be no less than 3.2 </w:t>
      </w:r>
      <w:r w:rsidR="00620E3B" w:rsidRPr="008B1975">
        <w:rPr>
          <w:color w:val="000000" w:themeColor="text1"/>
        </w:rPr>
        <w:t>times</w:t>
      </w:r>
      <w:r w:rsidRPr="008B1975">
        <w:rPr>
          <w:color w:val="000000" w:themeColor="text1"/>
        </w:rPr>
        <w:t xml:space="preserve"> the arbitrary viewing distance (in metres).</w:t>
      </w:r>
    </w:p>
    <w:p w14:paraId="7B470C0F" w14:textId="77777777" w:rsidR="008D0C53" w:rsidRPr="008B1975" w:rsidRDefault="008D0C53" w:rsidP="008D0C53">
      <w:pPr>
        <w:pStyle w:val="subsection"/>
      </w:pPr>
      <w:r w:rsidRPr="008B1975">
        <w:tab/>
        <w:t>(</w:t>
      </w:r>
      <w:r w:rsidR="00A105EB" w:rsidRPr="008B1975">
        <w:rPr>
          <w:color w:val="000000" w:themeColor="text1"/>
        </w:rPr>
        <w:t>6</w:t>
      </w:r>
      <w:r w:rsidRPr="008B1975">
        <w:t>)</w:t>
      </w:r>
      <w:r w:rsidRPr="008B1975">
        <w:tab/>
        <w:t>The following table specifies conveyances, premises and infrastructure this section applies to.</w:t>
      </w:r>
    </w:p>
    <w:p w14:paraId="6FA69BA6" w14:textId="77777777" w:rsidR="008D0C53" w:rsidRPr="008B1975" w:rsidRDefault="008D0C53" w:rsidP="008D0C5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652AEDF0"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65AE276A" w14:textId="77777777" w:rsidR="008D0C53" w:rsidRPr="008B1975" w:rsidRDefault="008D0C53" w:rsidP="008D0C53">
            <w:pPr>
              <w:pStyle w:val="TableHeading"/>
            </w:pPr>
            <w:r w:rsidRPr="008B1975">
              <w:t>Application of this section</w:t>
            </w:r>
          </w:p>
        </w:tc>
      </w:tr>
      <w:tr w:rsidR="008D0C53" w:rsidRPr="008B1975" w14:paraId="325A05D5" w14:textId="77777777" w:rsidTr="00CC36E0">
        <w:trPr>
          <w:trHeight w:val="300"/>
          <w:tblHeader/>
        </w:trPr>
        <w:tc>
          <w:tcPr>
            <w:tcW w:w="1667" w:type="pct"/>
            <w:tcBorders>
              <w:top w:val="single" w:sz="6" w:space="0" w:color="auto"/>
              <w:bottom w:val="single" w:sz="12" w:space="0" w:color="auto"/>
            </w:tcBorders>
            <w:shd w:val="clear" w:color="auto" w:fill="auto"/>
            <w:hideMark/>
          </w:tcPr>
          <w:p w14:paraId="3AF707A0" w14:textId="77777777" w:rsidR="008D0C53" w:rsidRPr="008B1975" w:rsidRDefault="008D0C53" w:rsidP="008D0C53">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1EC4D22" w14:textId="77777777" w:rsidR="008D0C53" w:rsidRPr="008B1975" w:rsidRDefault="008D0C53" w:rsidP="008D0C53">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5157DA2E" w14:textId="77777777" w:rsidR="008D0C53" w:rsidRPr="008B1975" w:rsidRDefault="008D0C53" w:rsidP="008D0C53">
            <w:pPr>
              <w:pStyle w:val="TableHeading"/>
            </w:pPr>
            <w:r w:rsidRPr="008B1975">
              <w:t>Infrastructure</w:t>
            </w:r>
          </w:p>
        </w:tc>
      </w:tr>
      <w:tr w:rsidR="008D0C53" w:rsidRPr="008B1975" w14:paraId="5619599B" w14:textId="77777777" w:rsidTr="00CC36E0">
        <w:trPr>
          <w:trHeight w:val="300"/>
        </w:trPr>
        <w:tc>
          <w:tcPr>
            <w:tcW w:w="1667" w:type="pct"/>
            <w:tcBorders>
              <w:top w:val="single" w:sz="12" w:space="0" w:color="auto"/>
              <w:bottom w:val="single" w:sz="12" w:space="0" w:color="auto"/>
            </w:tcBorders>
            <w:shd w:val="clear" w:color="auto" w:fill="auto"/>
            <w:hideMark/>
          </w:tcPr>
          <w:p w14:paraId="429E7E2B" w14:textId="77777777" w:rsidR="008D0C53" w:rsidRPr="008B1975" w:rsidRDefault="008D0C53" w:rsidP="00581512">
            <w:pPr>
              <w:pStyle w:val="Tabletext"/>
            </w:pPr>
            <w:r w:rsidRPr="008B1975">
              <w:t>All</w:t>
            </w:r>
          </w:p>
        </w:tc>
        <w:tc>
          <w:tcPr>
            <w:tcW w:w="1667" w:type="pct"/>
            <w:tcBorders>
              <w:top w:val="single" w:sz="12" w:space="0" w:color="auto"/>
              <w:bottom w:val="single" w:sz="12" w:space="0" w:color="auto"/>
            </w:tcBorders>
            <w:shd w:val="clear" w:color="auto" w:fill="auto"/>
            <w:hideMark/>
          </w:tcPr>
          <w:p w14:paraId="555AFD87" w14:textId="77777777" w:rsidR="008D0C53" w:rsidRPr="008B1975" w:rsidRDefault="008D0C53" w:rsidP="00581512">
            <w:pPr>
              <w:pStyle w:val="Tabletext"/>
            </w:pPr>
            <w:r w:rsidRPr="008B1975">
              <w:t>All</w:t>
            </w:r>
          </w:p>
        </w:tc>
        <w:tc>
          <w:tcPr>
            <w:tcW w:w="1667" w:type="pct"/>
            <w:tcBorders>
              <w:top w:val="single" w:sz="12" w:space="0" w:color="auto"/>
              <w:bottom w:val="single" w:sz="12" w:space="0" w:color="auto"/>
            </w:tcBorders>
            <w:shd w:val="clear" w:color="auto" w:fill="auto"/>
          </w:tcPr>
          <w:p w14:paraId="1EBD0FF1" w14:textId="77777777" w:rsidR="008D0C53" w:rsidRPr="008B1975" w:rsidRDefault="008D0C53" w:rsidP="00581512">
            <w:pPr>
              <w:pStyle w:val="Tabletext"/>
            </w:pPr>
            <w:r w:rsidRPr="008B1975">
              <w:t>All</w:t>
            </w:r>
          </w:p>
        </w:tc>
      </w:tr>
    </w:tbl>
    <w:p w14:paraId="258F6CF9" w14:textId="77777777" w:rsidR="00801754" w:rsidRPr="008B1975" w:rsidRDefault="00946DEA" w:rsidP="00946DEA">
      <w:pPr>
        <w:pStyle w:val="ItemHead"/>
      </w:pPr>
      <w:bookmarkStart w:id="236" w:name="_Ref185445472"/>
      <w:bookmarkStart w:id="237" w:name="_Ref185277558"/>
      <w:r w:rsidRPr="008B1975">
        <w:t xml:space="preserve">5  </w:t>
      </w:r>
      <w:r w:rsidR="00801754" w:rsidRPr="008B1975">
        <w:t>Section 17.6</w:t>
      </w:r>
      <w:bookmarkEnd w:id="236"/>
      <w:r w:rsidR="00801754" w:rsidRPr="008B1975">
        <w:t xml:space="preserve"> </w:t>
      </w:r>
      <w:bookmarkEnd w:id="237"/>
    </w:p>
    <w:p w14:paraId="0A5441E2" w14:textId="77777777" w:rsidR="008F5628" w:rsidRPr="008B1975" w:rsidRDefault="008F5628" w:rsidP="008F5628">
      <w:pPr>
        <w:pStyle w:val="Item"/>
      </w:pPr>
      <w:r w:rsidRPr="008B1975">
        <w:t>Repeal the section, substitute:</w:t>
      </w:r>
    </w:p>
    <w:p w14:paraId="5D704222" w14:textId="77777777" w:rsidR="008F5628" w:rsidRPr="008B1975" w:rsidRDefault="008F5628" w:rsidP="00E97D71">
      <w:pPr>
        <w:pStyle w:val="ActHead5"/>
        <w:numPr>
          <w:ilvl w:val="1"/>
          <w:numId w:val="3"/>
        </w:numPr>
        <w:outlineLvl w:val="9"/>
      </w:pPr>
      <w:r w:rsidRPr="008B1975">
        <w:t xml:space="preserve">  Braille </w:t>
      </w:r>
      <w:r w:rsidR="007E56E2" w:rsidRPr="008B1975">
        <w:t xml:space="preserve">on </w:t>
      </w:r>
      <w:r w:rsidR="00A45A3C" w:rsidRPr="008B1975">
        <w:t xml:space="preserve">signs </w:t>
      </w:r>
      <w:r w:rsidRPr="008B1975" w:rsidDel="00577EB6">
        <w:t>and labels</w:t>
      </w:r>
      <w:r w:rsidR="005F4CBD" w:rsidRPr="008B1975">
        <w:t>—</w:t>
      </w:r>
      <w:r w:rsidRPr="008B1975">
        <w:t>design requirements</w:t>
      </w:r>
    </w:p>
    <w:p w14:paraId="36A5F3AF" w14:textId="77777777" w:rsidR="008F5628" w:rsidRPr="008B1975" w:rsidRDefault="008F5628" w:rsidP="00E97D71">
      <w:pPr>
        <w:pStyle w:val="subsection"/>
        <w:numPr>
          <w:ilvl w:val="0"/>
          <w:numId w:val="4"/>
        </w:numPr>
      </w:pPr>
      <w:r w:rsidRPr="008B1975">
        <w:t xml:space="preserve">The following applies to braille </w:t>
      </w:r>
      <w:r w:rsidR="007E56E2" w:rsidRPr="008B1975">
        <w:t xml:space="preserve">components on </w:t>
      </w:r>
      <w:r w:rsidRPr="008B1975">
        <w:t>a sign or label:</w:t>
      </w:r>
    </w:p>
    <w:p w14:paraId="1782588B" w14:textId="77777777" w:rsidR="008F5628" w:rsidRPr="008B1975" w:rsidRDefault="008F5628" w:rsidP="00E97D71">
      <w:pPr>
        <w:pStyle w:val="paragraph"/>
        <w:numPr>
          <w:ilvl w:val="0"/>
          <w:numId w:val="7"/>
        </w:numPr>
      </w:pPr>
      <w:r w:rsidRPr="008B1975">
        <w:t>braille must be grade 1 braille (uncontracted) in accordance with the</w:t>
      </w:r>
      <w:bookmarkStart w:id="238" w:name="_Hlk190777451"/>
      <w:r w:rsidR="00C40D95" w:rsidRPr="008B1975">
        <w:t xml:space="preserve"> Rules of Unified English Braille</w:t>
      </w:r>
      <w:bookmarkEnd w:id="238"/>
      <w:r w:rsidRPr="008B1975">
        <w:t>;</w:t>
      </w:r>
    </w:p>
    <w:p w14:paraId="7E8B8969" w14:textId="77777777" w:rsidR="002420C2" w:rsidRPr="008B1975" w:rsidRDefault="008F5628" w:rsidP="008F5628">
      <w:pPr>
        <w:pStyle w:val="paragraph"/>
      </w:pPr>
      <w:r w:rsidRPr="008B1975">
        <w:tab/>
        <w:t>(b)</w:t>
      </w:r>
      <w:r w:rsidRPr="008B1975">
        <w:tab/>
        <w:t>braille must be raised and domed;</w:t>
      </w:r>
    </w:p>
    <w:p w14:paraId="4A2374D5" w14:textId="77777777" w:rsidR="00C40D95" w:rsidRPr="008B1975" w:rsidRDefault="00C40D95" w:rsidP="008F5628">
      <w:pPr>
        <w:pStyle w:val="paragraph"/>
      </w:pPr>
      <w:r w:rsidRPr="008B1975">
        <w:tab/>
        <w:t>(c)</w:t>
      </w:r>
      <w:r w:rsidRPr="008B1975">
        <w:tab/>
        <w:t>braille must be in sentence case;</w:t>
      </w:r>
    </w:p>
    <w:p w14:paraId="4D45FA9A" w14:textId="77777777" w:rsidR="008F5628" w:rsidRPr="008B1975" w:rsidRDefault="002420C2" w:rsidP="008F5628">
      <w:pPr>
        <w:pStyle w:val="paragraph"/>
      </w:pPr>
      <w:r w:rsidRPr="008B1975">
        <w:tab/>
      </w:r>
      <w:r w:rsidR="008F5628" w:rsidRPr="008B1975">
        <w:t>(</w:t>
      </w:r>
      <w:r w:rsidR="00C40D95" w:rsidRPr="008B1975">
        <w:t>d</w:t>
      </w:r>
      <w:r w:rsidR="008F5628" w:rsidRPr="008B1975">
        <w:t>)</w:t>
      </w:r>
      <w:r w:rsidR="008F5628" w:rsidRPr="008B1975">
        <w:tab/>
        <w:t>braille must be located 8 mm below the bottom line of text (not including descenders);</w:t>
      </w:r>
    </w:p>
    <w:p w14:paraId="10ABBD04" w14:textId="77777777" w:rsidR="008F5628" w:rsidRPr="008B1975" w:rsidRDefault="008F5628" w:rsidP="008F5628">
      <w:pPr>
        <w:pStyle w:val="paragraph"/>
      </w:pPr>
      <w:r w:rsidRPr="008B1975">
        <w:tab/>
        <w:t>(</w:t>
      </w:r>
      <w:r w:rsidR="00C40D95" w:rsidRPr="008B1975">
        <w:t>e</w:t>
      </w:r>
      <w:r w:rsidRPr="008B1975">
        <w:t>)</w:t>
      </w:r>
      <w:r w:rsidRPr="008B1975">
        <w:tab/>
        <w:t>braille must be left justified;</w:t>
      </w:r>
    </w:p>
    <w:p w14:paraId="277EF87A" w14:textId="77777777" w:rsidR="008F5628" w:rsidRPr="008B1975" w:rsidRDefault="008F5628" w:rsidP="008F5628">
      <w:pPr>
        <w:pStyle w:val="paragraph"/>
      </w:pPr>
      <w:r w:rsidRPr="008B1975">
        <w:tab/>
        <w:t>(</w:t>
      </w:r>
      <w:r w:rsidR="00C40D95" w:rsidRPr="008B1975">
        <w:t>f</w:t>
      </w:r>
      <w:r w:rsidRPr="008B1975">
        <w:t>)</w:t>
      </w:r>
      <w:r w:rsidRPr="008B1975">
        <w:tab/>
        <w:t xml:space="preserve">if an arrow is used in </w:t>
      </w:r>
      <w:r w:rsidRPr="008B1975" w:rsidDel="00A45A3C">
        <w:t xml:space="preserve">the </w:t>
      </w:r>
      <w:r w:rsidRPr="008B1975">
        <w:t>tactile</w:t>
      </w:r>
      <w:r w:rsidRPr="008B1975">
        <w:rPr>
          <w:i/>
        </w:rPr>
        <w:t xml:space="preserve"> </w:t>
      </w:r>
      <w:r w:rsidRPr="008B1975">
        <w:t>sign, a solid arrow must be provided for braille readers;</w:t>
      </w:r>
    </w:p>
    <w:p w14:paraId="4D0F38BC" w14:textId="77777777" w:rsidR="008F5628" w:rsidRPr="008B1975" w:rsidRDefault="008F5628" w:rsidP="008F5628">
      <w:pPr>
        <w:pStyle w:val="paragraph"/>
      </w:pPr>
      <w:r w:rsidRPr="008B1975">
        <w:lastRenderedPageBreak/>
        <w:tab/>
        <w:t>(</w:t>
      </w:r>
      <w:r w:rsidR="00C40D95" w:rsidRPr="008B1975">
        <w:t>g</w:t>
      </w:r>
      <w:r w:rsidRPr="008B1975">
        <w:t>)</w:t>
      </w:r>
      <w:r w:rsidRPr="008B1975">
        <w:tab/>
        <w:t>on signs with multiple lines of text and characters, a semicircular braille locator at the left margin must be horizontally aligned with the first line of braille text.</w:t>
      </w:r>
      <w:r w:rsidRPr="008B1975" w:rsidDel="00F93E8F">
        <w:t xml:space="preserve"> </w:t>
      </w:r>
    </w:p>
    <w:p w14:paraId="5C006B06" w14:textId="77777777" w:rsidR="008F5628" w:rsidRPr="008B1975" w:rsidRDefault="008F5628" w:rsidP="00E97D71">
      <w:pPr>
        <w:pStyle w:val="subsection"/>
        <w:numPr>
          <w:ilvl w:val="0"/>
          <w:numId w:val="4"/>
        </w:numPr>
        <w:spacing w:after="240"/>
      </w:pPr>
      <w:r w:rsidRPr="008B1975">
        <w:t>The following table specifies conveyances, premises and infrastructure this section applies to.</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5A0A728C"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1716A025" w14:textId="77777777" w:rsidR="008F5628" w:rsidRPr="008B1975" w:rsidRDefault="008F5628" w:rsidP="00AB53F1">
            <w:pPr>
              <w:pStyle w:val="TableHeading"/>
              <w:rPr>
                <w:lang w:eastAsia="en-US"/>
              </w:rPr>
            </w:pPr>
            <w:r w:rsidRPr="008B1975">
              <w:rPr>
                <w:lang w:eastAsia="en-US"/>
              </w:rPr>
              <w:t>Application of this section</w:t>
            </w:r>
          </w:p>
        </w:tc>
      </w:tr>
      <w:tr w:rsidR="008F5628" w:rsidRPr="008B1975" w14:paraId="7278C461" w14:textId="77777777" w:rsidTr="00CC36E0">
        <w:trPr>
          <w:trHeight w:val="300"/>
          <w:tblHeader/>
        </w:trPr>
        <w:tc>
          <w:tcPr>
            <w:tcW w:w="1667" w:type="pct"/>
            <w:tcBorders>
              <w:top w:val="single" w:sz="6" w:space="0" w:color="auto"/>
              <w:left w:val="nil"/>
              <w:bottom w:val="single" w:sz="12" w:space="0" w:color="auto"/>
              <w:right w:val="nil"/>
            </w:tcBorders>
            <w:hideMark/>
          </w:tcPr>
          <w:p w14:paraId="5DD94D28" w14:textId="77777777" w:rsidR="008F5628" w:rsidRPr="008B1975" w:rsidRDefault="008F5628"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7471F1BD" w14:textId="77777777" w:rsidR="008F5628" w:rsidRPr="008B1975" w:rsidRDefault="008F5628"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5253C350" w14:textId="77777777" w:rsidR="008F5628" w:rsidRPr="008B1975" w:rsidRDefault="008F5628" w:rsidP="00AB53F1">
            <w:pPr>
              <w:pStyle w:val="TableHeading"/>
              <w:rPr>
                <w:lang w:eastAsia="en-US"/>
              </w:rPr>
            </w:pPr>
            <w:r w:rsidRPr="008B1975">
              <w:rPr>
                <w:lang w:eastAsia="en-US"/>
              </w:rPr>
              <w:t>Infrastructure</w:t>
            </w:r>
          </w:p>
        </w:tc>
      </w:tr>
      <w:tr w:rsidR="008F5628" w:rsidRPr="008B1975" w14:paraId="1C3B6FC5" w14:textId="77777777" w:rsidTr="00CC36E0">
        <w:trPr>
          <w:trHeight w:val="300"/>
        </w:trPr>
        <w:tc>
          <w:tcPr>
            <w:tcW w:w="1667" w:type="pct"/>
            <w:tcBorders>
              <w:top w:val="single" w:sz="12" w:space="0" w:color="auto"/>
              <w:left w:val="nil"/>
              <w:bottom w:val="single" w:sz="12" w:space="0" w:color="auto"/>
              <w:right w:val="nil"/>
            </w:tcBorders>
            <w:hideMark/>
          </w:tcPr>
          <w:p w14:paraId="1E12A1CB" w14:textId="77777777" w:rsidR="008F5628" w:rsidRPr="008B1975" w:rsidRDefault="008F5628"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4BD5B998" w14:textId="77777777" w:rsidR="008F5628" w:rsidRPr="008B1975" w:rsidRDefault="008F5628"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613DD5AE" w14:textId="77777777" w:rsidR="008F5628" w:rsidRPr="008B1975" w:rsidRDefault="008F5628" w:rsidP="00AB53F1">
            <w:pPr>
              <w:pStyle w:val="Tabletext"/>
              <w:rPr>
                <w:lang w:eastAsia="en-US"/>
              </w:rPr>
            </w:pPr>
            <w:r w:rsidRPr="008B1975">
              <w:rPr>
                <w:lang w:eastAsia="en-US"/>
              </w:rPr>
              <w:t>All</w:t>
            </w:r>
          </w:p>
        </w:tc>
      </w:tr>
    </w:tbl>
    <w:p w14:paraId="2F3BA033" w14:textId="77777777" w:rsidR="008F5628" w:rsidRPr="008B1975" w:rsidRDefault="008F5628" w:rsidP="002C0244">
      <w:pPr>
        <w:pStyle w:val="ActHead5"/>
        <w:outlineLvl w:val="9"/>
      </w:pPr>
      <w:r w:rsidRPr="008B1975">
        <w:t xml:space="preserve">17.6A  Tactile </w:t>
      </w:r>
      <w:r w:rsidR="005F4CBD" w:rsidRPr="008B1975">
        <w:t>characters</w:t>
      </w:r>
      <w:r w:rsidR="00F67A8B" w:rsidRPr="008B1975">
        <w:t xml:space="preserve"> </w:t>
      </w:r>
      <w:r w:rsidR="00F67A8B" w:rsidRPr="008B1975">
        <w:rPr>
          <w:color w:val="000000" w:themeColor="text1"/>
        </w:rPr>
        <w:t>etc</w:t>
      </w:r>
      <w:r w:rsidR="005F4CBD" w:rsidRPr="008B1975">
        <w:t xml:space="preserve"> on </w:t>
      </w:r>
      <w:r w:rsidRPr="008B1975">
        <w:t>signs and labels</w:t>
      </w:r>
      <w:r w:rsidR="005F4CBD" w:rsidRPr="008B1975">
        <w:t>—</w:t>
      </w:r>
      <w:r w:rsidRPr="008B1975">
        <w:t>design requirements</w:t>
      </w:r>
    </w:p>
    <w:p w14:paraId="1D7D90E2" w14:textId="77777777" w:rsidR="008F5628" w:rsidRPr="008B1975" w:rsidRDefault="008F5628" w:rsidP="00E97D71">
      <w:pPr>
        <w:pStyle w:val="subsection"/>
        <w:numPr>
          <w:ilvl w:val="0"/>
          <w:numId w:val="5"/>
        </w:numPr>
      </w:pPr>
      <w:r w:rsidRPr="008B1975">
        <w:t xml:space="preserve">A sign or label with tactile </w:t>
      </w:r>
      <w:r w:rsidR="005F4CBD" w:rsidRPr="008B1975">
        <w:rPr>
          <w:color w:val="000000" w:themeColor="text1"/>
        </w:rPr>
        <w:t>characters</w:t>
      </w:r>
      <w:r w:rsidR="00F67A8B" w:rsidRPr="008B1975">
        <w:rPr>
          <w:color w:val="000000" w:themeColor="text1"/>
        </w:rPr>
        <w:t>, symbols and the like</w:t>
      </w:r>
      <w:r w:rsidRPr="008B1975">
        <w:rPr>
          <w:color w:val="000000" w:themeColor="text1"/>
        </w:rPr>
        <w:t xml:space="preserve"> </w:t>
      </w:r>
      <w:r w:rsidRPr="008B1975" w:rsidDel="006D564F">
        <w:rPr>
          <w:color w:val="000000" w:themeColor="text1"/>
        </w:rPr>
        <w:t xml:space="preserve">(other than braille) </w:t>
      </w:r>
      <w:r w:rsidRPr="008B1975">
        <w:rPr>
          <w:color w:val="000000" w:themeColor="text1"/>
        </w:rPr>
        <w:t>must comply with the following requirements:</w:t>
      </w:r>
    </w:p>
    <w:p w14:paraId="752BE519" w14:textId="77777777" w:rsidR="008F5628" w:rsidRPr="008B1975" w:rsidRDefault="008F5628" w:rsidP="008F5628">
      <w:pPr>
        <w:pStyle w:val="paragraph"/>
      </w:pPr>
      <w:r w:rsidRPr="008B1975">
        <w:tab/>
        <w:t>(a)</w:t>
      </w:r>
      <w:r w:rsidRPr="008B1975">
        <w:tab/>
        <w:t xml:space="preserve">the </w:t>
      </w:r>
      <w:r w:rsidR="003A50D5" w:rsidRPr="008B1975">
        <w:t>characters</w:t>
      </w:r>
      <w:r w:rsidRPr="008B1975">
        <w:t xml:space="preserve"> must be raised or embossed to a height of not less than 1 mm and not more than 1.5 mm;</w:t>
      </w:r>
    </w:p>
    <w:p w14:paraId="3000D65C" w14:textId="77777777" w:rsidR="008F5628" w:rsidRPr="008B1975" w:rsidRDefault="008F5628" w:rsidP="008F5628">
      <w:pPr>
        <w:pStyle w:val="paragraph"/>
      </w:pPr>
      <w:r w:rsidRPr="008B1975">
        <w:tab/>
        <w:t>(b)</w:t>
      </w:r>
      <w:r w:rsidRPr="008B1975">
        <w:tab/>
        <w:t>title case must be used for any tactile elements that is text, with:</w:t>
      </w:r>
    </w:p>
    <w:p w14:paraId="2B2C5F04" w14:textId="77777777" w:rsidR="008F5628" w:rsidRPr="008B1975" w:rsidRDefault="008F5628" w:rsidP="008F5628">
      <w:pPr>
        <w:pStyle w:val="paragraphsub"/>
      </w:pPr>
      <w:r w:rsidRPr="008B1975">
        <w:tab/>
        <w:t>(i)</w:t>
      </w:r>
      <w:r w:rsidRPr="008B1975">
        <w:tab/>
        <w:t>upper case characters in the text having a height of not less than 15 mm and not more than 55 mm; and</w:t>
      </w:r>
    </w:p>
    <w:p w14:paraId="6045DCE4" w14:textId="77777777" w:rsidR="008F5628" w:rsidRPr="008B1975" w:rsidRDefault="008F5628" w:rsidP="008F5628">
      <w:pPr>
        <w:pStyle w:val="paragraphsub"/>
      </w:pPr>
      <w:r w:rsidRPr="008B1975">
        <w:tab/>
        <w:t>(ii)</w:t>
      </w:r>
      <w:r w:rsidRPr="008B1975">
        <w:tab/>
        <w:t>lower case characters in the text having a minimum height of 50% of the uppercase characters;</w:t>
      </w:r>
    </w:p>
    <w:p w14:paraId="7337F8C2" w14:textId="77777777" w:rsidR="008F5628" w:rsidRPr="008B1975" w:rsidRDefault="008F5628" w:rsidP="008F5628">
      <w:pPr>
        <w:pStyle w:val="paragraph"/>
      </w:pPr>
      <w:r w:rsidRPr="008B1975">
        <w:tab/>
        <w:t>(c)</w:t>
      </w:r>
      <w:r w:rsidRPr="008B1975">
        <w:tab/>
        <w:t>tactile characters, symbols and the like must have rounded edges; and</w:t>
      </w:r>
    </w:p>
    <w:p w14:paraId="454F13D3" w14:textId="77777777" w:rsidR="008F5628" w:rsidRPr="008B1975" w:rsidRDefault="008F5628" w:rsidP="008F5628">
      <w:pPr>
        <w:pStyle w:val="paragraph"/>
      </w:pPr>
      <w:r w:rsidRPr="008B1975">
        <w:tab/>
        <w:t>(d)</w:t>
      </w:r>
      <w:r w:rsidRPr="008B1975">
        <w:tab/>
        <w:t>the minimum letter spacing of tactile characters must be 2 mm; and</w:t>
      </w:r>
    </w:p>
    <w:p w14:paraId="05B86E7B" w14:textId="77777777" w:rsidR="008F5628" w:rsidRPr="008B1975" w:rsidRDefault="008F5628" w:rsidP="008F5628">
      <w:pPr>
        <w:pStyle w:val="paragraph"/>
      </w:pPr>
      <w:r w:rsidRPr="008B1975">
        <w:tab/>
        <w:t>(e)</w:t>
      </w:r>
      <w:r w:rsidRPr="008B1975">
        <w:tab/>
        <w:t>the minimum word spacing of tactile characters on signs must be 10 mm; and</w:t>
      </w:r>
    </w:p>
    <w:p w14:paraId="0F731C95" w14:textId="77777777" w:rsidR="008F5628" w:rsidRPr="008B1975" w:rsidRDefault="008F5628" w:rsidP="008F5628">
      <w:pPr>
        <w:pStyle w:val="paragraph"/>
      </w:pPr>
      <w:r w:rsidRPr="008B1975">
        <w:tab/>
        <w:t>(f)</w:t>
      </w:r>
      <w:r w:rsidRPr="008B1975">
        <w:tab/>
        <w:t>tactile text must be left justified, except that single words may be centre justified; and</w:t>
      </w:r>
    </w:p>
    <w:p w14:paraId="4E1C46F0" w14:textId="77777777" w:rsidR="002420C2" w:rsidRPr="008B1975" w:rsidRDefault="008F5628" w:rsidP="003A50D5">
      <w:pPr>
        <w:pStyle w:val="paragraph"/>
      </w:pPr>
      <w:r w:rsidRPr="008B1975">
        <w:tab/>
        <w:t>(g)</w:t>
      </w:r>
      <w:r w:rsidRPr="008B1975">
        <w:tab/>
        <w:t>tactile text must be provided in a sans serif typeface.</w:t>
      </w:r>
    </w:p>
    <w:p w14:paraId="2DDA319E" w14:textId="77777777" w:rsidR="008F5628" w:rsidRPr="008B1975" w:rsidRDefault="008F5628" w:rsidP="008F5628">
      <w:pPr>
        <w:pStyle w:val="subsection"/>
        <w:spacing w:after="240"/>
      </w:pPr>
      <w:r w:rsidRPr="008B1975">
        <w:tab/>
        <w:t>(2)</w:t>
      </w:r>
      <w:r w:rsidRPr="008B1975">
        <w:tab/>
        <w:t>The following table specifies conveyances, premises and infrastructure this section applies to.</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04B529F2"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26AE385E" w14:textId="77777777" w:rsidR="008F5628" w:rsidRPr="008B1975" w:rsidRDefault="008F5628" w:rsidP="00AB53F1">
            <w:pPr>
              <w:pStyle w:val="TableHeading"/>
              <w:rPr>
                <w:lang w:eastAsia="en-US"/>
              </w:rPr>
            </w:pPr>
            <w:r w:rsidRPr="008B1975">
              <w:rPr>
                <w:lang w:eastAsia="en-US"/>
              </w:rPr>
              <w:t>Application of this section</w:t>
            </w:r>
          </w:p>
        </w:tc>
      </w:tr>
      <w:tr w:rsidR="008F5628" w:rsidRPr="008B1975" w14:paraId="3C798448" w14:textId="77777777" w:rsidTr="00DD5666">
        <w:trPr>
          <w:trHeight w:val="300"/>
          <w:tblHeader/>
        </w:trPr>
        <w:tc>
          <w:tcPr>
            <w:tcW w:w="1667" w:type="pct"/>
            <w:tcBorders>
              <w:top w:val="single" w:sz="6" w:space="0" w:color="auto"/>
              <w:left w:val="nil"/>
              <w:bottom w:val="single" w:sz="12" w:space="0" w:color="auto"/>
              <w:right w:val="nil"/>
            </w:tcBorders>
            <w:hideMark/>
          </w:tcPr>
          <w:p w14:paraId="3516DA71" w14:textId="77777777" w:rsidR="008F5628" w:rsidRPr="008B1975" w:rsidRDefault="008F5628"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48C6FD5D" w14:textId="77777777" w:rsidR="008F5628" w:rsidRPr="008B1975" w:rsidRDefault="008F5628"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14F2AA3C" w14:textId="77777777" w:rsidR="008F5628" w:rsidRPr="008B1975" w:rsidRDefault="008F5628" w:rsidP="00AB53F1">
            <w:pPr>
              <w:pStyle w:val="TableHeading"/>
              <w:rPr>
                <w:lang w:eastAsia="en-US"/>
              </w:rPr>
            </w:pPr>
            <w:r w:rsidRPr="008B1975">
              <w:rPr>
                <w:lang w:eastAsia="en-US"/>
              </w:rPr>
              <w:t>Infrastructure</w:t>
            </w:r>
          </w:p>
        </w:tc>
      </w:tr>
      <w:tr w:rsidR="008F5628" w:rsidRPr="008B1975" w14:paraId="593B8D9B" w14:textId="77777777" w:rsidTr="00DD5666">
        <w:trPr>
          <w:trHeight w:val="300"/>
        </w:trPr>
        <w:tc>
          <w:tcPr>
            <w:tcW w:w="1667" w:type="pct"/>
            <w:tcBorders>
              <w:top w:val="single" w:sz="12" w:space="0" w:color="auto"/>
              <w:left w:val="nil"/>
              <w:bottom w:val="single" w:sz="12" w:space="0" w:color="auto"/>
              <w:right w:val="nil"/>
            </w:tcBorders>
            <w:hideMark/>
          </w:tcPr>
          <w:p w14:paraId="1CD498BF" w14:textId="77777777" w:rsidR="008F5628" w:rsidRPr="008B1975" w:rsidRDefault="008F5628"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22F4A204" w14:textId="77777777" w:rsidR="008F5628" w:rsidRPr="008B1975" w:rsidRDefault="008F5628"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1DF849FF" w14:textId="77777777" w:rsidR="008F5628" w:rsidRPr="008B1975" w:rsidRDefault="008F5628" w:rsidP="00AB53F1">
            <w:pPr>
              <w:pStyle w:val="Tabletext"/>
              <w:rPr>
                <w:lang w:eastAsia="en-US"/>
              </w:rPr>
            </w:pPr>
            <w:r w:rsidRPr="008B1975">
              <w:rPr>
                <w:lang w:eastAsia="en-US"/>
              </w:rPr>
              <w:t>All</w:t>
            </w:r>
          </w:p>
        </w:tc>
      </w:tr>
    </w:tbl>
    <w:p w14:paraId="5CB46892" w14:textId="77777777" w:rsidR="008F5628" w:rsidRPr="008B1975" w:rsidRDefault="008F5628" w:rsidP="002C0244">
      <w:pPr>
        <w:pStyle w:val="ActHead5"/>
        <w:ind w:left="0" w:firstLine="0"/>
        <w:outlineLvl w:val="9"/>
      </w:pPr>
      <w:r w:rsidRPr="008B1975">
        <w:t>17.6B  Braille and tactile signs and labels</w:t>
      </w:r>
      <w:r w:rsidR="00541B41" w:rsidRPr="008B1975">
        <w:t>—</w:t>
      </w:r>
      <w:r w:rsidRPr="008B1975">
        <w:t>general requirements</w:t>
      </w:r>
    </w:p>
    <w:p w14:paraId="101C8D26" w14:textId="77777777" w:rsidR="008F5628" w:rsidRPr="008B1975" w:rsidRDefault="00580557" w:rsidP="00580557">
      <w:pPr>
        <w:pStyle w:val="subsection"/>
        <w:rPr>
          <w:color w:val="000000" w:themeColor="text1"/>
        </w:rPr>
      </w:pPr>
      <w:r w:rsidRPr="008B1975">
        <w:tab/>
        <w:t>(1)</w:t>
      </w:r>
      <w:r w:rsidRPr="008B1975">
        <w:tab/>
      </w:r>
      <w:r w:rsidR="008F5628" w:rsidRPr="008B1975">
        <w:t>If a sign or label contains braille and tactile</w:t>
      </w:r>
      <w:r w:rsidR="008F5628" w:rsidRPr="008B1975" w:rsidDel="000154A1">
        <w:t xml:space="preserve"> </w:t>
      </w:r>
      <w:r w:rsidR="00945C30" w:rsidRPr="008B1975">
        <w:rPr>
          <w:color w:val="000000" w:themeColor="text1"/>
        </w:rPr>
        <w:t>characters</w:t>
      </w:r>
      <w:r w:rsidR="00F67A8B" w:rsidRPr="008B1975">
        <w:rPr>
          <w:color w:val="000000" w:themeColor="text1"/>
        </w:rPr>
        <w:t>, symbols and the like</w:t>
      </w:r>
      <w:r w:rsidR="008F5628" w:rsidRPr="008B1975">
        <w:rPr>
          <w:color w:val="000000" w:themeColor="text1"/>
        </w:rPr>
        <w:t>:</w:t>
      </w:r>
    </w:p>
    <w:p w14:paraId="325F91B2" w14:textId="77777777" w:rsidR="008F5628" w:rsidRPr="008B1975" w:rsidRDefault="008F5628" w:rsidP="00E97D71">
      <w:pPr>
        <w:pStyle w:val="paragraph"/>
        <w:numPr>
          <w:ilvl w:val="0"/>
          <w:numId w:val="6"/>
        </w:numPr>
      </w:pPr>
      <w:r w:rsidRPr="008B1975">
        <w:t>the background, negative space or fill of the sign or label must have a matte or low sheen finish; and</w:t>
      </w:r>
    </w:p>
    <w:p w14:paraId="1765178F" w14:textId="77777777" w:rsidR="00942FAA" w:rsidRPr="008B1975" w:rsidRDefault="008F5628" w:rsidP="00E97D71">
      <w:pPr>
        <w:pStyle w:val="paragraph"/>
        <w:numPr>
          <w:ilvl w:val="0"/>
          <w:numId w:val="6"/>
        </w:numPr>
      </w:pPr>
      <w:r w:rsidRPr="008B1975">
        <w:t>the braille and</w:t>
      </w:r>
      <w:r w:rsidR="00F67A8B" w:rsidRPr="008B1975">
        <w:t xml:space="preserve"> </w:t>
      </w:r>
      <w:r w:rsidR="00F67A8B" w:rsidRPr="008B1975">
        <w:rPr>
          <w:color w:val="000000" w:themeColor="text1"/>
        </w:rPr>
        <w:t>the</w:t>
      </w:r>
      <w:r w:rsidRPr="008B1975">
        <w:rPr>
          <w:color w:val="000000" w:themeColor="text1"/>
        </w:rPr>
        <w:t xml:space="preserve"> </w:t>
      </w:r>
      <w:r w:rsidRPr="008B1975">
        <w:t xml:space="preserve">tactile </w:t>
      </w:r>
      <w:r w:rsidR="00A11616" w:rsidRPr="008B1975">
        <w:t>characters</w:t>
      </w:r>
      <w:r w:rsidR="00945C30" w:rsidRPr="008B1975">
        <w:t>,</w:t>
      </w:r>
      <w:r w:rsidR="00A11616" w:rsidRPr="008B1975">
        <w:t xml:space="preserve"> </w:t>
      </w:r>
      <w:r w:rsidR="00A11616" w:rsidRPr="008B1975">
        <w:rPr>
          <w:color w:val="000000" w:themeColor="text1"/>
        </w:rPr>
        <w:t>symbols</w:t>
      </w:r>
      <w:r w:rsidRPr="008B1975">
        <w:rPr>
          <w:color w:val="000000" w:themeColor="text1"/>
        </w:rPr>
        <w:t xml:space="preserve"> </w:t>
      </w:r>
      <w:r w:rsidR="00F67A8B" w:rsidRPr="008B1975">
        <w:rPr>
          <w:color w:val="000000" w:themeColor="text1"/>
        </w:rPr>
        <w:t xml:space="preserve">and the like </w:t>
      </w:r>
      <w:r w:rsidRPr="008B1975">
        <w:rPr>
          <w:color w:val="000000" w:themeColor="text1"/>
        </w:rPr>
        <w:t xml:space="preserve">must </w:t>
      </w:r>
      <w:r w:rsidRPr="008B1975">
        <w:t>have a matte or low sheen finish; and</w:t>
      </w:r>
    </w:p>
    <w:p w14:paraId="1C457DC7" w14:textId="77777777" w:rsidR="008F5628" w:rsidRPr="008B1975" w:rsidRDefault="008F5628" w:rsidP="00E97D71">
      <w:pPr>
        <w:pStyle w:val="paragraph"/>
        <w:numPr>
          <w:ilvl w:val="0"/>
          <w:numId w:val="6"/>
        </w:numPr>
      </w:pPr>
      <w:r w:rsidRPr="008B1975">
        <w:t xml:space="preserve">any </w:t>
      </w:r>
      <w:r w:rsidR="00F03DDE" w:rsidRPr="008B1975">
        <w:t xml:space="preserve">information presented in </w:t>
      </w:r>
      <w:r w:rsidRPr="008B1975">
        <w:t>braille must be comparable to the messaging found in the text or written information; and</w:t>
      </w:r>
    </w:p>
    <w:p w14:paraId="30F6F0F1" w14:textId="77777777" w:rsidR="008F5628" w:rsidRPr="008B1975" w:rsidRDefault="008F5628" w:rsidP="00E97D71">
      <w:pPr>
        <w:pStyle w:val="paragraph"/>
        <w:numPr>
          <w:ilvl w:val="0"/>
          <w:numId w:val="6"/>
        </w:numPr>
      </w:pPr>
      <w:r w:rsidRPr="008B1975">
        <w:lastRenderedPageBreak/>
        <w:t>any information contained in or represented by a pictogram must be rendered in braille.</w:t>
      </w:r>
    </w:p>
    <w:p w14:paraId="0C86297E" w14:textId="77777777" w:rsidR="008F5628" w:rsidRPr="008B1975" w:rsidRDefault="00580557" w:rsidP="002446DA">
      <w:pPr>
        <w:pStyle w:val="subsection"/>
        <w:rPr>
          <w:color w:val="000000" w:themeColor="text1"/>
        </w:rPr>
      </w:pPr>
      <w:r w:rsidRPr="008B1975">
        <w:tab/>
        <w:t>(2)</w:t>
      </w:r>
      <w:r w:rsidRPr="008B1975">
        <w:tab/>
      </w:r>
      <w:r w:rsidR="007D3D61" w:rsidRPr="008B1975">
        <w:t>B</w:t>
      </w:r>
      <w:r w:rsidR="008F5628" w:rsidRPr="008B1975">
        <w:t xml:space="preserve">raille and </w:t>
      </w:r>
      <w:r w:rsidR="008F5628" w:rsidRPr="008B1975">
        <w:rPr>
          <w:color w:val="000000" w:themeColor="text1"/>
        </w:rPr>
        <w:t xml:space="preserve">tactile </w:t>
      </w:r>
      <w:r w:rsidR="00F03DDE" w:rsidRPr="008B1975">
        <w:rPr>
          <w:color w:val="000000" w:themeColor="text1"/>
        </w:rPr>
        <w:t>characters</w:t>
      </w:r>
      <w:r w:rsidR="00F67A8B" w:rsidRPr="008B1975">
        <w:rPr>
          <w:color w:val="000000" w:themeColor="text1"/>
        </w:rPr>
        <w:t>, symbols and the like</w:t>
      </w:r>
      <w:r w:rsidR="008F5628" w:rsidRPr="008B1975">
        <w:rPr>
          <w:color w:val="000000" w:themeColor="text1"/>
        </w:rPr>
        <w:t xml:space="preserve"> must have a luminance contrast of not less than 30% when viewed</w:t>
      </w:r>
      <w:r w:rsidR="002446DA" w:rsidRPr="008B1975">
        <w:rPr>
          <w:color w:val="000000" w:themeColor="text1"/>
        </w:rPr>
        <w:t xml:space="preserve"> </w:t>
      </w:r>
      <w:r w:rsidR="008F5628" w:rsidRPr="008B1975">
        <w:rPr>
          <w:color w:val="000000" w:themeColor="text1"/>
        </w:rPr>
        <w:t>against the background sign</w:t>
      </w:r>
      <w:r w:rsidR="002446DA" w:rsidRPr="008B1975">
        <w:rPr>
          <w:color w:val="000000" w:themeColor="text1"/>
        </w:rPr>
        <w:t xml:space="preserve"> or label</w:t>
      </w:r>
      <w:r w:rsidR="008F5628" w:rsidRPr="008B1975">
        <w:rPr>
          <w:color w:val="000000" w:themeColor="text1"/>
        </w:rPr>
        <w:t xml:space="preserve"> surface on which the braille and tactile elements are mounted.</w:t>
      </w:r>
    </w:p>
    <w:p w14:paraId="11F27562" w14:textId="77777777" w:rsidR="002446DA" w:rsidRPr="008B1975" w:rsidRDefault="002446DA" w:rsidP="002446DA">
      <w:pPr>
        <w:pStyle w:val="subsection"/>
        <w:rPr>
          <w:color w:val="000000" w:themeColor="text1"/>
        </w:rPr>
      </w:pPr>
      <w:r w:rsidRPr="008B1975">
        <w:rPr>
          <w:color w:val="000000" w:themeColor="text1"/>
        </w:rPr>
        <w:tab/>
        <w:t>(3)</w:t>
      </w:r>
      <w:r w:rsidRPr="008B1975">
        <w:rPr>
          <w:color w:val="000000" w:themeColor="text1"/>
        </w:rPr>
        <w:tab/>
        <w:t>The luminance contrast must be tested under the lighting conditions in which the sign or label is to be located.</w:t>
      </w:r>
    </w:p>
    <w:p w14:paraId="1D8DE355" w14:textId="77777777" w:rsidR="008F5628" w:rsidRPr="008B1975" w:rsidRDefault="002446DA" w:rsidP="002446DA">
      <w:pPr>
        <w:pStyle w:val="subsection"/>
      </w:pPr>
      <w:r w:rsidRPr="008B1975">
        <w:tab/>
        <w:t>(4)</w:t>
      </w:r>
      <w:r w:rsidRPr="008B1975">
        <w:tab/>
      </w:r>
      <w:r w:rsidR="008F5628" w:rsidRPr="008B1975">
        <w:t>The following table specifies conveyances, premises and infrastructure this section applies to.</w:t>
      </w:r>
    </w:p>
    <w:p w14:paraId="6756E63B" w14:textId="77777777" w:rsidR="008F5628" w:rsidRPr="008B1975" w:rsidRDefault="008F5628" w:rsidP="008F5628">
      <w:pPr>
        <w:pStyle w:val="paragraph"/>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0FA32DF7"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0BCB41AD" w14:textId="77777777" w:rsidR="008F5628" w:rsidRPr="008B1975" w:rsidRDefault="008F5628" w:rsidP="00AB53F1">
            <w:pPr>
              <w:pStyle w:val="TableHeading"/>
              <w:rPr>
                <w:lang w:eastAsia="en-US"/>
              </w:rPr>
            </w:pPr>
            <w:r w:rsidRPr="008B1975">
              <w:rPr>
                <w:lang w:eastAsia="en-US"/>
              </w:rPr>
              <w:t>Application of this section</w:t>
            </w:r>
          </w:p>
        </w:tc>
      </w:tr>
      <w:tr w:rsidR="008F5628" w:rsidRPr="008B1975" w14:paraId="5F5964D1" w14:textId="77777777" w:rsidTr="00CC36E0">
        <w:trPr>
          <w:trHeight w:val="300"/>
          <w:tblHeader/>
        </w:trPr>
        <w:tc>
          <w:tcPr>
            <w:tcW w:w="1667" w:type="pct"/>
            <w:tcBorders>
              <w:top w:val="single" w:sz="6" w:space="0" w:color="auto"/>
              <w:left w:val="nil"/>
              <w:bottom w:val="single" w:sz="12" w:space="0" w:color="auto"/>
              <w:right w:val="nil"/>
            </w:tcBorders>
            <w:hideMark/>
          </w:tcPr>
          <w:p w14:paraId="02272557" w14:textId="77777777" w:rsidR="008F5628" w:rsidRPr="008B1975" w:rsidRDefault="008F5628"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32D02E75" w14:textId="77777777" w:rsidR="008F5628" w:rsidRPr="008B1975" w:rsidRDefault="008F5628"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77930CA7" w14:textId="77777777" w:rsidR="008F5628" w:rsidRPr="008B1975" w:rsidRDefault="008F5628" w:rsidP="00AB53F1">
            <w:pPr>
              <w:pStyle w:val="TableHeading"/>
              <w:rPr>
                <w:lang w:eastAsia="en-US"/>
              </w:rPr>
            </w:pPr>
            <w:r w:rsidRPr="008B1975">
              <w:rPr>
                <w:lang w:eastAsia="en-US"/>
              </w:rPr>
              <w:t>Infrastructure</w:t>
            </w:r>
          </w:p>
        </w:tc>
      </w:tr>
      <w:tr w:rsidR="008F5628" w:rsidRPr="008B1975" w14:paraId="5217EF8D" w14:textId="77777777" w:rsidTr="00CC36E0">
        <w:trPr>
          <w:trHeight w:val="300"/>
        </w:trPr>
        <w:tc>
          <w:tcPr>
            <w:tcW w:w="1667" w:type="pct"/>
            <w:tcBorders>
              <w:top w:val="single" w:sz="12" w:space="0" w:color="auto"/>
              <w:left w:val="nil"/>
              <w:bottom w:val="single" w:sz="12" w:space="0" w:color="auto"/>
              <w:right w:val="nil"/>
            </w:tcBorders>
            <w:hideMark/>
          </w:tcPr>
          <w:p w14:paraId="037D9366" w14:textId="77777777" w:rsidR="008F5628" w:rsidRPr="008B1975" w:rsidRDefault="008F5628" w:rsidP="00AB53F1">
            <w:pPr>
              <w:pStyle w:val="Tabletext"/>
              <w:rPr>
                <w:lang w:eastAsia="en-US"/>
              </w:rPr>
            </w:pPr>
            <w:r w:rsidRPr="008B1975">
              <w:rPr>
                <w:lang w:eastAsia="en-US"/>
              </w:rPr>
              <w:t>All</w:t>
            </w:r>
          </w:p>
        </w:tc>
        <w:tc>
          <w:tcPr>
            <w:tcW w:w="1667" w:type="pct"/>
            <w:tcBorders>
              <w:top w:val="single" w:sz="12" w:space="0" w:color="auto"/>
              <w:left w:val="nil"/>
              <w:bottom w:val="single" w:sz="12" w:space="0" w:color="auto"/>
              <w:right w:val="nil"/>
            </w:tcBorders>
            <w:hideMark/>
          </w:tcPr>
          <w:p w14:paraId="038C71FF" w14:textId="77777777" w:rsidR="008F5628" w:rsidRPr="008B1975" w:rsidRDefault="008F5628"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3DFDF11E" w14:textId="77777777" w:rsidR="008F5628" w:rsidRPr="008B1975" w:rsidRDefault="008F5628" w:rsidP="00AB53F1">
            <w:pPr>
              <w:pStyle w:val="Tabletext"/>
              <w:rPr>
                <w:lang w:eastAsia="en-US"/>
              </w:rPr>
            </w:pPr>
            <w:r w:rsidRPr="008B1975">
              <w:rPr>
                <w:lang w:eastAsia="en-US"/>
              </w:rPr>
              <w:t>All</w:t>
            </w:r>
          </w:p>
        </w:tc>
      </w:tr>
    </w:tbl>
    <w:p w14:paraId="7B4DE463" w14:textId="77777777" w:rsidR="008F5628" w:rsidRPr="008B1975" w:rsidRDefault="008F5628" w:rsidP="002C0244">
      <w:pPr>
        <w:pStyle w:val="ActHead5"/>
        <w:outlineLvl w:val="9"/>
      </w:pPr>
      <w:r w:rsidRPr="008B1975">
        <w:t xml:space="preserve">17.6C  </w:t>
      </w:r>
      <w:r w:rsidRPr="008B1975" w:rsidDel="005C466F">
        <w:t xml:space="preserve">Specific requirements for </w:t>
      </w:r>
      <w:r w:rsidRPr="008B1975">
        <w:t>braille and tactile signs</w:t>
      </w:r>
      <w:r w:rsidR="00110FB0" w:rsidRPr="008B1975">
        <w:t>—</w:t>
      </w:r>
      <w:r w:rsidRPr="008B1975">
        <w:t>location requirements</w:t>
      </w:r>
    </w:p>
    <w:p w14:paraId="763FA6F1" w14:textId="77777777" w:rsidR="00A97CAE" w:rsidRPr="008B1975" w:rsidRDefault="00A97CAE" w:rsidP="00A97CAE">
      <w:pPr>
        <w:pStyle w:val="subsection"/>
      </w:pPr>
      <w:r w:rsidRPr="008B1975">
        <w:tab/>
        <w:t>(1)</w:t>
      </w:r>
      <w:r w:rsidRPr="008B1975">
        <w:tab/>
      </w:r>
      <w:r w:rsidR="003B7FC0" w:rsidRPr="008B1975">
        <w:t>T</w:t>
      </w:r>
      <w:r w:rsidRPr="008B1975">
        <w:t>he braille and tactile elements on a sign must be located no less than 1200 mm, and no more than 1600 mm, above the ground or floor surface.</w:t>
      </w:r>
    </w:p>
    <w:p w14:paraId="02F46ADC" w14:textId="77777777" w:rsidR="008F5628" w:rsidRPr="008B1975" w:rsidRDefault="00B27040" w:rsidP="008F5628">
      <w:pPr>
        <w:pStyle w:val="subsection"/>
      </w:pPr>
      <w:r w:rsidRPr="008B1975">
        <w:tab/>
      </w:r>
      <w:r w:rsidR="008F5628" w:rsidRPr="008B1975">
        <w:t>(</w:t>
      </w:r>
      <w:r w:rsidR="00BB2B8A" w:rsidRPr="008B1975">
        <w:t>2</w:t>
      </w:r>
      <w:r w:rsidR="008F5628" w:rsidRPr="008B1975">
        <w:t>)</w:t>
      </w:r>
      <w:r w:rsidR="008F5628" w:rsidRPr="008B1975">
        <w:tab/>
      </w:r>
      <w:r w:rsidR="003B7FC0" w:rsidRPr="008B1975">
        <w:t>However, a</w:t>
      </w:r>
      <w:r w:rsidR="008F5628" w:rsidRPr="008B1975">
        <w:t xml:space="preserve"> sign or label with </w:t>
      </w:r>
      <w:r w:rsidR="00BB2B8A" w:rsidRPr="008B1975">
        <w:t xml:space="preserve">a </w:t>
      </w:r>
      <w:r w:rsidR="008F5628" w:rsidRPr="008B1975">
        <w:t xml:space="preserve">single line of </w:t>
      </w:r>
      <w:r w:rsidR="00BB2B8A" w:rsidRPr="008B1975">
        <w:t xml:space="preserve">tactile </w:t>
      </w:r>
      <w:r w:rsidR="008F5628" w:rsidRPr="008B1975">
        <w:t>characters must have the line of tactile characters located no less than 1250 mm, and no more than 1350 mm, above the floor or ground surface.</w:t>
      </w:r>
    </w:p>
    <w:p w14:paraId="75B41E69" w14:textId="77777777" w:rsidR="008F5628" w:rsidRPr="008B1975" w:rsidRDefault="008F5628" w:rsidP="008F5628">
      <w:pPr>
        <w:pStyle w:val="subsection"/>
      </w:pPr>
      <w:r w:rsidRPr="008B1975">
        <w:tab/>
        <w:t>(</w:t>
      </w:r>
      <w:r w:rsidR="00BB2B8A" w:rsidRPr="008B1975">
        <w:t>3</w:t>
      </w:r>
      <w:r w:rsidRPr="008B1975">
        <w:t>)</w:t>
      </w:r>
      <w:r w:rsidRPr="008B1975">
        <w:tab/>
        <w:t>A sign must be provided for each sanitary facility or space</w:t>
      </w:r>
      <w:r w:rsidRPr="008B1975">
        <w:rPr>
          <w:i/>
        </w:rPr>
        <w:t xml:space="preserve"> </w:t>
      </w:r>
      <w:r w:rsidRPr="008B1975">
        <w:t>with a hearing augmentation system that satisfies all of the following:</w:t>
      </w:r>
    </w:p>
    <w:p w14:paraId="19FF8D99" w14:textId="77777777" w:rsidR="008F5628" w:rsidRPr="008B1975" w:rsidRDefault="008F5628" w:rsidP="008F5628">
      <w:pPr>
        <w:pStyle w:val="paragraph"/>
      </w:pPr>
      <w:r w:rsidRPr="008B1975">
        <w:tab/>
        <w:t>(a)</w:t>
      </w:r>
      <w:r w:rsidRPr="008B1975">
        <w:tab/>
        <w:t>the sign identifies the facility or space with braille and tactile elements;</w:t>
      </w:r>
    </w:p>
    <w:p w14:paraId="7BE7DCE7" w14:textId="77777777" w:rsidR="008F5628" w:rsidRPr="008B1975" w:rsidRDefault="008F5628" w:rsidP="008F5628">
      <w:pPr>
        <w:pStyle w:val="paragraph"/>
      </w:pPr>
      <w:r w:rsidRPr="008B1975">
        <w:tab/>
        <w:t>(b)</w:t>
      </w:r>
      <w:r w:rsidRPr="008B1975">
        <w:tab/>
        <w:t>the sign includes the international symbol of access in a form that satisfies the requirements in clause 5.2.1 of AS 1428.1 (2021);</w:t>
      </w:r>
    </w:p>
    <w:p w14:paraId="09127E36" w14:textId="77777777" w:rsidR="008F5628" w:rsidRPr="008B1975" w:rsidRDefault="008F5628" w:rsidP="008F5628">
      <w:pPr>
        <w:pStyle w:val="paragraph"/>
        <w:rPr>
          <w:i/>
        </w:rPr>
      </w:pPr>
      <w:r w:rsidRPr="008B1975">
        <w:tab/>
        <w:t>(c)</w:t>
      </w:r>
      <w:r w:rsidRPr="008B1975">
        <w:tab/>
        <w:t>the sign includes the international symbol of deafness in a form that satisfies the requirements in clause 5.2.2 of AS 1428.1 (2021)</w:t>
      </w:r>
      <w:r w:rsidRPr="008B1975">
        <w:rPr>
          <w:i/>
        </w:rPr>
        <w:t>.</w:t>
      </w:r>
    </w:p>
    <w:p w14:paraId="25808D80" w14:textId="77777777" w:rsidR="008F5628" w:rsidRPr="008B1975" w:rsidRDefault="002446DA" w:rsidP="002446DA">
      <w:pPr>
        <w:pStyle w:val="subsection"/>
      </w:pPr>
      <w:r w:rsidRPr="008B1975">
        <w:tab/>
        <w:t>(4)</w:t>
      </w:r>
      <w:r w:rsidRPr="008B1975">
        <w:tab/>
      </w:r>
      <w:r w:rsidR="008F5628" w:rsidRPr="008B1975" w:rsidDel="00B27040">
        <w:t xml:space="preserve">A </w:t>
      </w:r>
      <w:r w:rsidR="008F5628" w:rsidRPr="008B1975">
        <w:t xml:space="preserve">sign </w:t>
      </w:r>
      <w:r w:rsidR="008F5628" w:rsidRPr="008B1975" w:rsidDel="00B27040">
        <w:t xml:space="preserve">must be </w:t>
      </w:r>
      <w:r w:rsidR="008F5628" w:rsidRPr="008B1975" w:rsidDel="007E496D">
        <w:t xml:space="preserve">provided </w:t>
      </w:r>
      <w:r w:rsidR="008F5628" w:rsidRPr="008B1975" w:rsidDel="00B27040">
        <w:t xml:space="preserve">for </w:t>
      </w:r>
      <w:r w:rsidR="008F5628" w:rsidRPr="008B1975" w:rsidDel="007E496D">
        <w:t xml:space="preserve">each </w:t>
      </w:r>
      <w:r w:rsidR="008F5628" w:rsidRPr="008B1975">
        <w:t xml:space="preserve">room containing accessible features or facilities </w:t>
      </w:r>
      <w:r w:rsidR="008F5628" w:rsidRPr="008B1975" w:rsidDel="00B27040">
        <w:t xml:space="preserve">that </w:t>
      </w:r>
      <w:r w:rsidR="008F5628" w:rsidRPr="008B1975">
        <w:t>satisfies all of the following:</w:t>
      </w:r>
    </w:p>
    <w:p w14:paraId="4FC11D99" w14:textId="77777777" w:rsidR="008F5628" w:rsidRPr="008B1975" w:rsidRDefault="008F5628" w:rsidP="008F5628">
      <w:pPr>
        <w:pStyle w:val="paragraph"/>
      </w:pPr>
      <w:r w:rsidRPr="008B1975">
        <w:tab/>
        <w:t>(a)</w:t>
      </w:r>
      <w:r w:rsidRPr="008B1975">
        <w:tab/>
        <w:t xml:space="preserve">the sign identifies the room has those features or facilities with braille and tactile elements; </w:t>
      </w:r>
    </w:p>
    <w:p w14:paraId="3E9955F7" w14:textId="77777777" w:rsidR="008F5628" w:rsidRPr="008B1975" w:rsidRDefault="008F5628" w:rsidP="008F5628">
      <w:pPr>
        <w:pStyle w:val="paragraph"/>
      </w:pPr>
      <w:r w:rsidRPr="008B1975">
        <w:tab/>
        <w:t>(b)</w:t>
      </w:r>
      <w:r w:rsidRPr="008B1975">
        <w:tab/>
        <w:t>the sign is located either:</w:t>
      </w:r>
    </w:p>
    <w:p w14:paraId="1B83C757" w14:textId="77777777" w:rsidR="008F5628" w:rsidRPr="008B1975" w:rsidRDefault="008F5628" w:rsidP="008F5628">
      <w:pPr>
        <w:pStyle w:val="paragraphsub"/>
      </w:pPr>
      <w:r w:rsidRPr="008B1975">
        <w:tab/>
        <w:t>(i)</w:t>
      </w:r>
      <w:r w:rsidRPr="008B1975">
        <w:tab/>
        <w:t>on the wall on the latch side of the door to the room, with the leading edge of the sign located no less than 50 mm, and no more than 300 mm, from the architrave; or</w:t>
      </w:r>
    </w:p>
    <w:p w14:paraId="29830995" w14:textId="77777777" w:rsidR="008F5628" w:rsidRPr="008B1975" w:rsidRDefault="008F5628" w:rsidP="008F5628">
      <w:pPr>
        <w:pStyle w:val="paragraphsub"/>
      </w:pPr>
      <w:r w:rsidRPr="008B1975">
        <w:tab/>
        <w:t>(ii)</w:t>
      </w:r>
      <w:r w:rsidRPr="008B1975">
        <w:tab/>
        <w:t>if it is not possible to comply with subparagraph (i)—on the door itself.</w:t>
      </w:r>
    </w:p>
    <w:p w14:paraId="23135CB7" w14:textId="77777777" w:rsidR="008F5628" w:rsidRPr="008B1975" w:rsidRDefault="008F5628" w:rsidP="008F5628">
      <w:pPr>
        <w:pStyle w:val="subsection"/>
      </w:pPr>
      <w:r w:rsidRPr="008B1975">
        <w:tab/>
        <w:t>(</w:t>
      </w:r>
      <w:r w:rsidR="00BB2B8A" w:rsidRPr="008B1975">
        <w:t>5</w:t>
      </w:r>
      <w:r w:rsidRPr="008B1975">
        <w:t>)</w:t>
      </w:r>
      <w:r w:rsidRPr="008B1975">
        <w:tab/>
        <w:t xml:space="preserve">If a door has an exit sign, another sign (the </w:t>
      </w:r>
      <w:r w:rsidR="009F167C" w:rsidRPr="008B1975">
        <w:rPr>
          <w:b/>
          <w:i/>
        </w:rPr>
        <w:t>second</w:t>
      </w:r>
      <w:r w:rsidR="00574247" w:rsidRPr="008B1975">
        <w:rPr>
          <w:b/>
          <w:i/>
        </w:rPr>
        <w:t xml:space="preserve"> </w:t>
      </w:r>
      <w:r w:rsidRPr="008B1975">
        <w:rPr>
          <w:b/>
          <w:i/>
        </w:rPr>
        <w:t>sign</w:t>
      </w:r>
      <w:r w:rsidRPr="008B1975">
        <w:t>) must be provided on the side of the door that is used for egress that satisfies all of the following:</w:t>
      </w:r>
    </w:p>
    <w:p w14:paraId="38D8AC2D" w14:textId="77777777" w:rsidR="008F5628" w:rsidRPr="008B1975" w:rsidRDefault="008F5628" w:rsidP="008F5628">
      <w:pPr>
        <w:pStyle w:val="paragraph"/>
      </w:pPr>
      <w:r w:rsidRPr="008B1975">
        <w:tab/>
        <w:t>(a)</w:t>
      </w:r>
      <w:r w:rsidRPr="008B1975">
        <w:tab/>
        <w:t xml:space="preserve">the </w:t>
      </w:r>
      <w:r w:rsidR="009F167C" w:rsidRPr="008B1975">
        <w:t>second</w:t>
      </w:r>
      <w:r w:rsidRPr="008B1975">
        <w:t xml:space="preserve"> sign states in braille and tactile elements the word “Exit”;</w:t>
      </w:r>
    </w:p>
    <w:p w14:paraId="6B521010" w14:textId="77777777" w:rsidR="008F5628" w:rsidRPr="008B1975" w:rsidRDefault="008F5628" w:rsidP="008F5628">
      <w:pPr>
        <w:pStyle w:val="paragraph"/>
      </w:pPr>
      <w:r w:rsidRPr="008B1975">
        <w:tab/>
        <w:t>(b)</w:t>
      </w:r>
      <w:r w:rsidRPr="008B1975">
        <w:tab/>
        <w:t xml:space="preserve">the </w:t>
      </w:r>
      <w:r w:rsidR="009F167C" w:rsidRPr="008B1975">
        <w:t>second</w:t>
      </w:r>
      <w:r w:rsidRPr="008B1975">
        <w:t xml:space="preserve"> sign states in braille and tactile elements the word “Level” with that word followed by either or both of the following:</w:t>
      </w:r>
    </w:p>
    <w:p w14:paraId="463F2E39" w14:textId="77777777" w:rsidR="008F5628" w:rsidRPr="008B1975" w:rsidRDefault="008F5628" w:rsidP="008F5628">
      <w:pPr>
        <w:pStyle w:val="paragraphsub"/>
      </w:pPr>
      <w:r w:rsidRPr="008B1975">
        <w:lastRenderedPageBreak/>
        <w:tab/>
        <w:t>(i)</w:t>
      </w:r>
      <w:r w:rsidRPr="008B1975">
        <w:tab/>
        <w:t>the floor level number;</w:t>
      </w:r>
    </w:p>
    <w:p w14:paraId="00DD16A7" w14:textId="77777777" w:rsidR="008F5628" w:rsidRPr="008B1975" w:rsidRDefault="008F5628" w:rsidP="008F5628">
      <w:pPr>
        <w:pStyle w:val="paragraphsub"/>
      </w:pPr>
      <w:r w:rsidRPr="008B1975">
        <w:tab/>
        <w:t>(ii)</w:t>
      </w:r>
      <w:r w:rsidRPr="008B1975">
        <w:tab/>
        <w:t>a description of the floor level</w:t>
      </w:r>
      <w:r w:rsidR="005F6F15" w:rsidRPr="008B1975">
        <w:t>;</w:t>
      </w:r>
    </w:p>
    <w:p w14:paraId="3CBAC542" w14:textId="77777777" w:rsidR="008F5628" w:rsidRPr="008B1975" w:rsidRDefault="008F5628" w:rsidP="008F5628">
      <w:pPr>
        <w:pStyle w:val="paragraph"/>
      </w:pPr>
      <w:r w:rsidRPr="008B1975">
        <w:tab/>
        <w:t>(c)</w:t>
      </w:r>
      <w:r w:rsidRPr="008B1975">
        <w:tab/>
        <w:t xml:space="preserve">the </w:t>
      </w:r>
      <w:r w:rsidR="009F167C" w:rsidRPr="008B1975">
        <w:t>second</w:t>
      </w:r>
      <w:r w:rsidRPr="008B1975">
        <w:t xml:space="preserve"> sign is located either:</w:t>
      </w:r>
    </w:p>
    <w:p w14:paraId="642E3E7B" w14:textId="77777777" w:rsidR="008F5628" w:rsidRPr="008B1975" w:rsidRDefault="008F5628" w:rsidP="008F5628">
      <w:pPr>
        <w:pStyle w:val="paragraphsub"/>
      </w:pPr>
      <w:r w:rsidRPr="008B1975">
        <w:tab/>
        <w:t>(i)</w:t>
      </w:r>
      <w:r w:rsidRPr="008B1975">
        <w:tab/>
        <w:t>on the wall on the latch side of the door to the room, with the leading edge of the sign located no less than 50 mm, and no more than 300 mm, from the architrave; or</w:t>
      </w:r>
    </w:p>
    <w:p w14:paraId="5D1FE141" w14:textId="77777777" w:rsidR="008F5628" w:rsidRPr="008B1975" w:rsidRDefault="008F5628" w:rsidP="008F5628">
      <w:pPr>
        <w:pStyle w:val="paragraphsub"/>
      </w:pPr>
      <w:r w:rsidRPr="008B1975">
        <w:tab/>
        <w:t>(ii)</w:t>
      </w:r>
      <w:r w:rsidRPr="008B1975">
        <w:tab/>
        <w:t>if it is not possible to comply with subparagraph (i)—on the door itself.</w:t>
      </w:r>
    </w:p>
    <w:p w14:paraId="2B115C06" w14:textId="77777777" w:rsidR="008F5628" w:rsidRPr="008B1975" w:rsidRDefault="008F5628" w:rsidP="008F5628">
      <w:pPr>
        <w:pStyle w:val="subsection"/>
      </w:pPr>
      <w:r w:rsidRPr="008B1975">
        <w:tab/>
        <w:t>(6)</w:t>
      </w:r>
      <w:r w:rsidRPr="008B1975">
        <w:tab/>
        <w:t>The following table specifies conveyances, premises and infrastructure this section applies to.</w:t>
      </w:r>
    </w:p>
    <w:p w14:paraId="54040AC0" w14:textId="77777777" w:rsidR="008F5628" w:rsidRPr="008B1975" w:rsidRDefault="008F5628" w:rsidP="008F562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10362659"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3A1D46E9" w14:textId="77777777" w:rsidR="008F5628" w:rsidRPr="008B1975" w:rsidRDefault="008F5628" w:rsidP="00AB53F1">
            <w:pPr>
              <w:pStyle w:val="TableHeading"/>
              <w:rPr>
                <w:lang w:eastAsia="en-US"/>
              </w:rPr>
            </w:pPr>
            <w:r w:rsidRPr="008B1975">
              <w:rPr>
                <w:lang w:eastAsia="en-US"/>
              </w:rPr>
              <w:t>Application of this section</w:t>
            </w:r>
          </w:p>
        </w:tc>
      </w:tr>
      <w:tr w:rsidR="008F5628" w:rsidRPr="008B1975" w14:paraId="269B2028" w14:textId="77777777" w:rsidTr="00CC36E0">
        <w:trPr>
          <w:trHeight w:val="300"/>
          <w:tblHeader/>
        </w:trPr>
        <w:tc>
          <w:tcPr>
            <w:tcW w:w="1667" w:type="pct"/>
            <w:tcBorders>
              <w:top w:val="single" w:sz="6" w:space="0" w:color="auto"/>
              <w:left w:val="nil"/>
              <w:bottom w:val="single" w:sz="12" w:space="0" w:color="auto"/>
              <w:right w:val="nil"/>
            </w:tcBorders>
            <w:hideMark/>
          </w:tcPr>
          <w:p w14:paraId="0869E5AC" w14:textId="77777777" w:rsidR="008F5628" w:rsidRPr="008B1975" w:rsidRDefault="008F5628"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619CB9F2" w14:textId="77777777" w:rsidR="008F5628" w:rsidRPr="008B1975" w:rsidRDefault="008F5628"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5496572C" w14:textId="77777777" w:rsidR="008F5628" w:rsidRPr="008B1975" w:rsidRDefault="008F5628" w:rsidP="00AB53F1">
            <w:pPr>
              <w:pStyle w:val="TableHeading"/>
              <w:rPr>
                <w:lang w:eastAsia="en-US"/>
              </w:rPr>
            </w:pPr>
            <w:r w:rsidRPr="008B1975">
              <w:rPr>
                <w:lang w:eastAsia="en-US"/>
              </w:rPr>
              <w:t>Infrastructure</w:t>
            </w:r>
          </w:p>
        </w:tc>
      </w:tr>
      <w:tr w:rsidR="008F5628" w:rsidRPr="008B1975" w14:paraId="010BB950" w14:textId="77777777" w:rsidTr="00CC36E0">
        <w:trPr>
          <w:trHeight w:val="300"/>
        </w:trPr>
        <w:tc>
          <w:tcPr>
            <w:tcW w:w="1667" w:type="pct"/>
            <w:tcBorders>
              <w:top w:val="single" w:sz="12" w:space="0" w:color="auto"/>
              <w:left w:val="nil"/>
              <w:bottom w:val="single" w:sz="12" w:space="0" w:color="auto"/>
              <w:right w:val="nil"/>
            </w:tcBorders>
            <w:hideMark/>
          </w:tcPr>
          <w:p w14:paraId="282D6AF6" w14:textId="77777777" w:rsidR="008F5628" w:rsidRPr="008B1975" w:rsidRDefault="008F5628"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716D1D55" w14:textId="77777777" w:rsidR="008F5628" w:rsidRPr="008B1975" w:rsidRDefault="008F5628"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020B280A" w14:textId="77777777" w:rsidR="008F5628" w:rsidRPr="008B1975" w:rsidRDefault="008F5628" w:rsidP="00AB53F1">
            <w:pPr>
              <w:pStyle w:val="Tabletext"/>
              <w:rPr>
                <w:lang w:eastAsia="en-US"/>
              </w:rPr>
            </w:pPr>
            <w:r w:rsidRPr="008B1975">
              <w:rPr>
                <w:lang w:eastAsia="en-US"/>
              </w:rPr>
              <w:t>All</w:t>
            </w:r>
          </w:p>
        </w:tc>
      </w:tr>
    </w:tbl>
    <w:p w14:paraId="39D0F5F3" w14:textId="77777777" w:rsidR="008F5628" w:rsidRPr="008B1975" w:rsidRDefault="008F5628" w:rsidP="002C0244">
      <w:pPr>
        <w:pStyle w:val="ActHead5"/>
        <w:ind w:left="0" w:firstLine="0"/>
        <w:outlineLvl w:val="9"/>
      </w:pPr>
      <w:r w:rsidRPr="008B1975">
        <w:t xml:space="preserve">17.6D  </w:t>
      </w:r>
      <w:r w:rsidRPr="008B1975" w:rsidDel="007E496D">
        <w:t>Specific requirements for braille and tactile signs</w:t>
      </w:r>
    </w:p>
    <w:p w14:paraId="20784B7B" w14:textId="77777777" w:rsidR="008F5628" w:rsidRPr="008B1975" w:rsidDel="007E496D" w:rsidRDefault="008F5628" w:rsidP="007E496D">
      <w:pPr>
        <w:pStyle w:val="subsection"/>
      </w:pPr>
      <w:r w:rsidRPr="008B1975">
        <w:tab/>
      </w:r>
      <w:r w:rsidRPr="008B1975" w:rsidDel="007E496D">
        <w:t>(1)</w:t>
      </w:r>
      <w:r w:rsidRPr="008B1975" w:rsidDel="007E496D">
        <w:tab/>
        <w:t>This section applies to a sign that has any braille or tactile elements.</w:t>
      </w:r>
    </w:p>
    <w:p w14:paraId="41F47D1C" w14:textId="77777777" w:rsidR="008F5628" w:rsidRPr="008B1975" w:rsidRDefault="008F5628">
      <w:pPr>
        <w:pStyle w:val="subsection"/>
      </w:pPr>
      <w:r w:rsidRPr="008B1975" w:rsidDel="007E496D">
        <w:tab/>
        <w:t>(2)</w:t>
      </w:r>
      <w:r w:rsidRPr="008B1975" w:rsidDel="007E496D">
        <w:tab/>
        <w:t>The entire sign (including any frame) must have all edges rounded.</w:t>
      </w:r>
    </w:p>
    <w:p w14:paraId="5B706354" w14:textId="77777777" w:rsidR="008F5628" w:rsidRPr="008B1975" w:rsidRDefault="008F5628" w:rsidP="008F5628">
      <w:pPr>
        <w:pStyle w:val="subsection"/>
      </w:pPr>
      <w:r w:rsidRPr="008B1975">
        <w:tab/>
        <w:t>(3)</w:t>
      </w:r>
      <w:r w:rsidRPr="008B1975">
        <w:tab/>
        <w:t>The background, negative space, and fill of the sign (including its borders if those borders have a minimum width of 5 millimetres) must have a luminance contrast of not less than 30%, when viewed against:</w:t>
      </w:r>
    </w:p>
    <w:p w14:paraId="019F6449" w14:textId="77777777" w:rsidR="008F5628" w:rsidRPr="008B1975" w:rsidRDefault="008F5628" w:rsidP="008F5628">
      <w:pPr>
        <w:pStyle w:val="paragraph"/>
      </w:pPr>
      <w:r w:rsidRPr="008B1975">
        <w:tab/>
        <w:t>(a)</w:t>
      </w:r>
      <w:r w:rsidRPr="008B1975">
        <w:tab/>
        <w:t xml:space="preserve">the background on which it is mounted; and </w:t>
      </w:r>
    </w:p>
    <w:p w14:paraId="5AD70508" w14:textId="77777777" w:rsidR="007E496D" w:rsidRPr="008B1975" w:rsidRDefault="008F5628" w:rsidP="008F5628">
      <w:pPr>
        <w:pStyle w:val="paragraph"/>
      </w:pPr>
      <w:r w:rsidRPr="008B1975">
        <w:tab/>
        <w:t>(b)</w:t>
      </w:r>
      <w:r w:rsidRPr="008B1975">
        <w:tab/>
        <w:t>against any other surfaces within 2 metres.</w:t>
      </w:r>
    </w:p>
    <w:p w14:paraId="05E8ECD0" w14:textId="77777777" w:rsidR="008F5628" w:rsidRPr="008B1975" w:rsidRDefault="008F5628" w:rsidP="008F5628">
      <w:pPr>
        <w:pStyle w:val="subsection"/>
      </w:pPr>
      <w:r w:rsidRPr="008B1975">
        <w:tab/>
        <w:t>(4)</w:t>
      </w:r>
      <w:r w:rsidRPr="008B1975">
        <w:tab/>
        <w:t xml:space="preserve">The </w:t>
      </w:r>
      <w:r w:rsidR="00BA7325" w:rsidRPr="008B1975">
        <w:t xml:space="preserve">luminance </w:t>
      </w:r>
      <w:r w:rsidR="009F167C" w:rsidRPr="008B1975">
        <w:t>contrast</w:t>
      </w:r>
      <w:r w:rsidRPr="008B1975">
        <w:t xml:space="preserve"> must be tested under the lighting conditions in which the sign is to be located.</w:t>
      </w:r>
    </w:p>
    <w:p w14:paraId="53D18B87" w14:textId="77777777" w:rsidR="008F5628" w:rsidRPr="008B1975" w:rsidRDefault="008F5628" w:rsidP="008F5628">
      <w:pPr>
        <w:pStyle w:val="subsection"/>
        <w:spacing w:after="240"/>
      </w:pPr>
      <w:r w:rsidRPr="008B1975">
        <w:tab/>
        <w:t>(</w:t>
      </w:r>
      <w:r w:rsidR="00BB2B8A" w:rsidRPr="008B1975">
        <w:t>5</w:t>
      </w:r>
      <w:r w:rsidRPr="008B1975">
        <w:t>)</w:t>
      </w:r>
      <w:r w:rsidRPr="008B1975">
        <w:tab/>
        <w:t>The following table specifies conveyances, premises and infrastructure this section applies to.</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F5628" w:rsidRPr="008B1975" w14:paraId="18640A5C"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28E29B14" w14:textId="77777777" w:rsidR="008F5628" w:rsidRPr="008B1975" w:rsidRDefault="008F5628" w:rsidP="00AB53F1">
            <w:pPr>
              <w:pStyle w:val="TableHeading"/>
              <w:rPr>
                <w:lang w:eastAsia="en-US"/>
              </w:rPr>
            </w:pPr>
            <w:r w:rsidRPr="008B1975">
              <w:rPr>
                <w:lang w:eastAsia="en-US"/>
              </w:rPr>
              <w:t>Application of this section</w:t>
            </w:r>
          </w:p>
        </w:tc>
      </w:tr>
      <w:tr w:rsidR="008F5628" w:rsidRPr="008B1975" w14:paraId="27ADEC40" w14:textId="77777777" w:rsidTr="00CC36E0">
        <w:trPr>
          <w:trHeight w:val="300"/>
          <w:tblHeader/>
        </w:trPr>
        <w:tc>
          <w:tcPr>
            <w:tcW w:w="1667" w:type="pct"/>
            <w:tcBorders>
              <w:top w:val="single" w:sz="6" w:space="0" w:color="auto"/>
              <w:left w:val="nil"/>
              <w:bottom w:val="single" w:sz="12" w:space="0" w:color="auto"/>
              <w:right w:val="nil"/>
            </w:tcBorders>
            <w:hideMark/>
          </w:tcPr>
          <w:p w14:paraId="50EE38D2" w14:textId="77777777" w:rsidR="008F5628" w:rsidRPr="008B1975" w:rsidRDefault="008F5628" w:rsidP="00AB53F1">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5E06C27A" w14:textId="77777777" w:rsidR="008F5628" w:rsidRPr="008B1975" w:rsidRDefault="008F5628" w:rsidP="00AB53F1">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445FBBA1" w14:textId="77777777" w:rsidR="008F5628" w:rsidRPr="008B1975" w:rsidRDefault="008F5628" w:rsidP="00AB53F1">
            <w:pPr>
              <w:pStyle w:val="TableHeading"/>
              <w:rPr>
                <w:lang w:eastAsia="en-US"/>
              </w:rPr>
            </w:pPr>
            <w:r w:rsidRPr="008B1975">
              <w:rPr>
                <w:lang w:eastAsia="en-US"/>
              </w:rPr>
              <w:t>Infrastructure</w:t>
            </w:r>
          </w:p>
        </w:tc>
      </w:tr>
      <w:tr w:rsidR="008F5628" w:rsidRPr="008B1975" w14:paraId="353167AB" w14:textId="77777777" w:rsidTr="00CC36E0">
        <w:trPr>
          <w:trHeight w:val="300"/>
        </w:trPr>
        <w:tc>
          <w:tcPr>
            <w:tcW w:w="1667" w:type="pct"/>
            <w:tcBorders>
              <w:top w:val="single" w:sz="12" w:space="0" w:color="auto"/>
              <w:left w:val="nil"/>
              <w:bottom w:val="single" w:sz="12" w:space="0" w:color="auto"/>
              <w:right w:val="nil"/>
            </w:tcBorders>
            <w:hideMark/>
          </w:tcPr>
          <w:p w14:paraId="564D2825" w14:textId="77777777" w:rsidR="008F5628" w:rsidRPr="008B1975" w:rsidRDefault="008F5628"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6909E590" w14:textId="77777777" w:rsidR="008F5628" w:rsidRPr="008B1975" w:rsidRDefault="008F5628" w:rsidP="00AB53F1">
            <w:pPr>
              <w:pStyle w:val="Tabletext"/>
              <w:rPr>
                <w:lang w:eastAsia="en-US"/>
              </w:rPr>
            </w:pPr>
            <w:r w:rsidRPr="008B1975">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3BB8A226" w14:textId="77777777" w:rsidR="008F5628" w:rsidRPr="008B1975" w:rsidRDefault="008F5628" w:rsidP="00AB53F1">
            <w:pPr>
              <w:pStyle w:val="Tabletext"/>
              <w:rPr>
                <w:lang w:eastAsia="en-US"/>
              </w:rPr>
            </w:pPr>
            <w:r w:rsidRPr="008B1975">
              <w:rPr>
                <w:lang w:eastAsia="en-US"/>
              </w:rPr>
              <w:t>All</w:t>
            </w:r>
          </w:p>
        </w:tc>
      </w:tr>
    </w:tbl>
    <w:p w14:paraId="4362D91F" w14:textId="77777777" w:rsidR="00FF0A44" w:rsidRPr="008B1975" w:rsidRDefault="00946DEA" w:rsidP="00946DEA">
      <w:pPr>
        <w:pStyle w:val="ItemHead"/>
      </w:pPr>
      <w:bookmarkStart w:id="239" w:name="_Ref185339441"/>
      <w:r w:rsidRPr="008B1975">
        <w:t xml:space="preserve">6  </w:t>
      </w:r>
      <w:r w:rsidR="00FF0A44" w:rsidRPr="008B1975">
        <w:t>Section 17.7</w:t>
      </w:r>
      <w:bookmarkEnd w:id="239"/>
    </w:p>
    <w:p w14:paraId="42305779" w14:textId="77777777" w:rsidR="00FF0A44" w:rsidRPr="008B1975" w:rsidRDefault="00FF0A44" w:rsidP="00FF0A44">
      <w:pPr>
        <w:pStyle w:val="Item"/>
      </w:pPr>
      <w:r w:rsidRPr="008B1975">
        <w:t>Before “Raised”, insert “(1)”.</w:t>
      </w:r>
    </w:p>
    <w:p w14:paraId="5398954C" w14:textId="77777777" w:rsidR="00FF0A44" w:rsidRPr="008B1975" w:rsidRDefault="00946DEA" w:rsidP="00946DEA">
      <w:pPr>
        <w:pStyle w:val="ItemHead"/>
      </w:pPr>
      <w:bookmarkStart w:id="240" w:name="_Ref185277547"/>
      <w:r w:rsidRPr="008B1975">
        <w:t xml:space="preserve">7  </w:t>
      </w:r>
      <w:r w:rsidR="00FF0A44" w:rsidRPr="008B1975">
        <w:t>Section 17.7 (table)</w:t>
      </w:r>
      <w:bookmarkEnd w:id="240"/>
    </w:p>
    <w:p w14:paraId="1FA4645F" w14:textId="77777777" w:rsidR="00FF0A44" w:rsidRPr="008B1975" w:rsidRDefault="00FF0A44" w:rsidP="00FF0A44">
      <w:pPr>
        <w:pStyle w:val="Item"/>
      </w:pPr>
      <w:r w:rsidRPr="008B1975">
        <w:t>Repeal the table, substitute:</w:t>
      </w:r>
    </w:p>
    <w:p w14:paraId="00AB493D" w14:textId="77777777" w:rsidR="00FF0A44" w:rsidRPr="008B1975" w:rsidRDefault="00FF0A44" w:rsidP="00FF0A44">
      <w:pPr>
        <w:pStyle w:val="subsection"/>
      </w:pPr>
      <w:r w:rsidRPr="008B1975">
        <w:tab/>
        <w:t>(2)</w:t>
      </w:r>
      <w:r w:rsidRPr="008B1975">
        <w:tab/>
        <w:t>The following table specifies conveyances, premises and infrastructure this section applies to.</w:t>
      </w:r>
    </w:p>
    <w:p w14:paraId="46254987" w14:textId="77777777" w:rsidR="00FF0A44" w:rsidRPr="008B1975" w:rsidRDefault="00FF0A44" w:rsidP="00FF0A4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F0A44" w:rsidRPr="008B1975" w14:paraId="73083132"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1F82ABDE" w14:textId="77777777" w:rsidR="00FF0A44" w:rsidRPr="008B1975" w:rsidRDefault="00FF0A44" w:rsidP="00DE081B">
            <w:pPr>
              <w:pStyle w:val="TableHeading"/>
            </w:pPr>
            <w:r w:rsidRPr="008B1975">
              <w:lastRenderedPageBreak/>
              <w:t>Application of this section</w:t>
            </w:r>
          </w:p>
        </w:tc>
      </w:tr>
      <w:tr w:rsidR="00FF0A44" w:rsidRPr="008B1975" w14:paraId="1E6EA804" w14:textId="77777777" w:rsidTr="00DD5666">
        <w:trPr>
          <w:trHeight w:val="300"/>
          <w:tblHeader/>
        </w:trPr>
        <w:tc>
          <w:tcPr>
            <w:tcW w:w="1667" w:type="pct"/>
            <w:tcBorders>
              <w:top w:val="single" w:sz="6" w:space="0" w:color="auto"/>
              <w:left w:val="nil"/>
              <w:bottom w:val="single" w:sz="12" w:space="0" w:color="auto"/>
              <w:right w:val="nil"/>
            </w:tcBorders>
            <w:hideMark/>
          </w:tcPr>
          <w:p w14:paraId="1C544B4B" w14:textId="77777777" w:rsidR="00FF0A44" w:rsidRPr="008B1975" w:rsidRDefault="00FF0A44"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68D94719" w14:textId="77777777" w:rsidR="00FF0A44" w:rsidRPr="008B1975" w:rsidRDefault="00FF0A44"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72897587" w14:textId="77777777" w:rsidR="00FF0A44" w:rsidRPr="008B1975" w:rsidRDefault="00FF0A44" w:rsidP="00DE081B">
            <w:pPr>
              <w:pStyle w:val="TableHeading"/>
            </w:pPr>
            <w:r w:rsidRPr="008B1975">
              <w:t>Infrastructure</w:t>
            </w:r>
          </w:p>
        </w:tc>
      </w:tr>
      <w:tr w:rsidR="00FF0A44" w:rsidRPr="008B1975" w14:paraId="1B8281B5" w14:textId="77777777" w:rsidTr="00DD5666">
        <w:trPr>
          <w:trHeight w:val="300"/>
        </w:trPr>
        <w:tc>
          <w:tcPr>
            <w:tcW w:w="1667" w:type="pct"/>
            <w:tcBorders>
              <w:top w:val="single" w:sz="12" w:space="0" w:color="auto"/>
              <w:left w:val="nil"/>
              <w:bottom w:val="single" w:sz="12" w:space="0" w:color="auto"/>
              <w:right w:val="nil"/>
            </w:tcBorders>
            <w:hideMark/>
          </w:tcPr>
          <w:p w14:paraId="1630718E" w14:textId="77777777" w:rsidR="00FF0A44" w:rsidRPr="008B1975" w:rsidRDefault="00FF0A44" w:rsidP="00FF0A44">
            <w:pPr>
              <w:pStyle w:val="Tablea"/>
              <w:tabs>
                <w:tab w:val="center" w:pos="1362"/>
              </w:tabs>
            </w:pPr>
            <w:r w:rsidRPr="008B1975">
              <w:t>Taxis</w:t>
            </w:r>
          </w:p>
        </w:tc>
        <w:tc>
          <w:tcPr>
            <w:tcW w:w="1667" w:type="pct"/>
            <w:tcBorders>
              <w:top w:val="single" w:sz="12" w:space="0" w:color="auto"/>
              <w:left w:val="nil"/>
              <w:bottom w:val="single" w:sz="12" w:space="0" w:color="auto"/>
              <w:right w:val="nil"/>
            </w:tcBorders>
            <w:hideMark/>
          </w:tcPr>
          <w:p w14:paraId="5B810EBB" w14:textId="77777777" w:rsidR="00FF0A44" w:rsidRPr="008B1975" w:rsidRDefault="00FF0A44"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011EF3FA" w14:textId="77777777" w:rsidR="00FF0A44" w:rsidRPr="008B1975" w:rsidRDefault="00FF0A44" w:rsidP="00DE081B">
            <w:pPr>
              <w:pStyle w:val="Tabletext"/>
            </w:pPr>
            <w:r w:rsidRPr="008B1975">
              <w:t>None</w:t>
            </w:r>
          </w:p>
        </w:tc>
      </w:tr>
    </w:tbl>
    <w:p w14:paraId="78B6C5F5" w14:textId="77777777" w:rsidR="00824838" w:rsidRPr="008B1975" w:rsidRDefault="00824838" w:rsidP="00824838">
      <w:pPr>
        <w:pStyle w:val="ActHead6"/>
        <w:pageBreakBefore/>
      </w:pPr>
      <w:bookmarkStart w:id="241" w:name="_Toc197178964"/>
      <w:r w:rsidRPr="008B1975">
        <w:lastRenderedPageBreak/>
        <w:t>Schedule 18—Part 18 (Tactile ground surface indicators) Amendments</w:t>
      </w:r>
      <w:bookmarkEnd w:id="241"/>
    </w:p>
    <w:p w14:paraId="16D53F1B" w14:textId="77777777" w:rsidR="00824838" w:rsidRPr="008B1975" w:rsidRDefault="00824838" w:rsidP="00824838">
      <w:pPr>
        <w:pStyle w:val="ActHead9"/>
      </w:pPr>
      <w:bookmarkStart w:id="242" w:name="_Toc197178965"/>
      <w:r w:rsidRPr="008B1975">
        <w:t>Disability Standards for Accessible Public Transport 2002</w:t>
      </w:r>
      <w:bookmarkEnd w:id="242"/>
    </w:p>
    <w:p w14:paraId="0DE2AAAE" w14:textId="77777777" w:rsidR="008D0C53" w:rsidRPr="008B1975" w:rsidRDefault="00946DEA" w:rsidP="00946DEA">
      <w:pPr>
        <w:pStyle w:val="ItemHead"/>
      </w:pPr>
      <w:bookmarkStart w:id="243" w:name="_Ref185277731"/>
      <w:r w:rsidRPr="008B1975">
        <w:t xml:space="preserve">1  </w:t>
      </w:r>
      <w:r w:rsidR="008D0C53" w:rsidRPr="008B1975">
        <w:t>Section 18.1</w:t>
      </w:r>
      <w:bookmarkEnd w:id="243"/>
    </w:p>
    <w:p w14:paraId="4BBA8DB5" w14:textId="77777777" w:rsidR="008D0C53" w:rsidRPr="008B1975" w:rsidRDefault="008D0C53" w:rsidP="008D0C53">
      <w:pPr>
        <w:pStyle w:val="Item"/>
      </w:pPr>
      <w:r w:rsidRPr="008B1975">
        <w:t>Repeal the section, substitute:</w:t>
      </w:r>
    </w:p>
    <w:p w14:paraId="4EDB30F2" w14:textId="77777777" w:rsidR="008D0C53" w:rsidRPr="008B1975" w:rsidRDefault="008D0C53" w:rsidP="001715D4">
      <w:pPr>
        <w:pStyle w:val="ActHead5"/>
        <w:outlineLvl w:val="9"/>
      </w:pPr>
      <w:r w:rsidRPr="008B1975">
        <w:t>18.1  Location</w:t>
      </w:r>
    </w:p>
    <w:p w14:paraId="49F185BC" w14:textId="77777777" w:rsidR="008D0C53" w:rsidRPr="008B1975" w:rsidRDefault="008D0C53" w:rsidP="001715D4">
      <w:pPr>
        <w:pStyle w:val="subsection"/>
      </w:pPr>
      <w:r w:rsidRPr="008B1975">
        <w:tab/>
        <w:t>(1)</w:t>
      </w:r>
      <w:r w:rsidRPr="008B1975">
        <w:tab/>
      </w:r>
      <w:r w:rsidR="001671FF" w:rsidRPr="008B1975">
        <w:t>W</w:t>
      </w:r>
      <w:r w:rsidRPr="008B1975">
        <w:t>arning tactile ground surface indicators must</w:t>
      </w:r>
      <w:r w:rsidRPr="008B1975">
        <w:rPr>
          <w:rFonts w:asciiTheme="minorHAnsi" w:hAnsiTheme="minorHAnsi"/>
          <w:szCs w:val="22"/>
        </w:rPr>
        <w:t xml:space="preserve"> </w:t>
      </w:r>
      <w:r w:rsidRPr="008B1975">
        <w:t>be installed</w:t>
      </w:r>
      <w:r w:rsidR="001671FF" w:rsidRPr="008B1975">
        <w:t>, in accordance with clause 2.3.3 of AS/NZS 1428.4.1 (2009),</w:t>
      </w:r>
      <w:r w:rsidRPr="008B1975">
        <w:t xml:space="preserve"> on an access path to indicate the</w:t>
      </w:r>
      <w:r w:rsidR="004F7FD3" w:rsidRPr="008B1975">
        <w:t xml:space="preserve"> </w:t>
      </w:r>
      <w:r w:rsidRPr="008B1975">
        <w:t>presence of any of the following:</w:t>
      </w:r>
    </w:p>
    <w:p w14:paraId="51A4649F" w14:textId="77777777" w:rsidR="008D0C53" w:rsidRPr="008B1975" w:rsidRDefault="008D0C53" w:rsidP="001715D4">
      <w:pPr>
        <w:pStyle w:val="paragraph"/>
      </w:pPr>
      <w:r w:rsidRPr="008B1975">
        <w:tab/>
      </w:r>
      <w:r w:rsidR="00581512" w:rsidRPr="008B1975">
        <w:t>(a)</w:t>
      </w:r>
      <w:r w:rsidRPr="008B1975">
        <w:tab/>
        <w:t>a stairway;</w:t>
      </w:r>
    </w:p>
    <w:p w14:paraId="2AB5141C" w14:textId="77777777" w:rsidR="008D0C53" w:rsidRPr="008B1975" w:rsidRDefault="008D0C53" w:rsidP="001715D4">
      <w:pPr>
        <w:pStyle w:val="paragraph"/>
      </w:pPr>
      <w:r w:rsidRPr="008B1975">
        <w:tab/>
      </w:r>
      <w:r w:rsidR="00581512" w:rsidRPr="008B1975">
        <w:t>(b)</w:t>
      </w:r>
      <w:r w:rsidRPr="008B1975">
        <w:tab/>
        <w:t>an escalator;</w:t>
      </w:r>
    </w:p>
    <w:p w14:paraId="7FD142AC" w14:textId="77777777" w:rsidR="008D0C53" w:rsidRPr="008B1975" w:rsidRDefault="008D0C53" w:rsidP="001715D4">
      <w:pPr>
        <w:pStyle w:val="paragraph"/>
      </w:pPr>
      <w:r w:rsidRPr="008B1975">
        <w:tab/>
      </w:r>
      <w:r w:rsidR="00581512" w:rsidRPr="008B1975">
        <w:t>(c)</w:t>
      </w:r>
      <w:r w:rsidRPr="008B1975">
        <w:tab/>
        <w:t>an inclined travelator;</w:t>
      </w:r>
    </w:p>
    <w:p w14:paraId="19F7ABC9" w14:textId="77777777" w:rsidR="008D0C53" w:rsidRPr="008B1975" w:rsidRDefault="008D0C53" w:rsidP="001715D4">
      <w:pPr>
        <w:pStyle w:val="paragraph"/>
      </w:pPr>
      <w:r w:rsidRPr="008B1975">
        <w:tab/>
      </w:r>
      <w:r w:rsidR="00581512" w:rsidRPr="008B1975">
        <w:t>(d)</w:t>
      </w:r>
      <w:r w:rsidRPr="008B1975">
        <w:tab/>
        <w:t>a moving walkway;</w:t>
      </w:r>
    </w:p>
    <w:p w14:paraId="4D85F5B1" w14:textId="77777777" w:rsidR="008D0C53" w:rsidRPr="008B1975" w:rsidRDefault="008D0C53" w:rsidP="001715D4">
      <w:pPr>
        <w:pStyle w:val="paragraph"/>
      </w:pPr>
      <w:r w:rsidRPr="008B1975">
        <w:tab/>
      </w:r>
      <w:r w:rsidR="00581512" w:rsidRPr="008B1975">
        <w:t>(e)</w:t>
      </w:r>
      <w:r w:rsidRPr="008B1975">
        <w:tab/>
        <w:t>a ramp;</w:t>
      </w:r>
    </w:p>
    <w:p w14:paraId="272F5F91" w14:textId="77777777" w:rsidR="008D0C53" w:rsidRPr="008B1975" w:rsidRDefault="008D0C53" w:rsidP="001715D4">
      <w:pPr>
        <w:pStyle w:val="paragraph"/>
      </w:pPr>
      <w:r w:rsidRPr="008B1975">
        <w:tab/>
      </w:r>
      <w:r w:rsidR="00581512" w:rsidRPr="008B1975">
        <w:t>(f)</w:t>
      </w:r>
      <w:r w:rsidRPr="008B1975">
        <w:tab/>
        <w:t>step ramps in a passenger use area of transport related buildings and infrastructure;</w:t>
      </w:r>
    </w:p>
    <w:p w14:paraId="5F721677" w14:textId="77777777" w:rsidR="008D0C53" w:rsidRPr="008B1975" w:rsidRDefault="008D0C53" w:rsidP="00FA4561">
      <w:pPr>
        <w:pStyle w:val="paragraph"/>
      </w:pPr>
      <w:r w:rsidRPr="008B1975">
        <w:tab/>
      </w:r>
      <w:r w:rsidR="00581512" w:rsidRPr="008B1975">
        <w:t>(g)</w:t>
      </w:r>
      <w:r w:rsidRPr="008B1975">
        <w:tab/>
        <w:t>if there is no suitable barrier</w:t>
      </w:r>
      <w:r w:rsidR="00FA4561" w:rsidRPr="008B1975">
        <w:t>—</w:t>
      </w:r>
      <w:r w:rsidRPr="008B1975">
        <w:t>an overhead obstruction that is less than 2 metres above the floor, other than a doorway;</w:t>
      </w:r>
    </w:p>
    <w:p w14:paraId="36D4B670" w14:textId="77777777" w:rsidR="008D0C53" w:rsidRPr="008B1975" w:rsidRDefault="00FA4561" w:rsidP="00FA4561">
      <w:pPr>
        <w:pStyle w:val="paragraph"/>
      </w:pPr>
      <w:r w:rsidRPr="008B1975">
        <w:tab/>
        <w:t>(h)</w:t>
      </w:r>
      <w:r w:rsidRPr="008B1975">
        <w:tab/>
        <w:t>if there is no suitable barrier—</w:t>
      </w:r>
      <w:r w:rsidR="008D0C53" w:rsidRPr="008B1975">
        <w:t>a hazard that is within a circulation space or adjacent to a path of travel;</w:t>
      </w:r>
    </w:p>
    <w:p w14:paraId="1967AD0C" w14:textId="77777777" w:rsidR="008D0C53" w:rsidRPr="008B1975" w:rsidRDefault="008D0C53" w:rsidP="008D0C53">
      <w:pPr>
        <w:pStyle w:val="paragraph"/>
      </w:pPr>
      <w:r w:rsidRPr="008B1975">
        <w:tab/>
      </w:r>
      <w:r w:rsidR="00581512" w:rsidRPr="008B1975">
        <w:t>(</w:t>
      </w:r>
      <w:r w:rsidR="00FA4561" w:rsidRPr="008B1975">
        <w:t>i</w:t>
      </w:r>
      <w:r w:rsidR="00581512" w:rsidRPr="008B1975">
        <w:t>)</w:t>
      </w:r>
      <w:r w:rsidRPr="008B1975">
        <w:tab/>
        <w:t>if there is no suitable barrier and there is no kerb or kerb ramp at the point—a point at which an access path meets a vehicular way that is adjacent to a pedestrian entrance to a building.</w:t>
      </w:r>
    </w:p>
    <w:p w14:paraId="39666E57" w14:textId="77777777" w:rsidR="001671FF" w:rsidRPr="008B1975" w:rsidRDefault="008D0C53" w:rsidP="008D0C53">
      <w:pPr>
        <w:pStyle w:val="subsection"/>
      </w:pPr>
      <w:r w:rsidRPr="008B1975">
        <w:tab/>
      </w:r>
      <w:r w:rsidR="001671FF" w:rsidRPr="008B1975">
        <w:t>(2)</w:t>
      </w:r>
      <w:r w:rsidR="001671FF" w:rsidRPr="008B1975">
        <w:tab/>
        <w:t xml:space="preserve">The installation of warning tactile ground surface indicators must also be in accordance with clauses 2.4, 2.5 and 2.6 of AS/NZS 1428.4.1 (2009) </w:t>
      </w:r>
      <w:r w:rsidR="00461F47" w:rsidRPr="008B1975">
        <w:t>(</w:t>
      </w:r>
      <w:r w:rsidR="001671FF" w:rsidRPr="008B1975">
        <w:t>as far as those clauses are applicable</w:t>
      </w:r>
      <w:r w:rsidR="00461F47" w:rsidRPr="008B1975">
        <w:t>)</w:t>
      </w:r>
      <w:r w:rsidR="001671FF" w:rsidRPr="008B1975">
        <w:t>.</w:t>
      </w:r>
    </w:p>
    <w:p w14:paraId="29A3D64D" w14:textId="77777777" w:rsidR="008D0C53" w:rsidRPr="008B1975" w:rsidRDefault="001671FF" w:rsidP="008D0C53">
      <w:pPr>
        <w:pStyle w:val="subsection"/>
      </w:pPr>
      <w:r w:rsidRPr="008B1975">
        <w:tab/>
      </w:r>
      <w:r w:rsidR="008D0C53" w:rsidRPr="008B1975">
        <w:t>(</w:t>
      </w:r>
      <w:r w:rsidRPr="008B1975">
        <w:t>3</w:t>
      </w:r>
      <w:r w:rsidR="008D0C53" w:rsidRPr="008B1975">
        <w:t>)</w:t>
      </w:r>
      <w:r w:rsidR="008D0C53" w:rsidRPr="008B1975">
        <w:tab/>
        <w:t>The following table specifies conveyances, premises and infrastructure this section applies to.</w:t>
      </w:r>
    </w:p>
    <w:p w14:paraId="0D610185" w14:textId="77777777" w:rsidR="008D0C53" w:rsidRPr="008B1975" w:rsidRDefault="008D0C53" w:rsidP="008D0C5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2EB26250"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5D8411F9" w14:textId="77777777" w:rsidR="008D0C53" w:rsidRPr="008B1975" w:rsidRDefault="008D0C53" w:rsidP="008D0C53">
            <w:pPr>
              <w:pStyle w:val="TableHeading"/>
            </w:pPr>
            <w:r w:rsidRPr="008B1975">
              <w:t>Application of this section</w:t>
            </w:r>
          </w:p>
        </w:tc>
      </w:tr>
      <w:tr w:rsidR="008D0C53" w:rsidRPr="008B1975" w14:paraId="7EE8D2FC" w14:textId="77777777" w:rsidTr="00CC36E0">
        <w:trPr>
          <w:trHeight w:val="300"/>
          <w:tblHeader/>
        </w:trPr>
        <w:tc>
          <w:tcPr>
            <w:tcW w:w="1667" w:type="pct"/>
            <w:tcBorders>
              <w:top w:val="single" w:sz="6" w:space="0" w:color="auto"/>
              <w:bottom w:val="single" w:sz="12" w:space="0" w:color="auto"/>
            </w:tcBorders>
            <w:shd w:val="clear" w:color="auto" w:fill="auto"/>
            <w:hideMark/>
          </w:tcPr>
          <w:p w14:paraId="0C725D46" w14:textId="77777777" w:rsidR="008D0C53" w:rsidRPr="008B1975" w:rsidRDefault="008D0C53" w:rsidP="008D0C53">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1A71017A" w14:textId="77777777" w:rsidR="008D0C53" w:rsidRPr="008B1975" w:rsidRDefault="008D0C53" w:rsidP="008D0C53">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C525DE3" w14:textId="77777777" w:rsidR="008D0C53" w:rsidRPr="008B1975" w:rsidRDefault="008D0C53" w:rsidP="008D0C53">
            <w:pPr>
              <w:pStyle w:val="TableHeading"/>
            </w:pPr>
            <w:r w:rsidRPr="008B1975">
              <w:t>Infrastructure</w:t>
            </w:r>
          </w:p>
        </w:tc>
      </w:tr>
      <w:tr w:rsidR="008D0C53" w:rsidRPr="008B1975" w14:paraId="457EC9CC" w14:textId="77777777" w:rsidTr="00CC36E0">
        <w:trPr>
          <w:trHeight w:val="300"/>
        </w:trPr>
        <w:tc>
          <w:tcPr>
            <w:tcW w:w="1667" w:type="pct"/>
            <w:tcBorders>
              <w:top w:val="single" w:sz="12" w:space="0" w:color="auto"/>
              <w:bottom w:val="single" w:sz="12" w:space="0" w:color="auto"/>
            </w:tcBorders>
            <w:shd w:val="clear" w:color="auto" w:fill="auto"/>
            <w:hideMark/>
          </w:tcPr>
          <w:p w14:paraId="44F301C3" w14:textId="77777777" w:rsidR="008D0C53" w:rsidRPr="008B1975" w:rsidRDefault="008D0C53" w:rsidP="00D21221">
            <w:pPr>
              <w:pStyle w:val="Tabletext"/>
            </w:pPr>
            <w:r w:rsidRPr="008B1975">
              <w:t>None</w:t>
            </w:r>
          </w:p>
        </w:tc>
        <w:tc>
          <w:tcPr>
            <w:tcW w:w="1667" w:type="pct"/>
            <w:tcBorders>
              <w:top w:val="single" w:sz="12" w:space="0" w:color="auto"/>
              <w:bottom w:val="single" w:sz="12" w:space="0" w:color="auto"/>
            </w:tcBorders>
            <w:shd w:val="clear" w:color="auto" w:fill="auto"/>
            <w:hideMark/>
          </w:tcPr>
          <w:p w14:paraId="39976531" w14:textId="77777777" w:rsidR="008D0C53" w:rsidRPr="008B1975" w:rsidRDefault="008D0C53" w:rsidP="00D21221">
            <w:pPr>
              <w:pStyle w:val="Tabletext"/>
            </w:pPr>
            <w:r w:rsidRPr="008B1975">
              <w:t>All, except premises to which the Premise</w:t>
            </w:r>
            <w:r w:rsidR="00C36D75" w:rsidRPr="008B1975">
              <w:t>s</w:t>
            </w:r>
            <w:r w:rsidRPr="008B1975">
              <w:t xml:space="preserve"> Standards apply</w:t>
            </w:r>
          </w:p>
        </w:tc>
        <w:tc>
          <w:tcPr>
            <w:tcW w:w="1667" w:type="pct"/>
            <w:tcBorders>
              <w:top w:val="single" w:sz="12" w:space="0" w:color="auto"/>
              <w:bottom w:val="single" w:sz="12" w:space="0" w:color="auto"/>
            </w:tcBorders>
            <w:shd w:val="clear" w:color="auto" w:fill="auto"/>
          </w:tcPr>
          <w:p w14:paraId="0011C9FE" w14:textId="77777777" w:rsidR="008D0C53" w:rsidRPr="008B1975" w:rsidRDefault="008D0C53" w:rsidP="00D21221">
            <w:pPr>
              <w:pStyle w:val="Tabletext"/>
            </w:pPr>
            <w:r w:rsidRPr="008B1975">
              <w:t>All</w:t>
            </w:r>
          </w:p>
        </w:tc>
      </w:tr>
    </w:tbl>
    <w:p w14:paraId="2C107D9D" w14:textId="77777777" w:rsidR="00913074" w:rsidRPr="008B1975" w:rsidRDefault="00913074" w:rsidP="00913074">
      <w:pPr>
        <w:pStyle w:val="notetext"/>
      </w:pPr>
      <w:bookmarkStart w:id="244" w:name="_Ref179387845"/>
      <w:r w:rsidRPr="008B1975">
        <w:t>Note:</w:t>
      </w:r>
      <w:r w:rsidRPr="008B1975">
        <w:tab/>
        <w:t xml:space="preserve">This section applies after the end of the 10-year transitional period to existing warning tactile ground surface indicators: see section 35.20. </w:t>
      </w:r>
    </w:p>
    <w:p w14:paraId="0FAFC3BC" w14:textId="77777777" w:rsidR="008D0C53" w:rsidRPr="008B1975" w:rsidRDefault="00946DEA" w:rsidP="00946DEA">
      <w:pPr>
        <w:pStyle w:val="ItemHead"/>
      </w:pPr>
      <w:r w:rsidRPr="008B1975">
        <w:t xml:space="preserve">2  </w:t>
      </w:r>
      <w:r w:rsidR="00913074" w:rsidRPr="008B1975">
        <w:t>S</w:t>
      </w:r>
      <w:r w:rsidR="008D0C53" w:rsidRPr="008B1975">
        <w:t>ection 18.2</w:t>
      </w:r>
      <w:bookmarkEnd w:id="244"/>
    </w:p>
    <w:p w14:paraId="64F4B2A6" w14:textId="77777777" w:rsidR="00913074" w:rsidRPr="008B1975" w:rsidRDefault="00913074" w:rsidP="00913074">
      <w:pPr>
        <w:pStyle w:val="Item"/>
      </w:pPr>
      <w:bookmarkStart w:id="245" w:name="_Ref185339499"/>
      <w:r w:rsidRPr="008B1975">
        <w:t>Repeal the section, substitute:</w:t>
      </w:r>
    </w:p>
    <w:p w14:paraId="1A7682B8" w14:textId="77777777" w:rsidR="00913074" w:rsidRPr="008B1975" w:rsidRDefault="00913074" w:rsidP="00F9683F">
      <w:pPr>
        <w:pStyle w:val="ActHead5"/>
        <w:outlineLvl w:val="9"/>
      </w:pPr>
      <w:r w:rsidRPr="008B1975">
        <w:lastRenderedPageBreak/>
        <w:t>18.2  Style and dimensions</w:t>
      </w:r>
    </w:p>
    <w:p w14:paraId="4F817C59" w14:textId="77777777" w:rsidR="00913074" w:rsidRPr="008B1975" w:rsidRDefault="00913074" w:rsidP="00913074">
      <w:pPr>
        <w:pStyle w:val="SubsectionHead"/>
      </w:pPr>
      <w:r w:rsidRPr="008B1975">
        <w:t>Warning tactile ground surface indicators</w:t>
      </w:r>
    </w:p>
    <w:p w14:paraId="358C4251" w14:textId="77777777" w:rsidR="00913074" w:rsidRPr="008B1975" w:rsidRDefault="00913074" w:rsidP="00913074">
      <w:pPr>
        <w:pStyle w:val="subsection"/>
      </w:pPr>
      <w:r w:rsidRPr="008B1975">
        <w:tab/>
        <w:t>(1)</w:t>
      </w:r>
      <w:r w:rsidRPr="008B1975">
        <w:tab/>
        <w:t>The style and dimensions of warning tactile ground surface indicators must comply with clauses 2.2, 2.3.1 and 2.3.2 of AS/NZS 1428.4.1 (2009).</w:t>
      </w:r>
    </w:p>
    <w:p w14:paraId="60D8EB0D" w14:textId="77777777" w:rsidR="00913074" w:rsidRPr="008B1975" w:rsidRDefault="00913074" w:rsidP="00913074">
      <w:pPr>
        <w:pStyle w:val="SubsectionHead"/>
      </w:pPr>
      <w:r w:rsidRPr="008B1975">
        <w:t>Directional tactile ground surface indicators</w:t>
      </w:r>
    </w:p>
    <w:p w14:paraId="7CBE3274" w14:textId="77777777" w:rsidR="00913074" w:rsidRPr="008B1975" w:rsidRDefault="00913074" w:rsidP="00913074">
      <w:pPr>
        <w:pStyle w:val="subsection"/>
      </w:pPr>
      <w:r w:rsidRPr="008B1975">
        <w:tab/>
        <w:t>(2)</w:t>
      </w:r>
      <w:r w:rsidRPr="008B1975">
        <w:tab/>
        <w:t>The style and dimensions of directional tactile ground surface indicators must comply with clauses 2.2, 3.2.1 and 3.2.2 of ASNZ1428.4.1 (2009).</w:t>
      </w:r>
    </w:p>
    <w:bookmarkEnd w:id="245"/>
    <w:p w14:paraId="27A27917" w14:textId="77777777" w:rsidR="008D0C53" w:rsidRPr="008B1975" w:rsidRDefault="00146FBB" w:rsidP="00146FBB">
      <w:pPr>
        <w:pStyle w:val="subsection"/>
      </w:pPr>
      <w:r w:rsidRPr="008B1975">
        <w:tab/>
        <w:t>(3)</w:t>
      </w:r>
      <w:r w:rsidRPr="008B1975">
        <w:tab/>
      </w:r>
      <w:r w:rsidR="008D0C53" w:rsidRPr="008B1975">
        <w:t>Where directional tactile ground surface indicators are used in the absence of other wayfinding cues, the indicators must be installed in accordance with clauses 3.2.1, 3.2.3 and 3.3 of AS/NZS 1428.4.1 (2009).</w:t>
      </w:r>
    </w:p>
    <w:p w14:paraId="1F0C1F08" w14:textId="77777777" w:rsidR="00FF0A44" w:rsidRPr="008B1975" w:rsidRDefault="00FF0A44" w:rsidP="00FF0A44">
      <w:pPr>
        <w:pStyle w:val="subsection"/>
      </w:pPr>
      <w:r w:rsidRPr="008B1975">
        <w:tab/>
        <w:t>(</w:t>
      </w:r>
      <w:r w:rsidR="00913074" w:rsidRPr="008B1975">
        <w:t>4</w:t>
      </w:r>
      <w:r w:rsidRPr="008B1975">
        <w:t>)</w:t>
      </w:r>
      <w:r w:rsidRPr="008B1975">
        <w:tab/>
        <w:t>The following table specifies conveyances, premises and infrastructure this section applies to.</w:t>
      </w:r>
    </w:p>
    <w:p w14:paraId="2F0F27CF" w14:textId="77777777" w:rsidR="00FF0A44" w:rsidRPr="008B1975" w:rsidRDefault="00FF0A44" w:rsidP="00FF0A4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F0A44" w:rsidRPr="008B1975" w14:paraId="38A0B51E"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737708FD" w14:textId="77777777" w:rsidR="00FF0A44" w:rsidRPr="008B1975" w:rsidRDefault="00FF0A44" w:rsidP="00DE081B">
            <w:pPr>
              <w:pStyle w:val="TableHeading"/>
            </w:pPr>
            <w:r w:rsidRPr="008B1975">
              <w:t>Application of this section</w:t>
            </w:r>
          </w:p>
        </w:tc>
      </w:tr>
      <w:tr w:rsidR="00FF0A44" w:rsidRPr="008B1975" w14:paraId="1523EF93" w14:textId="77777777" w:rsidTr="00CC36E0">
        <w:trPr>
          <w:trHeight w:val="300"/>
          <w:tblHeader/>
        </w:trPr>
        <w:tc>
          <w:tcPr>
            <w:tcW w:w="1667" w:type="pct"/>
            <w:tcBorders>
              <w:top w:val="single" w:sz="6" w:space="0" w:color="auto"/>
              <w:left w:val="nil"/>
              <w:bottom w:val="single" w:sz="12" w:space="0" w:color="auto"/>
              <w:right w:val="nil"/>
            </w:tcBorders>
            <w:hideMark/>
          </w:tcPr>
          <w:p w14:paraId="08510643" w14:textId="77777777" w:rsidR="00FF0A44" w:rsidRPr="008B1975" w:rsidRDefault="00FF0A44"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2769DAF5" w14:textId="77777777" w:rsidR="00FF0A44" w:rsidRPr="008B1975" w:rsidRDefault="00FF0A44"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2301BFB3" w14:textId="77777777" w:rsidR="00FF0A44" w:rsidRPr="008B1975" w:rsidRDefault="00FF0A44" w:rsidP="00DE081B">
            <w:pPr>
              <w:pStyle w:val="TableHeading"/>
            </w:pPr>
            <w:r w:rsidRPr="008B1975">
              <w:t>Infrastructure</w:t>
            </w:r>
          </w:p>
        </w:tc>
      </w:tr>
      <w:tr w:rsidR="00FF0A44" w:rsidRPr="008B1975" w14:paraId="771CFCE6" w14:textId="77777777" w:rsidTr="00CC36E0">
        <w:trPr>
          <w:trHeight w:val="300"/>
        </w:trPr>
        <w:tc>
          <w:tcPr>
            <w:tcW w:w="1667" w:type="pct"/>
            <w:tcBorders>
              <w:top w:val="single" w:sz="12" w:space="0" w:color="auto"/>
              <w:left w:val="nil"/>
              <w:bottom w:val="single" w:sz="12" w:space="0" w:color="auto"/>
              <w:right w:val="nil"/>
            </w:tcBorders>
            <w:hideMark/>
          </w:tcPr>
          <w:p w14:paraId="1EAAA110" w14:textId="77777777" w:rsidR="00FF0A44" w:rsidRPr="008B1975" w:rsidRDefault="00FF0A44" w:rsidP="00DD5666">
            <w:pPr>
              <w:pStyle w:val="Tabletext"/>
            </w:pPr>
            <w:r w:rsidRPr="008B1975">
              <w:t>None</w:t>
            </w:r>
          </w:p>
        </w:tc>
        <w:tc>
          <w:tcPr>
            <w:tcW w:w="1667" w:type="pct"/>
            <w:tcBorders>
              <w:top w:val="single" w:sz="12" w:space="0" w:color="auto"/>
              <w:left w:val="nil"/>
              <w:bottom w:val="single" w:sz="12" w:space="0" w:color="auto"/>
              <w:right w:val="nil"/>
            </w:tcBorders>
            <w:hideMark/>
          </w:tcPr>
          <w:p w14:paraId="12F1A14E" w14:textId="77777777" w:rsidR="00FF0A44" w:rsidRPr="008B1975" w:rsidRDefault="00FF0A44" w:rsidP="00DE081B">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5AC5F38B" w14:textId="77777777" w:rsidR="00FF0A44" w:rsidRPr="008B1975" w:rsidRDefault="00FF0A44" w:rsidP="00DE081B">
            <w:pPr>
              <w:pStyle w:val="Tabletext"/>
            </w:pPr>
            <w:r w:rsidRPr="008B1975">
              <w:t>All</w:t>
            </w:r>
          </w:p>
        </w:tc>
      </w:tr>
    </w:tbl>
    <w:p w14:paraId="2E1F08DB" w14:textId="4A1C4E07" w:rsidR="00913074" w:rsidRPr="008B1975" w:rsidRDefault="00913074" w:rsidP="00913074">
      <w:pPr>
        <w:pStyle w:val="notetext"/>
      </w:pPr>
      <w:bookmarkStart w:id="246" w:name="_Ref185278069"/>
      <w:r w:rsidRPr="008B1975">
        <w:t>Note:</w:t>
      </w:r>
      <w:r w:rsidRPr="008B1975">
        <w:tab/>
        <w:t>This section applies after the end of the 10-year transitional period to existing warning and directional tactile ground surface indicators: see section 35.20.</w:t>
      </w:r>
    </w:p>
    <w:p w14:paraId="77299637" w14:textId="564F0F94" w:rsidR="008D0C53" w:rsidRPr="008B1975" w:rsidRDefault="00ED5B2D" w:rsidP="00946DEA">
      <w:pPr>
        <w:pStyle w:val="ItemHead"/>
      </w:pPr>
      <w:bookmarkStart w:id="247" w:name="_Ref185278076"/>
      <w:bookmarkEnd w:id="246"/>
      <w:r w:rsidRPr="008B1975">
        <w:t>3</w:t>
      </w:r>
      <w:r w:rsidR="00946DEA" w:rsidRPr="008B1975">
        <w:t xml:space="preserve">  </w:t>
      </w:r>
      <w:r w:rsidR="008D0C53" w:rsidRPr="008B1975">
        <w:t>Section 18.3</w:t>
      </w:r>
      <w:bookmarkEnd w:id="247"/>
    </w:p>
    <w:p w14:paraId="1174B31F" w14:textId="449E32A5" w:rsidR="008D0C53" w:rsidRPr="008B1975" w:rsidRDefault="008D0C53" w:rsidP="008D0C53">
      <w:pPr>
        <w:pStyle w:val="Item"/>
      </w:pPr>
      <w:r w:rsidRPr="008B1975">
        <w:t>Omit “Colour</w:t>
      </w:r>
      <w:r w:rsidRPr="008B1975">
        <w:noBreakHyphen/>
        <w:t>contrasted tactile”, substitute “</w:t>
      </w:r>
      <w:r w:rsidR="00ED5B2D" w:rsidRPr="008B1975">
        <w:t xml:space="preserve">(1) </w:t>
      </w:r>
      <w:r w:rsidRPr="008B1975">
        <w:t>Tactile ground surface”.</w:t>
      </w:r>
    </w:p>
    <w:p w14:paraId="4508588B" w14:textId="30EE14A7" w:rsidR="00FF0A44" w:rsidRPr="008B1975" w:rsidRDefault="00ED5B2D" w:rsidP="00946DEA">
      <w:pPr>
        <w:pStyle w:val="ItemHead"/>
      </w:pPr>
      <w:bookmarkStart w:id="248" w:name="_Ref185339901"/>
      <w:r w:rsidRPr="008B1975">
        <w:t>4</w:t>
      </w:r>
      <w:r w:rsidR="00946DEA" w:rsidRPr="008B1975">
        <w:t xml:space="preserve">  </w:t>
      </w:r>
      <w:r w:rsidR="00FF0A44" w:rsidRPr="008B1975">
        <w:t>Section 18.</w:t>
      </w:r>
      <w:r w:rsidR="00985DE9" w:rsidRPr="008B1975">
        <w:t>3</w:t>
      </w:r>
      <w:r w:rsidR="00FF0A44" w:rsidRPr="008B1975">
        <w:t xml:space="preserve"> (table)</w:t>
      </w:r>
      <w:bookmarkEnd w:id="248"/>
    </w:p>
    <w:p w14:paraId="6C39B3BF" w14:textId="77777777" w:rsidR="00FF0A44" w:rsidRPr="008B1975" w:rsidRDefault="00FF0A44" w:rsidP="00FF0A44">
      <w:pPr>
        <w:pStyle w:val="Item"/>
      </w:pPr>
      <w:r w:rsidRPr="008B1975">
        <w:t>Repeal the table, substitute:</w:t>
      </w:r>
    </w:p>
    <w:p w14:paraId="7CB18BC3" w14:textId="77777777" w:rsidR="00FF0A44" w:rsidRPr="008B1975" w:rsidRDefault="00FF0A44" w:rsidP="00FF0A44">
      <w:pPr>
        <w:pStyle w:val="subsection"/>
      </w:pPr>
      <w:r w:rsidRPr="008B1975">
        <w:tab/>
        <w:t>(</w:t>
      </w:r>
      <w:r w:rsidR="00985DE9" w:rsidRPr="008B1975">
        <w:t>2</w:t>
      </w:r>
      <w:r w:rsidRPr="008B1975">
        <w:t>)</w:t>
      </w:r>
      <w:r w:rsidRPr="008B1975">
        <w:tab/>
        <w:t>The following table specifies conveyances, premises and infrastructure this section applies to.</w:t>
      </w:r>
    </w:p>
    <w:p w14:paraId="424BAEE7" w14:textId="77777777" w:rsidR="00FF0A44" w:rsidRPr="008B1975" w:rsidRDefault="00FF0A44" w:rsidP="00FF0A4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F0A44" w:rsidRPr="008B1975" w14:paraId="43D195B8"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6C819F85" w14:textId="77777777" w:rsidR="00FF0A44" w:rsidRPr="008B1975" w:rsidRDefault="00FF0A44" w:rsidP="00DE081B">
            <w:pPr>
              <w:pStyle w:val="TableHeading"/>
            </w:pPr>
            <w:r w:rsidRPr="008B1975">
              <w:t>Application of this section</w:t>
            </w:r>
          </w:p>
        </w:tc>
      </w:tr>
      <w:tr w:rsidR="00FF0A44" w:rsidRPr="008B1975" w14:paraId="2CFAA162" w14:textId="77777777" w:rsidTr="00CC36E0">
        <w:trPr>
          <w:trHeight w:val="300"/>
          <w:tblHeader/>
        </w:trPr>
        <w:tc>
          <w:tcPr>
            <w:tcW w:w="1667" w:type="pct"/>
            <w:tcBorders>
              <w:top w:val="single" w:sz="6" w:space="0" w:color="auto"/>
              <w:left w:val="nil"/>
              <w:bottom w:val="single" w:sz="12" w:space="0" w:color="auto"/>
              <w:right w:val="nil"/>
            </w:tcBorders>
            <w:hideMark/>
          </w:tcPr>
          <w:p w14:paraId="5A699CF8" w14:textId="77777777" w:rsidR="00FF0A44" w:rsidRPr="008B1975" w:rsidRDefault="00FF0A44"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20B7A9DE" w14:textId="77777777" w:rsidR="00FF0A44" w:rsidRPr="008B1975" w:rsidRDefault="00FF0A44"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40FC5FF9" w14:textId="77777777" w:rsidR="00FF0A44" w:rsidRPr="008B1975" w:rsidRDefault="00FF0A44" w:rsidP="00DE081B">
            <w:pPr>
              <w:pStyle w:val="TableHeading"/>
            </w:pPr>
            <w:r w:rsidRPr="008B1975">
              <w:t>Infrastructure</w:t>
            </w:r>
          </w:p>
        </w:tc>
      </w:tr>
      <w:tr w:rsidR="00FF0A44" w:rsidRPr="008B1975" w14:paraId="064F9A15" w14:textId="77777777" w:rsidTr="00CC36E0">
        <w:trPr>
          <w:trHeight w:val="300"/>
        </w:trPr>
        <w:tc>
          <w:tcPr>
            <w:tcW w:w="1667" w:type="pct"/>
            <w:tcBorders>
              <w:top w:val="single" w:sz="12" w:space="0" w:color="auto"/>
              <w:left w:val="nil"/>
              <w:bottom w:val="single" w:sz="12" w:space="0" w:color="auto"/>
              <w:right w:val="nil"/>
            </w:tcBorders>
            <w:hideMark/>
          </w:tcPr>
          <w:p w14:paraId="260E02D9" w14:textId="77777777" w:rsidR="00FF0A44" w:rsidRPr="008B1975" w:rsidRDefault="00FF0A44" w:rsidP="00DD5666">
            <w:pPr>
              <w:pStyle w:val="Tabletext"/>
            </w:pPr>
            <w:r w:rsidRPr="008B1975">
              <w:t>None</w:t>
            </w:r>
          </w:p>
        </w:tc>
        <w:tc>
          <w:tcPr>
            <w:tcW w:w="1667" w:type="pct"/>
            <w:tcBorders>
              <w:top w:val="single" w:sz="12" w:space="0" w:color="auto"/>
              <w:left w:val="nil"/>
              <w:bottom w:val="single" w:sz="12" w:space="0" w:color="auto"/>
              <w:right w:val="nil"/>
            </w:tcBorders>
            <w:hideMark/>
          </w:tcPr>
          <w:p w14:paraId="028FF4EF" w14:textId="77777777" w:rsidR="00FF0A44" w:rsidRPr="008B1975" w:rsidRDefault="00985DE9"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67B42DD8" w14:textId="77777777" w:rsidR="00FF0A44" w:rsidRPr="008B1975" w:rsidRDefault="00985DE9" w:rsidP="00DE081B">
            <w:pPr>
              <w:pStyle w:val="Tabletext"/>
            </w:pPr>
            <w:r w:rsidRPr="008B1975">
              <w:t>Bus boarding points</w:t>
            </w:r>
          </w:p>
        </w:tc>
      </w:tr>
    </w:tbl>
    <w:p w14:paraId="57AF6E4D" w14:textId="7A1969DB" w:rsidR="008D0C53" w:rsidRPr="008B1975" w:rsidRDefault="00ED5B2D" w:rsidP="00946DEA">
      <w:pPr>
        <w:pStyle w:val="ItemHead"/>
      </w:pPr>
      <w:bookmarkStart w:id="249" w:name="_Ref180165795"/>
      <w:bookmarkStart w:id="250" w:name="_Ref185339932"/>
      <w:r w:rsidRPr="008B1975">
        <w:t>5</w:t>
      </w:r>
      <w:r w:rsidR="00946DEA" w:rsidRPr="008B1975">
        <w:t xml:space="preserve">  </w:t>
      </w:r>
      <w:r w:rsidR="008D0C53" w:rsidRPr="008B1975">
        <w:t>Section 18.4</w:t>
      </w:r>
      <w:bookmarkEnd w:id="249"/>
      <w:bookmarkEnd w:id="250"/>
    </w:p>
    <w:p w14:paraId="0027559F" w14:textId="293D9D01" w:rsidR="008D0C53" w:rsidRPr="008B1975" w:rsidRDefault="008D0C53" w:rsidP="008D0C53">
      <w:pPr>
        <w:pStyle w:val="Item"/>
      </w:pPr>
      <w:r w:rsidRPr="008B1975">
        <w:t>Omit “Colour contrasted tactile”, substitute “</w:t>
      </w:r>
      <w:r w:rsidR="00ED5B2D" w:rsidRPr="008B1975">
        <w:t xml:space="preserve">(1) </w:t>
      </w:r>
      <w:r w:rsidRPr="008B1975">
        <w:t>Warning tactile ground surface”.</w:t>
      </w:r>
    </w:p>
    <w:p w14:paraId="000C597B" w14:textId="4BFD6932" w:rsidR="008D0C53" w:rsidRPr="008B1975" w:rsidRDefault="00ED5B2D" w:rsidP="00946DEA">
      <w:pPr>
        <w:pStyle w:val="ItemHead"/>
      </w:pPr>
      <w:bookmarkStart w:id="251" w:name="_Ref180165801"/>
      <w:r w:rsidRPr="008B1975">
        <w:t>6</w:t>
      </w:r>
      <w:r w:rsidR="00946DEA" w:rsidRPr="008B1975">
        <w:t xml:space="preserve">  </w:t>
      </w:r>
      <w:r w:rsidR="008D0C53" w:rsidRPr="008B1975">
        <w:t>Section 18.4</w:t>
      </w:r>
      <w:bookmarkEnd w:id="251"/>
    </w:p>
    <w:p w14:paraId="74D1774F" w14:textId="77777777" w:rsidR="008D0C53" w:rsidRPr="008B1975" w:rsidRDefault="008D0C53" w:rsidP="008D0C53">
      <w:pPr>
        <w:pStyle w:val="Item"/>
      </w:pPr>
      <w:r w:rsidRPr="008B1975">
        <w:t xml:space="preserve">Omit “as prescribed by </w:t>
      </w:r>
      <w:r w:rsidRPr="008B1975">
        <w:rPr>
          <w:b/>
        </w:rPr>
        <w:t>AS1428.4 (1992) Clause 6.7</w:t>
      </w:r>
      <w:r w:rsidRPr="008B1975">
        <w:t>”, substitute “in accordance with clause 3.4 of AS/NZS 1428.4.1 (2009), provided that there is an access path with a width of at least 1.2 metres between any infrastructure or building on the platform and the indicators”.</w:t>
      </w:r>
    </w:p>
    <w:p w14:paraId="22DAFFAF" w14:textId="4969BE66" w:rsidR="00985DE9" w:rsidRPr="008B1975" w:rsidRDefault="00ED5B2D" w:rsidP="00946DEA">
      <w:pPr>
        <w:pStyle w:val="ItemHead"/>
      </w:pPr>
      <w:bookmarkStart w:id="252" w:name="_Ref185278232"/>
      <w:r w:rsidRPr="008B1975">
        <w:lastRenderedPageBreak/>
        <w:t>7</w:t>
      </w:r>
      <w:r w:rsidR="00946DEA" w:rsidRPr="008B1975">
        <w:t xml:space="preserve">  </w:t>
      </w:r>
      <w:r w:rsidR="00985DE9" w:rsidRPr="008B1975">
        <w:t>Section 18.4 (table)</w:t>
      </w:r>
      <w:bookmarkEnd w:id="252"/>
    </w:p>
    <w:p w14:paraId="468FA2A2" w14:textId="77777777" w:rsidR="00985DE9" w:rsidRPr="008B1975" w:rsidRDefault="00985DE9" w:rsidP="00985DE9">
      <w:pPr>
        <w:pStyle w:val="Item"/>
      </w:pPr>
      <w:r w:rsidRPr="008B1975">
        <w:t>Repeal the table, substitute:</w:t>
      </w:r>
    </w:p>
    <w:p w14:paraId="0F5EF453" w14:textId="77777777" w:rsidR="00985DE9" w:rsidRPr="008B1975" w:rsidRDefault="00985DE9" w:rsidP="00985DE9">
      <w:pPr>
        <w:pStyle w:val="subsection"/>
      </w:pPr>
      <w:r w:rsidRPr="008B1975">
        <w:tab/>
        <w:t>(2)</w:t>
      </w:r>
      <w:r w:rsidRPr="008B1975">
        <w:tab/>
        <w:t>The following table specifies conveyances, premises and infrastructure this section applies to.</w:t>
      </w:r>
    </w:p>
    <w:p w14:paraId="48CFD4F7" w14:textId="77777777" w:rsidR="00985DE9" w:rsidRPr="008B1975" w:rsidRDefault="00985DE9" w:rsidP="00985DE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85DE9" w:rsidRPr="008B1975" w14:paraId="2A6EC7D3"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6829E623" w14:textId="77777777" w:rsidR="00985DE9" w:rsidRPr="008B1975" w:rsidRDefault="00985DE9" w:rsidP="00DE081B">
            <w:pPr>
              <w:pStyle w:val="TableHeading"/>
            </w:pPr>
            <w:r w:rsidRPr="008B1975">
              <w:t>Application of this section</w:t>
            </w:r>
          </w:p>
        </w:tc>
      </w:tr>
      <w:tr w:rsidR="00985DE9" w:rsidRPr="008B1975" w14:paraId="3165D255" w14:textId="77777777" w:rsidTr="00CC36E0">
        <w:trPr>
          <w:trHeight w:val="300"/>
          <w:tblHeader/>
        </w:trPr>
        <w:tc>
          <w:tcPr>
            <w:tcW w:w="1667" w:type="pct"/>
            <w:tcBorders>
              <w:top w:val="single" w:sz="6" w:space="0" w:color="auto"/>
              <w:left w:val="nil"/>
              <w:bottom w:val="single" w:sz="12" w:space="0" w:color="auto"/>
              <w:right w:val="nil"/>
            </w:tcBorders>
            <w:hideMark/>
          </w:tcPr>
          <w:p w14:paraId="76F4ADD6" w14:textId="77777777" w:rsidR="00985DE9" w:rsidRPr="008B1975" w:rsidRDefault="00985DE9"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23BDCFD3" w14:textId="77777777" w:rsidR="00985DE9" w:rsidRPr="008B1975" w:rsidRDefault="00985DE9"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43DA867A" w14:textId="77777777" w:rsidR="00985DE9" w:rsidRPr="008B1975" w:rsidRDefault="00985DE9" w:rsidP="00DE081B">
            <w:pPr>
              <w:pStyle w:val="TableHeading"/>
            </w:pPr>
            <w:r w:rsidRPr="008B1975">
              <w:t>Infrastructure</w:t>
            </w:r>
          </w:p>
        </w:tc>
      </w:tr>
      <w:tr w:rsidR="00985DE9" w:rsidRPr="008B1975" w14:paraId="1D0C24E0" w14:textId="77777777" w:rsidTr="00CC36E0">
        <w:trPr>
          <w:trHeight w:val="300"/>
        </w:trPr>
        <w:tc>
          <w:tcPr>
            <w:tcW w:w="1667" w:type="pct"/>
            <w:tcBorders>
              <w:top w:val="single" w:sz="12" w:space="0" w:color="auto"/>
              <w:left w:val="nil"/>
              <w:bottom w:val="single" w:sz="12" w:space="0" w:color="auto"/>
              <w:right w:val="nil"/>
            </w:tcBorders>
            <w:hideMark/>
          </w:tcPr>
          <w:p w14:paraId="2A42E2D1" w14:textId="77777777" w:rsidR="00985DE9" w:rsidRPr="008B1975" w:rsidRDefault="00985DE9" w:rsidP="00DD5666">
            <w:pPr>
              <w:pStyle w:val="Tabletext"/>
            </w:pPr>
            <w:r w:rsidRPr="008B1975">
              <w:t>None</w:t>
            </w:r>
          </w:p>
        </w:tc>
        <w:tc>
          <w:tcPr>
            <w:tcW w:w="1667" w:type="pct"/>
            <w:tcBorders>
              <w:top w:val="single" w:sz="12" w:space="0" w:color="auto"/>
              <w:left w:val="nil"/>
              <w:bottom w:val="single" w:sz="12" w:space="0" w:color="auto"/>
              <w:right w:val="nil"/>
            </w:tcBorders>
            <w:hideMark/>
          </w:tcPr>
          <w:p w14:paraId="630440E5" w14:textId="77777777" w:rsidR="00985DE9" w:rsidRPr="008B1975" w:rsidRDefault="00985DE9"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353A6A48" w14:textId="77777777" w:rsidR="00985DE9" w:rsidRPr="008B1975" w:rsidRDefault="00985DE9" w:rsidP="00DE081B">
            <w:pPr>
              <w:pStyle w:val="Tabletext"/>
            </w:pPr>
            <w:r w:rsidRPr="008B1975">
              <w:t>Railway platforms</w:t>
            </w:r>
          </w:p>
        </w:tc>
      </w:tr>
    </w:tbl>
    <w:p w14:paraId="78CD7EB0" w14:textId="54FBD75D" w:rsidR="008D0C53" w:rsidRPr="008B1975" w:rsidRDefault="00ED5B2D" w:rsidP="00946DEA">
      <w:pPr>
        <w:pStyle w:val="ItemHead"/>
      </w:pPr>
      <w:bookmarkStart w:id="253" w:name="_Ref180165947"/>
      <w:bookmarkStart w:id="254" w:name="_Ref185339983"/>
      <w:r w:rsidRPr="008B1975">
        <w:t>9</w:t>
      </w:r>
      <w:r w:rsidR="00946DEA" w:rsidRPr="008B1975">
        <w:t xml:space="preserve">  </w:t>
      </w:r>
      <w:r w:rsidR="008D0C53" w:rsidRPr="008B1975">
        <w:t>Section 18.5</w:t>
      </w:r>
      <w:bookmarkEnd w:id="253"/>
      <w:bookmarkEnd w:id="254"/>
    </w:p>
    <w:p w14:paraId="7E820E29" w14:textId="1A06B600" w:rsidR="008D0C53" w:rsidRPr="008B1975" w:rsidRDefault="008D0C53" w:rsidP="008D0C53">
      <w:pPr>
        <w:pStyle w:val="Item"/>
      </w:pPr>
      <w:r w:rsidRPr="008B1975">
        <w:t>Omit “Colour contrasted tactile”, substitute “</w:t>
      </w:r>
      <w:r w:rsidR="00ED5B2D" w:rsidRPr="008B1975">
        <w:t xml:space="preserve">(1) </w:t>
      </w:r>
      <w:r w:rsidRPr="008B1975">
        <w:t>Warning tactile ground surface”.</w:t>
      </w:r>
    </w:p>
    <w:p w14:paraId="5E662E35" w14:textId="643506F4" w:rsidR="008D0C53" w:rsidRPr="008B1975" w:rsidRDefault="00ED5B2D" w:rsidP="00946DEA">
      <w:pPr>
        <w:pStyle w:val="ItemHead"/>
      </w:pPr>
      <w:bookmarkStart w:id="255" w:name="_Ref180165958"/>
      <w:r w:rsidRPr="008B1975">
        <w:t>9</w:t>
      </w:r>
      <w:r w:rsidR="00946DEA" w:rsidRPr="008B1975">
        <w:t xml:space="preserve">  </w:t>
      </w:r>
      <w:r w:rsidR="008D0C53" w:rsidRPr="008B1975">
        <w:t>Section 18.5</w:t>
      </w:r>
      <w:bookmarkEnd w:id="255"/>
    </w:p>
    <w:p w14:paraId="11079613" w14:textId="77777777" w:rsidR="008D0C53" w:rsidRPr="008B1975" w:rsidRDefault="008D0C53" w:rsidP="008D0C53">
      <w:pPr>
        <w:pStyle w:val="Item"/>
      </w:pPr>
      <w:r w:rsidRPr="008B1975">
        <w:t>Omit “as prescribed by</w:t>
      </w:r>
      <w:r w:rsidRPr="008B1975">
        <w:rPr>
          <w:b/>
        </w:rPr>
        <w:t xml:space="preserve"> AS1428.4 (1992) Clause 6.8</w:t>
      </w:r>
      <w:r w:rsidRPr="008B1975">
        <w:t>”, substitute “in accordance with clause 3.5 of AS/NZS 1428.4.1 (2009)”.</w:t>
      </w:r>
    </w:p>
    <w:p w14:paraId="6B15232D" w14:textId="23D3563C" w:rsidR="00985DE9" w:rsidRPr="008B1975" w:rsidRDefault="00946DEA" w:rsidP="00946DEA">
      <w:pPr>
        <w:pStyle w:val="ItemHead"/>
      </w:pPr>
      <w:bookmarkStart w:id="256" w:name="_Ref185278567"/>
      <w:r w:rsidRPr="008B1975">
        <w:t>1</w:t>
      </w:r>
      <w:r w:rsidR="00ED5B2D" w:rsidRPr="008B1975">
        <w:t>0</w:t>
      </w:r>
      <w:r w:rsidRPr="008B1975">
        <w:t xml:space="preserve">  </w:t>
      </w:r>
      <w:r w:rsidR="00985DE9" w:rsidRPr="008B1975">
        <w:t>Section 18.5 (table)</w:t>
      </w:r>
      <w:bookmarkEnd w:id="256"/>
    </w:p>
    <w:p w14:paraId="24F3721B" w14:textId="77777777" w:rsidR="00985DE9" w:rsidRPr="008B1975" w:rsidRDefault="00985DE9" w:rsidP="00985DE9">
      <w:pPr>
        <w:pStyle w:val="Item"/>
      </w:pPr>
      <w:r w:rsidRPr="008B1975">
        <w:t>Repeal the table, substitute:</w:t>
      </w:r>
    </w:p>
    <w:p w14:paraId="2A6D39EC" w14:textId="77777777" w:rsidR="00985DE9" w:rsidRPr="008B1975" w:rsidRDefault="00985DE9" w:rsidP="00985DE9">
      <w:pPr>
        <w:pStyle w:val="subsection"/>
      </w:pPr>
      <w:r w:rsidRPr="008B1975">
        <w:tab/>
        <w:t>(2)</w:t>
      </w:r>
      <w:r w:rsidRPr="008B1975">
        <w:tab/>
        <w:t>The following table specifies conveyances, premises and infrastructure this section applies to.</w:t>
      </w:r>
    </w:p>
    <w:p w14:paraId="3B53CA7B" w14:textId="77777777" w:rsidR="00985DE9" w:rsidRPr="008B1975" w:rsidRDefault="00985DE9" w:rsidP="00985DE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85DE9" w:rsidRPr="008B1975" w14:paraId="41E89F0A"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188BAFEC" w14:textId="77777777" w:rsidR="00985DE9" w:rsidRPr="008B1975" w:rsidRDefault="00985DE9" w:rsidP="00DE081B">
            <w:pPr>
              <w:pStyle w:val="TableHeading"/>
            </w:pPr>
            <w:r w:rsidRPr="008B1975">
              <w:t>Application of this section</w:t>
            </w:r>
          </w:p>
        </w:tc>
      </w:tr>
      <w:tr w:rsidR="00985DE9" w:rsidRPr="008B1975" w14:paraId="71BA0C52" w14:textId="77777777" w:rsidTr="00CC36E0">
        <w:trPr>
          <w:trHeight w:val="300"/>
          <w:tblHeader/>
        </w:trPr>
        <w:tc>
          <w:tcPr>
            <w:tcW w:w="1667" w:type="pct"/>
            <w:tcBorders>
              <w:top w:val="single" w:sz="6" w:space="0" w:color="auto"/>
              <w:left w:val="nil"/>
              <w:bottom w:val="single" w:sz="12" w:space="0" w:color="auto"/>
              <w:right w:val="nil"/>
            </w:tcBorders>
            <w:hideMark/>
          </w:tcPr>
          <w:p w14:paraId="142A2637" w14:textId="77777777" w:rsidR="00985DE9" w:rsidRPr="008B1975" w:rsidRDefault="00985DE9"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3008CED1" w14:textId="77777777" w:rsidR="00985DE9" w:rsidRPr="008B1975" w:rsidRDefault="00985DE9"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5CF302AA" w14:textId="77777777" w:rsidR="00985DE9" w:rsidRPr="008B1975" w:rsidRDefault="00985DE9" w:rsidP="00DE081B">
            <w:pPr>
              <w:pStyle w:val="TableHeading"/>
            </w:pPr>
            <w:r w:rsidRPr="008B1975">
              <w:t>Infrastructure</w:t>
            </w:r>
          </w:p>
        </w:tc>
      </w:tr>
      <w:tr w:rsidR="00985DE9" w:rsidRPr="008B1975" w14:paraId="29EA143A" w14:textId="77777777" w:rsidTr="00CC36E0">
        <w:trPr>
          <w:trHeight w:val="300"/>
        </w:trPr>
        <w:tc>
          <w:tcPr>
            <w:tcW w:w="1667" w:type="pct"/>
            <w:tcBorders>
              <w:top w:val="single" w:sz="12" w:space="0" w:color="auto"/>
              <w:left w:val="nil"/>
              <w:bottom w:val="single" w:sz="12" w:space="0" w:color="auto"/>
              <w:right w:val="nil"/>
            </w:tcBorders>
            <w:hideMark/>
          </w:tcPr>
          <w:p w14:paraId="09779A75" w14:textId="77777777" w:rsidR="00985DE9" w:rsidRPr="008B1975" w:rsidRDefault="00985DE9" w:rsidP="00DD5666">
            <w:pPr>
              <w:pStyle w:val="Tabletext"/>
            </w:pPr>
            <w:r w:rsidRPr="008B1975">
              <w:t>None</w:t>
            </w:r>
          </w:p>
        </w:tc>
        <w:tc>
          <w:tcPr>
            <w:tcW w:w="1667" w:type="pct"/>
            <w:tcBorders>
              <w:top w:val="single" w:sz="12" w:space="0" w:color="auto"/>
              <w:left w:val="nil"/>
              <w:bottom w:val="single" w:sz="12" w:space="0" w:color="auto"/>
              <w:right w:val="nil"/>
            </w:tcBorders>
            <w:hideMark/>
          </w:tcPr>
          <w:p w14:paraId="4C6D26F0" w14:textId="77777777" w:rsidR="00985DE9" w:rsidRPr="008B1975" w:rsidRDefault="00985DE9"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127B9404" w14:textId="77777777" w:rsidR="00985DE9" w:rsidRPr="008B1975" w:rsidRDefault="00985DE9" w:rsidP="00DE081B">
            <w:pPr>
              <w:pStyle w:val="Tabletext"/>
            </w:pPr>
            <w:r w:rsidRPr="008B1975">
              <w:t>Passenger wharves</w:t>
            </w:r>
          </w:p>
        </w:tc>
      </w:tr>
    </w:tbl>
    <w:p w14:paraId="1416C672" w14:textId="77777777" w:rsidR="00824838" w:rsidRPr="008B1975" w:rsidRDefault="00824838" w:rsidP="00824838">
      <w:pPr>
        <w:pStyle w:val="ActHead6"/>
        <w:pageBreakBefore/>
        <w:rPr>
          <w:rStyle w:val="CharAmSchText"/>
        </w:rPr>
      </w:pPr>
      <w:bookmarkStart w:id="257" w:name="_Toc197178966"/>
      <w:r w:rsidRPr="008B1975">
        <w:lastRenderedPageBreak/>
        <w:t>Schedule 19—Part 19 (Alarms) Amendments</w:t>
      </w:r>
      <w:bookmarkEnd w:id="257"/>
    </w:p>
    <w:p w14:paraId="48C7C0EE" w14:textId="77777777" w:rsidR="00824838" w:rsidRPr="008B1975" w:rsidRDefault="00824838" w:rsidP="00824838">
      <w:pPr>
        <w:pStyle w:val="ActHead9"/>
      </w:pPr>
      <w:bookmarkStart w:id="258" w:name="_Toc197178967"/>
      <w:r w:rsidRPr="008B1975">
        <w:t>Disability Standards for Accessible Public Transport 2002</w:t>
      </w:r>
      <w:bookmarkEnd w:id="258"/>
    </w:p>
    <w:p w14:paraId="3241492C" w14:textId="77777777" w:rsidR="00985DE9" w:rsidRPr="008B1975" w:rsidRDefault="00946DEA" w:rsidP="00946DEA">
      <w:pPr>
        <w:pStyle w:val="ItemHead"/>
        <w:ind w:left="0" w:firstLine="0"/>
      </w:pPr>
      <w:bookmarkStart w:id="259" w:name="_Ref185278605"/>
      <w:r w:rsidRPr="008B1975">
        <w:t xml:space="preserve">1  </w:t>
      </w:r>
      <w:r w:rsidR="00985DE9" w:rsidRPr="008B1975">
        <w:t>Section 19.1 (table)</w:t>
      </w:r>
      <w:bookmarkEnd w:id="259"/>
    </w:p>
    <w:p w14:paraId="0DA0E73E" w14:textId="77777777" w:rsidR="00985DE9" w:rsidRPr="008B1975" w:rsidRDefault="00985DE9" w:rsidP="00985DE9">
      <w:pPr>
        <w:pStyle w:val="Item"/>
      </w:pPr>
      <w:r w:rsidRPr="008B1975">
        <w:t>Repeal the table, substitute:</w:t>
      </w:r>
    </w:p>
    <w:p w14:paraId="70D3E939" w14:textId="77777777" w:rsidR="00985DE9" w:rsidRPr="008B1975" w:rsidRDefault="00985DE9" w:rsidP="00985DE9">
      <w:pPr>
        <w:pStyle w:val="subsection"/>
      </w:pPr>
      <w:r w:rsidRPr="008B1975">
        <w:tab/>
        <w:t>(3)</w:t>
      </w:r>
      <w:r w:rsidRPr="008B1975">
        <w:tab/>
        <w:t>The following table specifies conveyances, premises and infrastructure this section applies to.</w:t>
      </w:r>
    </w:p>
    <w:p w14:paraId="0CA7164A" w14:textId="77777777" w:rsidR="00985DE9" w:rsidRPr="008B1975" w:rsidRDefault="00985DE9" w:rsidP="00985DE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85DE9" w:rsidRPr="008B1975" w14:paraId="2D409915"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010EBBA0" w14:textId="77777777" w:rsidR="00985DE9" w:rsidRPr="008B1975" w:rsidRDefault="00985DE9" w:rsidP="00DE081B">
            <w:pPr>
              <w:pStyle w:val="TableHeading"/>
            </w:pPr>
            <w:r w:rsidRPr="008B1975">
              <w:t>Application of this section</w:t>
            </w:r>
          </w:p>
        </w:tc>
      </w:tr>
      <w:tr w:rsidR="00985DE9" w:rsidRPr="008B1975" w14:paraId="4907124C" w14:textId="77777777" w:rsidTr="00CC36E0">
        <w:trPr>
          <w:trHeight w:val="300"/>
          <w:tblHeader/>
        </w:trPr>
        <w:tc>
          <w:tcPr>
            <w:tcW w:w="1667" w:type="pct"/>
            <w:tcBorders>
              <w:top w:val="single" w:sz="6" w:space="0" w:color="auto"/>
              <w:left w:val="nil"/>
              <w:bottom w:val="single" w:sz="12" w:space="0" w:color="auto"/>
              <w:right w:val="nil"/>
            </w:tcBorders>
            <w:hideMark/>
          </w:tcPr>
          <w:p w14:paraId="223D77B3" w14:textId="77777777" w:rsidR="00985DE9" w:rsidRPr="008B1975" w:rsidRDefault="00985DE9"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2B25CE6E" w14:textId="77777777" w:rsidR="00985DE9" w:rsidRPr="008B1975" w:rsidRDefault="00985DE9"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646D1D39" w14:textId="77777777" w:rsidR="00985DE9" w:rsidRPr="008B1975" w:rsidRDefault="00985DE9" w:rsidP="00DE081B">
            <w:pPr>
              <w:pStyle w:val="TableHeading"/>
            </w:pPr>
            <w:r w:rsidRPr="008B1975">
              <w:t>Infrastructure</w:t>
            </w:r>
          </w:p>
        </w:tc>
      </w:tr>
      <w:tr w:rsidR="00985DE9" w:rsidRPr="008B1975" w14:paraId="11961064" w14:textId="77777777" w:rsidTr="00CC36E0">
        <w:trPr>
          <w:trHeight w:val="300"/>
        </w:trPr>
        <w:tc>
          <w:tcPr>
            <w:tcW w:w="1667" w:type="pct"/>
            <w:tcBorders>
              <w:top w:val="single" w:sz="12" w:space="0" w:color="auto"/>
              <w:left w:val="nil"/>
              <w:bottom w:val="single" w:sz="12" w:space="0" w:color="auto"/>
              <w:right w:val="nil"/>
            </w:tcBorders>
            <w:hideMark/>
          </w:tcPr>
          <w:p w14:paraId="2F55D610" w14:textId="77777777" w:rsidR="00985DE9" w:rsidRPr="008B1975" w:rsidRDefault="00985DE9"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0B01DF3C" w14:textId="77777777" w:rsidR="00985DE9" w:rsidRPr="008B1975" w:rsidRDefault="00985DE9" w:rsidP="00DE081B">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61DDB5D8" w14:textId="77777777" w:rsidR="00985DE9" w:rsidRPr="008B1975" w:rsidRDefault="00985DE9" w:rsidP="00DE081B">
            <w:pPr>
              <w:pStyle w:val="Tabletext"/>
            </w:pPr>
            <w:r w:rsidRPr="008B1975">
              <w:t>All</w:t>
            </w:r>
          </w:p>
        </w:tc>
      </w:tr>
    </w:tbl>
    <w:p w14:paraId="44FF758A" w14:textId="77777777" w:rsidR="00824838" w:rsidRPr="008B1975" w:rsidRDefault="00824838" w:rsidP="00824838">
      <w:pPr>
        <w:pStyle w:val="ActHead6"/>
        <w:pageBreakBefore/>
        <w:rPr>
          <w:rStyle w:val="CharAmSchText"/>
        </w:rPr>
      </w:pPr>
      <w:bookmarkStart w:id="260" w:name="_Toc197178968"/>
      <w:r w:rsidRPr="008B1975">
        <w:lastRenderedPageBreak/>
        <w:t>Schedule 20—Part 20 (Lighting) Amendments</w:t>
      </w:r>
      <w:bookmarkEnd w:id="260"/>
    </w:p>
    <w:p w14:paraId="174D053A" w14:textId="77777777" w:rsidR="00824838" w:rsidRPr="008B1975" w:rsidRDefault="00824838" w:rsidP="00824838">
      <w:pPr>
        <w:pStyle w:val="ActHead9"/>
      </w:pPr>
      <w:bookmarkStart w:id="261" w:name="_Toc197178969"/>
      <w:r w:rsidRPr="008B1975">
        <w:t>Disability Standards for Accessible Public Transport 2002</w:t>
      </w:r>
      <w:bookmarkEnd w:id="261"/>
    </w:p>
    <w:p w14:paraId="00CE5099" w14:textId="77777777" w:rsidR="008D0C53" w:rsidRPr="008B1975" w:rsidRDefault="00946DEA" w:rsidP="00946DEA">
      <w:pPr>
        <w:pStyle w:val="ItemHead"/>
        <w:ind w:left="0" w:firstLine="0"/>
      </w:pPr>
      <w:bookmarkStart w:id="262" w:name="_Ref185278780"/>
      <w:r w:rsidRPr="008B1975">
        <w:t xml:space="preserve">1  </w:t>
      </w:r>
      <w:r w:rsidR="008D0C53" w:rsidRPr="008B1975">
        <w:t>Section 20.1</w:t>
      </w:r>
      <w:bookmarkEnd w:id="262"/>
    </w:p>
    <w:p w14:paraId="05F6BED9" w14:textId="77777777" w:rsidR="008D0C53" w:rsidRPr="008B1975" w:rsidRDefault="008D0C53" w:rsidP="008D0C53">
      <w:pPr>
        <w:pStyle w:val="Item"/>
      </w:pPr>
      <w:r w:rsidRPr="008B1975">
        <w:t>Repeal the section, substitute:</w:t>
      </w:r>
    </w:p>
    <w:p w14:paraId="66044653" w14:textId="77777777" w:rsidR="008D0C53" w:rsidRPr="008B1975" w:rsidRDefault="008D0C53" w:rsidP="006202EA">
      <w:pPr>
        <w:pStyle w:val="ActHead5"/>
        <w:outlineLvl w:val="9"/>
      </w:pPr>
      <w:r w:rsidRPr="008B1975">
        <w:t>20.1  Illumination levels—premises and infrastructure</w:t>
      </w:r>
    </w:p>
    <w:p w14:paraId="4D0ACC08" w14:textId="77777777" w:rsidR="006202EA" w:rsidRPr="008B1975" w:rsidRDefault="008D0C53" w:rsidP="006202EA">
      <w:pPr>
        <w:pStyle w:val="subsection"/>
        <w:rPr>
          <w:rFonts w:cstheme="minorHAnsi"/>
          <w:color w:val="000000"/>
        </w:rPr>
      </w:pPr>
      <w:r w:rsidRPr="008B1975">
        <w:tab/>
        <w:t>(1)</w:t>
      </w:r>
      <w:r w:rsidRPr="008B1975">
        <w:tab/>
      </w:r>
      <w:r w:rsidRPr="008B1975">
        <w:rPr>
          <w:rFonts w:cstheme="minorHAnsi"/>
          <w:color w:val="000000"/>
        </w:rPr>
        <w:t>Any lighting associated with a public transport facility must be provided to a level that:</w:t>
      </w:r>
    </w:p>
    <w:p w14:paraId="32421C62" w14:textId="77777777" w:rsidR="006202EA" w:rsidRPr="008B1975" w:rsidRDefault="006202EA" w:rsidP="008D0C53">
      <w:pPr>
        <w:pStyle w:val="paragraph"/>
        <w:rPr>
          <w:rFonts w:cstheme="minorHAnsi"/>
          <w:color w:val="000000"/>
        </w:rPr>
      </w:pPr>
      <w:r w:rsidRPr="008B1975">
        <w:tab/>
        <w:t>(a)</w:t>
      </w:r>
      <w:r w:rsidRPr="008B1975">
        <w:tab/>
      </w:r>
      <w:r w:rsidR="008D0C53" w:rsidRPr="008B1975">
        <w:t>is appropriate to the location; and</w:t>
      </w:r>
    </w:p>
    <w:p w14:paraId="2D47AE66" w14:textId="77777777" w:rsidR="008D0C53" w:rsidRPr="008B1975" w:rsidRDefault="006202EA" w:rsidP="008D0C53">
      <w:pPr>
        <w:pStyle w:val="paragraph"/>
      </w:pPr>
      <w:r w:rsidRPr="008B1975">
        <w:tab/>
        <w:t>(b)</w:t>
      </w:r>
      <w:r w:rsidRPr="008B1975">
        <w:tab/>
      </w:r>
      <w:r w:rsidR="008D0C53" w:rsidRPr="008B1975">
        <w:t>enables the safe completion of tasks.</w:t>
      </w:r>
    </w:p>
    <w:p w14:paraId="31FA4DE1" w14:textId="77777777" w:rsidR="008D0C53" w:rsidRPr="008B1975" w:rsidRDefault="008D0C53" w:rsidP="008D0C53">
      <w:pPr>
        <w:pStyle w:val="subsection"/>
      </w:pPr>
      <w:r w:rsidRPr="008B1975">
        <w:tab/>
        <w:t>(2)</w:t>
      </w:r>
      <w:r w:rsidRPr="008B1975">
        <w:tab/>
        <w:t>The following table specifies conveyances, premises and infrastructure this section applies to.</w:t>
      </w:r>
    </w:p>
    <w:p w14:paraId="6A8A8DDF" w14:textId="77777777" w:rsidR="008D0C53" w:rsidRPr="008B1975" w:rsidRDefault="008D0C53" w:rsidP="008D0C5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D0C53" w:rsidRPr="008B1975" w14:paraId="0170D245" w14:textId="77777777" w:rsidTr="008D0C53">
        <w:trPr>
          <w:trHeight w:val="300"/>
          <w:tblHeader/>
        </w:trPr>
        <w:tc>
          <w:tcPr>
            <w:tcW w:w="5000" w:type="pct"/>
            <w:gridSpan w:val="3"/>
            <w:tcBorders>
              <w:top w:val="single" w:sz="12" w:space="0" w:color="auto"/>
              <w:bottom w:val="single" w:sz="6" w:space="0" w:color="auto"/>
            </w:tcBorders>
            <w:shd w:val="clear" w:color="auto" w:fill="auto"/>
            <w:hideMark/>
          </w:tcPr>
          <w:p w14:paraId="60719BBF" w14:textId="77777777" w:rsidR="008D0C53" w:rsidRPr="008B1975" w:rsidRDefault="008D0C53" w:rsidP="008D0C53">
            <w:pPr>
              <w:pStyle w:val="TableHeading"/>
            </w:pPr>
            <w:r w:rsidRPr="008B1975">
              <w:t>Application of this section</w:t>
            </w:r>
          </w:p>
        </w:tc>
      </w:tr>
      <w:tr w:rsidR="008D0C53" w:rsidRPr="008B1975" w14:paraId="3C1FA3C9" w14:textId="77777777" w:rsidTr="00CC36E0">
        <w:trPr>
          <w:trHeight w:val="300"/>
          <w:tblHeader/>
        </w:trPr>
        <w:tc>
          <w:tcPr>
            <w:tcW w:w="1667" w:type="pct"/>
            <w:tcBorders>
              <w:top w:val="single" w:sz="6" w:space="0" w:color="auto"/>
              <w:bottom w:val="single" w:sz="12" w:space="0" w:color="auto"/>
            </w:tcBorders>
            <w:shd w:val="clear" w:color="auto" w:fill="auto"/>
            <w:hideMark/>
          </w:tcPr>
          <w:p w14:paraId="603F5969" w14:textId="77777777" w:rsidR="008D0C53" w:rsidRPr="008B1975" w:rsidRDefault="008D0C53" w:rsidP="008D0C53">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795601C2" w14:textId="77777777" w:rsidR="008D0C53" w:rsidRPr="008B1975" w:rsidRDefault="008D0C53" w:rsidP="008D0C53">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738E7B5D" w14:textId="77777777" w:rsidR="008D0C53" w:rsidRPr="008B1975" w:rsidRDefault="008D0C53" w:rsidP="008D0C53">
            <w:pPr>
              <w:pStyle w:val="TableHeading"/>
            </w:pPr>
            <w:r w:rsidRPr="008B1975">
              <w:t>Infrastructure</w:t>
            </w:r>
          </w:p>
        </w:tc>
      </w:tr>
      <w:tr w:rsidR="008D0C53" w:rsidRPr="008B1975" w14:paraId="30BF0E11" w14:textId="77777777" w:rsidTr="00CC36E0">
        <w:trPr>
          <w:trHeight w:val="300"/>
        </w:trPr>
        <w:tc>
          <w:tcPr>
            <w:tcW w:w="1667" w:type="pct"/>
            <w:tcBorders>
              <w:top w:val="single" w:sz="12" w:space="0" w:color="auto"/>
              <w:bottom w:val="single" w:sz="12" w:space="0" w:color="auto"/>
            </w:tcBorders>
            <w:shd w:val="clear" w:color="auto" w:fill="auto"/>
            <w:hideMark/>
          </w:tcPr>
          <w:p w14:paraId="24DB1962" w14:textId="77777777" w:rsidR="008D0C53" w:rsidRPr="008B1975" w:rsidRDefault="008D0C53" w:rsidP="00DD5666">
            <w:pPr>
              <w:pStyle w:val="Tabletext"/>
            </w:pPr>
            <w:r w:rsidRPr="008B1975">
              <w:t>None</w:t>
            </w:r>
          </w:p>
        </w:tc>
        <w:tc>
          <w:tcPr>
            <w:tcW w:w="1667" w:type="pct"/>
            <w:tcBorders>
              <w:top w:val="single" w:sz="12" w:space="0" w:color="auto"/>
              <w:bottom w:val="single" w:sz="12" w:space="0" w:color="auto"/>
            </w:tcBorders>
            <w:shd w:val="clear" w:color="auto" w:fill="auto"/>
            <w:hideMark/>
          </w:tcPr>
          <w:p w14:paraId="04698365" w14:textId="77777777" w:rsidR="008D0C53" w:rsidRPr="008B1975" w:rsidRDefault="008D0C53" w:rsidP="008D0C53">
            <w:pPr>
              <w:pStyle w:val="Tabletext"/>
            </w:pPr>
            <w:r w:rsidRPr="008B1975">
              <w:t>All, except premises to which the Premise</w:t>
            </w:r>
            <w:r w:rsidR="00DD5666" w:rsidRPr="008B1975">
              <w:t>s</w:t>
            </w:r>
            <w:r w:rsidRPr="008B1975">
              <w:t xml:space="preserve"> Standards apply</w:t>
            </w:r>
          </w:p>
        </w:tc>
        <w:tc>
          <w:tcPr>
            <w:tcW w:w="1667" w:type="pct"/>
            <w:tcBorders>
              <w:top w:val="single" w:sz="12" w:space="0" w:color="auto"/>
              <w:bottom w:val="single" w:sz="12" w:space="0" w:color="auto"/>
            </w:tcBorders>
            <w:shd w:val="clear" w:color="auto" w:fill="auto"/>
          </w:tcPr>
          <w:p w14:paraId="5EE27568" w14:textId="77777777" w:rsidR="008D0C53" w:rsidRPr="008B1975" w:rsidRDefault="008D0C53" w:rsidP="008D0C53">
            <w:pPr>
              <w:pStyle w:val="Tabletext"/>
            </w:pPr>
            <w:r w:rsidRPr="008B1975">
              <w:t>All</w:t>
            </w:r>
          </w:p>
        </w:tc>
      </w:tr>
    </w:tbl>
    <w:p w14:paraId="2C8B829C" w14:textId="77777777" w:rsidR="00985DE9" w:rsidRPr="008B1975" w:rsidRDefault="00946DEA" w:rsidP="00946DEA">
      <w:pPr>
        <w:pStyle w:val="ItemHead"/>
      </w:pPr>
      <w:bookmarkStart w:id="263" w:name="_Ref185278818"/>
      <w:r w:rsidRPr="008B1975">
        <w:t xml:space="preserve">2  </w:t>
      </w:r>
      <w:r w:rsidR="00985DE9" w:rsidRPr="008B1975">
        <w:t>Section 20.2 (table)</w:t>
      </w:r>
      <w:bookmarkEnd w:id="263"/>
    </w:p>
    <w:p w14:paraId="7F1E6BBE" w14:textId="77777777" w:rsidR="00985DE9" w:rsidRPr="008B1975" w:rsidRDefault="00985DE9" w:rsidP="00985DE9">
      <w:pPr>
        <w:pStyle w:val="Item"/>
      </w:pPr>
      <w:r w:rsidRPr="008B1975">
        <w:t>Repeal the table, substitute:</w:t>
      </w:r>
    </w:p>
    <w:p w14:paraId="4D184664" w14:textId="77777777" w:rsidR="00985DE9" w:rsidRPr="008B1975" w:rsidRDefault="00985DE9" w:rsidP="00985DE9">
      <w:pPr>
        <w:pStyle w:val="subsection"/>
      </w:pPr>
      <w:r w:rsidRPr="008B1975">
        <w:tab/>
        <w:t>(3)</w:t>
      </w:r>
      <w:r w:rsidRPr="008B1975">
        <w:tab/>
        <w:t>The following table specifies conveyances, premises and infrastructure this section applies to.</w:t>
      </w:r>
    </w:p>
    <w:p w14:paraId="37515999" w14:textId="77777777" w:rsidR="00985DE9" w:rsidRPr="008B1975" w:rsidRDefault="00985DE9" w:rsidP="00985DE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85DE9" w:rsidRPr="008B1975" w14:paraId="29B61E5E"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46E7124E" w14:textId="77777777" w:rsidR="00985DE9" w:rsidRPr="008B1975" w:rsidRDefault="00985DE9" w:rsidP="00DE081B">
            <w:pPr>
              <w:pStyle w:val="TableHeading"/>
            </w:pPr>
            <w:r w:rsidRPr="008B1975">
              <w:t>Application of this section</w:t>
            </w:r>
          </w:p>
        </w:tc>
      </w:tr>
      <w:tr w:rsidR="00985DE9" w:rsidRPr="008B1975" w14:paraId="49AB4C9F" w14:textId="77777777" w:rsidTr="00CC36E0">
        <w:trPr>
          <w:trHeight w:val="300"/>
          <w:tblHeader/>
        </w:trPr>
        <w:tc>
          <w:tcPr>
            <w:tcW w:w="1667" w:type="pct"/>
            <w:tcBorders>
              <w:top w:val="single" w:sz="6" w:space="0" w:color="auto"/>
              <w:left w:val="nil"/>
              <w:bottom w:val="single" w:sz="12" w:space="0" w:color="auto"/>
              <w:right w:val="nil"/>
            </w:tcBorders>
            <w:hideMark/>
          </w:tcPr>
          <w:p w14:paraId="4AB7C26E" w14:textId="77777777" w:rsidR="00985DE9" w:rsidRPr="008B1975" w:rsidRDefault="00985DE9"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06AADE57" w14:textId="77777777" w:rsidR="00985DE9" w:rsidRPr="008B1975" w:rsidRDefault="00985DE9"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6420640E" w14:textId="77777777" w:rsidR="00985DE9" w:rsidRPr="008B1975" w:rsidRDefault="00985DE9" w:rsidP="00DE081B">
            <w:pPr>
              <w:pStyle w:val="TableHeading"/>
            </w:pPr>
            <w:r w:rsidRPr="008B1975">
              <w:t>Infrastructure</w:t>
            </w:r>
          </w:p>
        </w:tc>
      </w:tr>
      <w:tr w:rsidR="00985DE9" w:rsidRPr="008B1975" w14:paraId="532FA561" w14:textId="77777777" w:rsidTr="00CC36E0">
        <w:trPr>
          <w:trHeight w:val="300"/>
        </w:trPr>
        <w:tc>
          <w:tcPr>
            <w:tcW w:w="1667" w:type="pct"/>
            <w:tcBorders>
              <w:top w:val="single" w:sz="12" w:space="0" w:color="auto"/>
              <w:left w:val="nil"/>
              <w:bottom w:val="single" w:sz="12" w:space="0" w:color="auto"/>
              <w:right w:val="nil"/>
            </w:tcBorders>
            <w:hideMark/>
          </w:tcPr>
          <w:p w14:paraId="4BA739F1" w14:textId="77777777" w:rsidR="00985DE9" w:rsidRPr="008B1975" w:rsidRDefault="00985DE9" w:rsidP="00DD5666">
            <w:pPr>
              <w:pStyle w:val="Tabletext"/>
            </w:pPr>
            <w:r w:rsidRPr="008B1975">
              <w:t>The following:</w:t>
            </w:r>
          </w:p>
          <w:p w14:paraId="6966A5A5" w14:textId="77777777" w:rsidR="00985DE9" w:rsidRPr="008B1975" w:rsidRDefault="00985DE9" w:rsidP="00DE081B">
            <w:pPr>
              <w:pStyle w:val="Tablea"/>
            </w:pPr>
            <w:r w:rsidRPr="008B1975">
              <w:t>(a) buses</w:t>
            </w:r>
            <w:r w:rsidR="00BA7325" w:rsidRPr="008B1975">
              <w:t>;</w:t>
            </w:r>
          </w:p>
          <w:p w14:paraId="21ED95A4" w14:textId="77777777" w:rsidR="00985DE9" w:rsidRPr="008B1975" w:rsidRDefault="00985DE9" w:rsidP="00DE081B">
            <w:pPr>
              <w:pStyle w:val="Tablea"/>
            </w:pPr>
            <w:r w:rsidRPr="008B1975">
              <w:t>(b) coaches</w:t>
            </w:r>
            <w:r w:rsidR="00BA7325" w:rsidRPr="008B1975">
              <w:t>;</w:t>
            </w:r>
          </w:p>
          <w:p w14:paraId="3292813B" w14:textId="77777777" w:rsidR="00985DE9" w:rsidRPr="008B1975" w:rsidRDefault="00985DE9" w:rsidP="00DE081B">
            <w:pPr>
              <w:pStyle w:val="Tablea"/>
            </w:pPr>
            <w:r w:rsidRPr="008B1975">
              <w:t>(c) ferries</w:t>
            </w:r>
            <w:r w:rsidR="00BA7325" w:rsidRPr="008B1975">
              <w:t>;</w:t>
            </w:r>
          </w:p>
          <w:p w14:paraId="3974874E" w14:textId="77777777" w:rsidR="00985DE9" w:rsidRPr="008B1975" w:rsidRDefault="00985DE9" w:rsidP="00DE081B">
            <w:pPr>
              <w:pStyle w:val="Tablea"/>
            </w:pPr>
            <w:r w:rsidRPr="008B1975">
              <w:t>(d) trains</w:t>
            </w:r>
            <w:r w:rsidR="00BA7325" w:rsidRPr="008B1975">
              <w:t>;</w:t>
            </w:r>
          </w:p>
          <w:p w14:paraId="46779121" w14:textId="77777777" w:rsidR="00985DE9" w:rsidRPr="008B1975" w:rsidRDefault="00985DE9" w:rsidP="00DE081B">
            <w:pPr>
              <w:pStyle w:val="Tablea"/>
            </w:pPr>
            <w:r w:rsidRPr="008B1975">
              <w:t>(e) trams</w:t>
            </w:r>
            <w:r w:rsidR="00BA7325" w:rsidRPr="008B1975">
              <w:t>;</w:t>
            </w:r>
          </w:p>
          <w:p w14:paraId="74077800" w14:textId="77777777" w:rsidR="00985DE9" w:rsidRPr="008B1975" w:rsidRDefault="00985DE9" w:rsidP="00DE081B">
            <w:pPr>
              <w:pStyle w:val="Tablea"/>
            </w:pPr>
            <w:r w:rsidRPr="008B1975">
              <w:t>(f) light rail</w:t>
            </w:r>
          </w:p>
        </w:tc>
        <w:tc>
          <w:tcPr>
            <w:tcW w:w="1667" w:type="pct"/>
            <w:tcBorders>
              <w:top w:val="single" w:sz="12" w:space="0" w:color="auto"/>
              <w:left w:val="nil"/>
              <w:bottom w:val="single" w:sz="12" w:space="0" w:color="auto"/>
              <w:right w:val="nil"/>
            </w:tcBorders>
            <w:hideMark/>
          </w:tcPr>
          <w:p w14:paraId="5D93901C" w14:textId="77777777" w:rsidR="00985DE9" w:rsidRPr="008B1975" w:rsidRDefault="00985DE9"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010C629C" w14:textId="77777777" w:rsidR="00985DE9" w:rsidRPr="008B1975" w:rsidRDefault="00985DE9" w:rsidP="00DE081B">
            <w:pPr>
              <w:pStyle w:val="Tabletext"/>
            </w:pPr>
            <w:r w:rsidRPr="008B1975">
              <w:t>None</w:t>
            </w:r>
          </w:p>
        </w:tc>
      </w:tr>
    </w:tbl>
    <w:p w14:paraId="65E8689B" w14:textId="77777777" w:rsidR="0039658B" w:rsidRPr="008B1975" w:rsidRDefault="00946DEA" w:rsidP="00946DEA">
      <w:pPr>
        <w:pStyle w:val="ItemHead"/>
      </w:pPr>
      <w:bookmarkStart w:id="264" w:name="_Ref190251902"/>
      <w:bookmarkStart w:id="265" w:name="_Ref185278834"/>
      <w:r w:rsidRPr="008B1975">
        <w:t xml:space="preserve">3  </w:t>
      </w:r>
      <w:r w:rsidR="0039658B" w:rsidRPr="008B1975">
        <w:t>Section 20.3</w:t>
      </w:r>
      <w:bookmarkEnd w:id="264"/>
    </w:p>
    <w:p w14:paraId="2001FCF8" w14:textId="77777777" w:rsidR="0039658B" w:rsidRPr="008B1975" w:rsidRDefault="0039658B" w:rsidP="0039658B">
      <w:pPr>
        <w:pStyle w:val="Item"/>
      </w:pPr>
      <w:r w:rsidRPr="008B1975">
        <w:t>Before “Internal”, insert “(1)”.</w:t>
      </w:r>
    </w:p>
    <w:p w14:paraId="075276D6" w14:textId="77777777" w:rsidR="0035685F" w:rsidRPr="008B1975" w:rsidRDefault="00946DEA" w:rsidP="00946DEA">
      <w:pPr>
        <w:pStyle w:val="ItemHead"/>
      </w:pPr>
      <w:bookmarkStart w:id="266" w:name="_Ref190251891"/>
      <w:r w:rsidRPr="008B1975">
        <w:t xml:space="preserve">4  </w:t>
      </w:r>
      <w:r w:rsidR="0035685F" w:rsidRPr="008B1975">
        <w:t>Section 20.3 (table)</w:t>
      </w:r>
      <w:bookmarkEnd w:id="265"/>
      <w:bookmarkEnd w:id="266"/>
    </w:p>
    <w:p w14:paraId="01A5A0D3" w14:textId="77777777" w:rsidR="0035685F" w:rsidRPr="008B1975" w:rsidRDefault="0035685F" w:rsidP="0035685F">
      <w:pPr>
        <w:pStyle w:val="Item"/>
      </w:pPr>
      <w:r w:rsidRPr="008B1975">
        <w:t>Repeal the table, substitute:</w:t>
      </w:r>
    </w:p>
    <w:p w14:paraId="4A177127" w14:textId="77777777" w:rsidR="0035685F" w:rsidRPr="008B1975" w:rsidRDefault="0035685F" w:rsidP="0035685F">
      <w:pPr>
        <w:pStyle w:val="subsection"/>
      </w:pPr>
      <w:r w:rsidRPr="008B1975">
        <w:tab/>
        <w:t>(2)</w:t>
      </w:r>
      <w:r w:rsidRPr="008B1975">
        <w:tab/>
        <w:t>The following table specifies conveyances, premises and infrastructure this section applies to.</w:t>
      </w:r>
    </w:p>
    <w:p w14:paraId="005CCF59" w14:textId="77777777" w:rsidR="0035685F" w:rsidRPr="008B1975" w:rsidRDefault="0035685F" w:rsidP="0035685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5685F" w:rsidRPr="008B1975" w14:paraId="0DD6F7D4" w14:textId="77777777" w:rsidTr="0035685F">
        <w:trPr>
          <w:trHeight w:val="300"/>
          <w:tblHeader/>
        </w:trPr>
        <w:tc>
          <w:tcPr>
            <w:tcW w:w="5000" w:type="pct"/>
            <w:gridSpan w:val="3"/>
            <w:tcBorders>
              <w:top w:val="single" w:sz="12" w:space="0" w:color="auto"/>
              <w:left w:val="nil"/>
              <w:bottom w:val="single" w:sz="6" w:space="0" w:color="auto"/>
              <w:right w:val="nil"/>
            </w:tcBorders>
            <w:hideMark/>
          </w:tcPr>
          <w:p w14:paraId="038B30AC" w14:textId="77777777" w:rsidR="0035685F" w:rsidRPr="008B1975" w:rsidRDefault="0035685F">
            <w:pPr>
              <w:pStyle w:val="TableHeading"/>
              <w:rPr>
                <w:lang w:eastAsia="en-US"/>
              </w:rPr>
            </w:pPr>
            <w:r w:rsidRPr="008B1975">
              <w:rPr>
                <w:lang w:eastAsia="en-US"/>
              </w:rPr>
              <w:lastRenderedPageBreak/>
              <w:t>Application of this section</w:t>
            </w:r>
          </w:p>
        </w:tc>
      </w:tr>
      <w:tr w:rsidR="0035685F" w:rsidRPr="008B1975" w14:paraId="32A05F1D" w14:textId="77777777" w:rsidTr="00CC36E0">
        <w:trPr>
          <w:trHeight w:val="300"/>
          <w:tblHeader/>
        </w:trPr>
        <w:tc>
          <w:tcPr>
            <w:tcW w:w="1667" w:type="pct"/>
            <w:tcBorders>
              <w:top w:val="single" w:sz="6" w:space="0" w:color="auto"/>
              <w:left w:val="nil"/>
              <w:bottom w:val="single" w:sz="12" w:space="0" w:color="auto"/>
              <w:right w:val="nil"/>
            </w:tcBorders>
            <w:hideMark/>
          </w:tcPr>
          <w:p w14:paraId="0AEE2A7D" w14:textId="77777777" w:rsidR="0035685F" w:rsidRPr="008B1975" w:rsidRDefault="0035685F">
            <w:pPr>
              <w:pStyle w:val="TableHeading"/>
              <w:rPr>
                <w:lang w:eastAsia="en-US"/>
              </w:rPr>
            </w:pPr>
            <w:r w:rsidRPr="008B1975">
              <w:rPr>
                <w:lang w:eastAsia="en-US"/>
              </w:rPr>
              <w:t>Conveyances</w:t>
            </w:r>
          </w:p>
        </w:tc>
        <w:tc>
          <w:tcPr>
            <w:tcW w:w="1667" w:type="pct"/>
            <w:tcBorders>
              <w:top w:val="single" w:sz="6" w:space="0" w:color="auto"/>
              <w:left w:val="nil"/>
              <w:bottom w:val="single" w:sz="12" w:space="0" w:color="auto"/>
              <w:right w:val="nil"/>
            </w:tcBorders>
            <w:hideMark/>
          </w:tcPr>
          <w:p w14:paraId="6DE0BFFB" w14:textId="77777777" w:rsidR="0035685F" w:rsidRPr="008B1975" w:rsidRDefault="0035685F">
            <w:pPr>
              <w:pStyle w:val="TableHeading"/>
              <w:rPr>
                <w:lang w:eastAsia="en-US"/>
              </w:rPr>
            </w:pPr>
            <w:r w:rsidRPr="008B1975">
              <w:rPr>
                <w:lang w:eastAsia="en-US"/>
              </w:rPr>
              <w:t>Premises</w:t>
            </w:r>
          </w:p>
        </w:tc>
        <w:tc>
          <w:tcPr>
            <w:tcW w:w="1667" w:type="pct"/>
            <w:tcBorders>
              <w:top w:val="single" w:sz="6" w:space="0" w:color="auto"/>
              <w:left w:val="nil"/>
              <w:bottom w:val="single" w:sz="12" w:space="0" w:color="auto"/>
              <w:right w:val="nil"/>
            </w:tcBorders>
            <w:hideMark/>
          </w:tcPr>
          <w:p w14:paraId="6231FC13" w14:textId="77777777" w:rsidR="0035685F" w:rsidRPr="008B1975" w:rsidRDefault="0035685F">
            <w:pPr>
              <w:pStyle w:val="TableHeading"/>
              <w:rPr>
                <w:lang w:eastAsia="en-US"/>
              </w:rPr>
            </w:pPr>
            <w:r w:rsidRPr="008B1975">
              <w:rPr>
                <w:lang w:eastAsia="en-US"/>
              </w:rPr>
              <w:t>Infrastructure</w:t>
            </w:r>
          </w:p>
        </w:tc>
      </w:tr>
      <w:tr w:rsidR="0035685F" w:rsidRPr="008B1975" w14:paraId="24916939" w14:textId="77777777" w:rsidTr="00CC36E0">
        <w:trPr>
          <w:trHeight w:val="300"/>
        </w:trPr>
        <w:tc>
          <w:tcPr>
            <w:tcW w:w="1667" w:type="pct"/>
            <w:tcBorders>
              <w:top w:val="single" w:sz="12" w:space="0" w:color="auto"/>
              <w:left w:val="nil"/>
              <w:bottom w:val="single" w:sz="12" w:space="0" w:color="auto"/>
              <w:right w:val="nil"/>
            </w:tcBorders>
            <w:hideMark/>
          </w:tcPr>
          <w:p w14:paraId="4D6D98D3" w14:textId="77777777" w:rsidR="0035685F" w:rsidRPr="008B1975" w:rsidRDefault="0035685F" w:rsidP="00DD5666">
            <w:pPr>
              <w:pStyle w:val="Tabletext"/>
            </w:pPr>
            <w:r w:rsidRPr="008B1975">
              <w:t>All</w:t>
            </w:r>
          </w:p>
        </w:tc>
        <w:tc>
          <w:tcPr>
            <w:tcW w:w="1667" w:type="pct"/>
            <w:tcBorders>
              <w:top w:val="single" w:sz="12" w:space="0" w:color="auto"/>
              <w:left w:val="nil"/>
              <w:bottom w:val="single" w:sz="12" w:space="0" w:color="auto"/>
              <w:right w:val="nil"/>
            </w:tcBorders>
            <w:hideMark/>
          </w:tcPr>
          <w:p w14:paraId="008CC6D3" w14:textId="77777777" w:rsidR="0035685F" w:rsidRPr="008B1975" w:rsidRDefault="0035685F">
            <w:pPr>
              <w:pStyle w:val="Tabletext"/>
              <w:rPr>
                <w:lang w:eastAsia="en-US"/>
              </w:rPr>
            </w:pPr>
            <w:r w:rsidRPr="008B1975">
              <w:rPr>
                <w:lang w:eastAsia="en-US"/>
              </w:rPr>
              <w:t>None</w:t>
            </w:r>
          </w:p>
        </w:tc>
        <w:tc>
          <w:tcPr>
            <w:tcW w:w="1667" w:type="pct"/>
            <w:tcBorders>
              <w:top w:val="single" w:sz="12" w:space="0" w:color="auto"/>
              <w:left w:val="nil"/>
              <w:bottom w:val="single" w:sz="12" w:space="0" w:color="auto"/>
              <w:right w:val="nil"/>
            </w:tcBorders>
            <w:hideMark/>
          </w:tcPr>
          <w:p w14:paraId="33B43CE8" w14:textId="77777777" w:rsidR="0035685F" w:rsidRPr="008B1975" w:rsidRDefault="0035685F">
            <w:pPr>
              <w:pStyle w:val="Tabletext"/>
              <w:rPr>
                <w:lang w:eastAsia="en-US"/>
              </w:rPr>
            </w:pPr>
            <w:r w:rsidRPr="008B1975">
              <w:rPr>
                <w:lang w:eastAsia="en-US"/>
              </w:rPr>
              <w:t>None</w:t>
            </w:r>
          </w:p>
        </w:tc>
      </w:tr>
    </w:tbl>
    <w:p w14:paraId="797E85FC" w14:textId="77777777" w:rsidR="00824838" w:rsidRPr="008B1975" w:rsidRDefault="00824838" w:rsidP="00824838">
      <w:pPr>
        <w:pStyle w:val="ActHead6"/>
        <w:pageBreakBefore/>
        <w:rPr>
          <w:rStyle w:val="CharAmSchText"/>
        </w:rPr>
      </w:pPr>
      <w:bookmarkStart w:id="267" w:name="_Toc197178970"/>
      <w:r w:rsidRPr="008B1975">
        <w:lastRenderedPageBreak/>
        <w:t>Schedule 21—Part 21 (Controls) Amendments</w:t>
      </w:r>
      <w:bookmarkEnd w:id="267"/>
    </w:p>
    <w:p w14:paraId="05E707AE" w14:textId="77777777" w:rsidR="00824838" w:rsidRPr="008B1975" w:rsidRDefault="00824838" w:rsidP="00824838">
      <w:pPr>
        <w:pStyle w:val="ActHead9"/>
      </w:pPr>
      <w:bookmarkStart w:id="268" w:name="_Toc197178971"/>
      <w:r w:rsidRPr="008B1975">
        <w:t>Disability Standards for Accessible Public Transport 2002</w:t>
      </w:r>
      <w:bookmarkEnd w:id="268"/>
    </w:p>
    <w:p w14:paraId="0B1E421B" w14:textId="77777777" w:rsidR="00FB42CC" w:rsidRPr="008B1975" w:rsidRDefault="00946DEA" w:rsidP="00946DEA">
      <w:pPr>
        <w:pStyle w:val="ItemHead"/>
      </w:pPr>
      <w:bookmarkStart w:id="269" w:name="_Ref185340331"/>
      <w:r w:rsidRPr="008B1975">
        <w:t xml:space="preserve">1  </w:t>
      </w:r>
      <w:r w:rsidR="00FB42CC" w:rsidRPr="008B1975">
        <w:t>Part 21 (heading)</w:t>
      </w:r>
      <w:bookmarkEnd w:id="269"/>
    </w:p>
    <w:p w14:paraId="22DAB983" w14:textId="77777777" w:rsidR="00FB42CC" w:rsidRPr="008B1975" w:rsidRDefault="00FB42CC" w:rsidP="001715D4">
      <w:pPr>
        <w:pStyle w:val="Item"/>
      </w:pPr>
      <w:r w:rsidRPr="008B1975">
        <w:t>Omit “</w:t>
      </w:r>
      <w:r w:rsidRPr="008B1975">
        <w:rPr>
          <w:b/>
        </w:rPr>
        <w:t>Controls</w:t>
      </w:r>
      <w:r w:rsidRPr="008B1975">
        <w:t>”, substitute “</w:t>
      </w:r>
      <w:r w:rsidRPr="008B1975">
        <w:rPr>
          <w:b/>
        </w:rPr>
        <w:t>Door</w:t>
      </w:r>
      <w:r w:rsidRPr="008B1975">
        <w:t xml:space="preserve"> </w:t>
      </w:r>
      <w:r w:rsidRPr="008B1975">
        <w:rPr>
          <w:b/>
        </w:rPr>
        <w:t>controls</w:t>
      </w:r>
      <w:r w:rsidR="008A1228" w:rsidRPr="008B1975">
        <w:rPr>
          <w:b/>
        </w:rPr>
        <w:t>, switches and general purpose outlets</w:t>
      </w:r>
      <w:r w:rsidRPr="008B1975">
        <w:t>”.</w:t>
      </w:r>
    </w:p>
    <w:p w14:paraId="3C0B96CE" w14:textId="77777777" w:rsidR="00FB42CC" w:rsidRPr="008B1975" w:rsidRDefault="00946DEA" w:rsidP="00946DEA">
      <w:pPr>
        <w:pStyle w:val="ItemHead"/>
      </w:pPr>
      <w:bookmarkStart w:id="270" w:name="_Ref185278997"/>
      <w:r w:rsidRPr="008B1975">
        <w:t xml:space="preserve">2  </w:t>
      </w:r>
      <w:r w:rsidR="00FB42CC" w:rsidRPr="008B1975">
        <w:t>Sections 21.1 to 21.3</w:t>
      </w:r>
      <w:bookmarkEnd w:id="270"/>
    </w:p>
    <w:p w14:paraId="23A529DD" w14:textId="77777777" w:rsidR="00FB42CC" w:rsidRPr="008B1975" w:rsidRDefault="00FB42CC" w:rsidP="001715D4">
      <w:pPr>
        <w:pStyle w:val="Item"/>
      </w:pPr>
      <w:r w:rsidRPr="008B1975">
        <w:t>Repeal the section</w:t>
      </w:r>
      <w:r w:rsidR="006202EA" w:rsidRPr="008B1975">
        <w:t>s</w:t>
      </w:r>
      <w:r w:rsidRPr="008B1975">
        <w:t>, substitute:</w:t>
      </w:r>
    </w:p>
    <w:p w14:paraId="1243D2A3" w14:textId="77777777" w:rsidR="00FB42CC" w:rsidRPr="008B1975" w:rsidRDefault="00FB42CC" w:rsidP="001715D4">
      <w:pPr>
        <w:pStyle w:val="ActHead5"/>
        <w:outlineLvl w:val="9"/>
      </w:pPr>
      <w:r w:rsidRPr="008B1975">
        <w:t>21.1  Door control requirements for premises and infrastructure</w:t>
      </w:r>
    </w:p>
    <w:p w14:paraId="4EF47867" w14:textId="77777777" w:rsidR="00FB42CC" w:rsidRPr="008B1975" w:rsidRDefault="00FB42CC" w:rsidP="001715D4">
      <w:pPr>
        <w:pStyle w:val="subsection"/>
      </w:pPr>
      <w:r w:rsidRPr="008B1975">
        <w:tab/>
        <w:t>(1)</w:t>
      </w:r>
      <w:r w:rsidRPr="008B1975">
        <w:tab/>
        <w:t>Door controls must comply with clause 10.4 (door controls) of AS 1428.1 (2021)</w:t>
      </w:r>
    </w:p>
    <w:p w14:paraId="13BBE24F" w14:textId="77777777" w:rsidR="00383043" w:rsidRPr="008B1975" w:rsidRDefault="00FB42CC" w:rsidP="00383043">
      <w:pPr>
        <w:pStyle w:val="subsection"/>
      </w:pPr>
      <w:r w:rsidRPr="008B1975">
        <w:tab/>
        <w:t>(2)</w:t>
      </w:r>
      <w:r w:rsidRPr="008B1975">
        <w:tab/>
        <w:t>Door handles must have a luminance contrast of not less than 30%</w:t>
      </w:r>
      <w:r w:rsidR="00383043" w:rsidRPr="008B1975">
        <w:t>, as tested in accordance with Appendix B of AS1428.1 (2021),</w:t>
      </w:r>
      <w:r w:rsidRPr="008B1975">
        <w:t xml:space="preserve"> when view</w:t>
      </w:r>
      <w:r w:rsidR="00BA7325" w:rsidRPr="008B1975">
        <w:t>ed</w:t>
      </w:r>
      <w:r w:rsidRPr="008B1975">
        <w:t xml:space="preserve"> against the rest of the door.</w:t>
      </w:r>
    </w:p>
    <w:p w14:paraId="29E5B0D7" w14:textId="77777777" w:rsidR="00FB42CC" w:rsidRPr="008B1975" w:rsidRDefault="00FB42CC" w:rsidP="001715D4">
      <w:pPr>
        <w:pStyle w:val="subsection"/>
      </w:pPr>
      <w:r w:rsidRPr="008B1975">
        <w:tab/>
        <w:t>(3)</w:t>
      </w:r>
      <w:r w:rsidRPr="008B1975">
        <w:tab/>
        <w:t>The following table specifies which conveyances, premises and infrastructure this section applies to.</w:t>
      </w:r>
    </w:p>
    <w:p w14:paraId="6BBDEE29" w14:textId="77777777" w:rsidR="00FB42CC" w:rsidRPr="008B1975" w:rsidRDefault="00FB42CC"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2A648AE6"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706694BA" w14:textId="77777777" w:rsidR="00FB42CC" w:rsidRPr="008B1975" w:rsidRDefault="00FB42CC" w:rsidP="001715D4">
            <w:pPr>
              <w:pStyle w:val="TableHeading"/>
            </w:pPr>
            <w:r w:rsidRPr="008B1975">
              <w:t>Application of this section</w:t>
            </w:r>
          </w:p>
        </w:tc>
      </w:tr>
      <w:tr w:rsidR="00FB42CC" w:rsidRPr="008B1975" w14:paraId="10DD6EDD" w14:textId="77777777" w:rsidTr="00CC36E0">
        <w:trPr>
          <w:trHeight w:val="300"/>
          <w:tblHeader/>
        </w:trPr>
        <w:tc>
          <w:tcPr>
            <w:tcW w:w="1667" w:type="pct"/>
            <w:tcBorders>
              <w:top w:val="single" w:sz="6" w:space="0" w:color="auto"/>
              <w:left w:val="nil"/>
              <w:bottom w:val="single" w:sz="12" w:space="0" w:color="auto"/>
              <w:right w:val="nil"/>
            </w:tcBorders>
            <w:hideMark/>
          </w:tcPr>
          <w:p w14:paraId="6E315F9C" w14:textId="77777777" w:rsidR="00FB42CC" w:rsidRPr="008B1975" w:rsidRDefault="00FB42CC"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772DDD81" w14:textId="77777777" w:rsidR="00FB42CC" w:rsidRPr="008B1975" w:rsidRDefault="00FB42CC"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35978531" w14:textId="77777777" w:rsidR="00FB42CC" w:rsidRPr="008B1975" w:rsidRDefault="00FB42CC" w:rsidP="001715D4">
            <w:pPr>
              <w:pStyle w:val="TableHeading"/>
            </w:pPr>
            <w:r w:rsidRPr="008B1975">
              <w:t>Infrastructure</w:t>
            </w:r>
          </w:p>
        </w:tc>
      </w:tr>
      <w:tr w:rsidR="00FB42CC" w:rsidRPr="008B1975" w14:paraId="355DD92D" w14:textId="77777777" w:rsidTr="00CC36E0">
        <w:trPr>
          <w:trHeight w:val="300"/>
        </w:trPr>
        <w:tc>
          <w:tcPr>
            <w:tcW w:w="1667" w:type="pct"/>
            <w:tcBorders>
              <w:top w:val="single" w:sz="12" w:space="0" w:color="auto"/>
              <w:left w:val="nil"/>
              <w:bottom w:val="single" w:sz="12" w:space="0" w:color="auto"/>
              <w:right w:val="nil"/>
            </w:tcBorders>
            <w:hideMark/>
          </w:tcPr>
          <w:p w14:paraId="19F2C165" w14:textId="77777777" w:rsidR="00FB42CC" w:rsidRPr="008B1975" w:rsidRDefault="00FB42CC"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10F20082" w14:textId="77777777" w:rsidR="00FB42CC" w:rsidRPr="008B1975" w:rsidRDefault="00FB42CC" w:rsidP="001715D4">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2F0A3346" w14:textId="77777777" w:rsidR="00FB42CC" w:rsidRPr="008B1975" w:rsidRDefault="00FB42CC" w:rsidP="001715D4">
            <w:pPr>
              <w:pStyle w:val="Tabletext"/>
            </w:pPr>
            <w:r w:rsidRPr="008B1975">
              <w:t>All</w:t>
            </w:r>
          </w:p>
        </w:tc>
      </w:tr>
    </w:tbl>
    <w:p w14:paraId="6C615788" w14:textId="77777777" w:rsidR="00FB42CC" w:rsidRPr="008B1975" w:rsidRDefault="00FB42CC" w:rsidP="001715D4">
      <w:pPr>
        <w:pStyle w:val="ActHead5"/>
        <w:outlineLvl w:val="9"/>
      </w:pPr>
      <w:r w:rsidRPr="008B1975">
        <w:t>21.2  Passenger-operated devices for opening and closing doors</w:t>
      </w:r>
    </w:p>
    <w:p w14:paraId="6D67E17B" w14:textId="77777777" w:rsidR="00FB42CC" w:rsidRPr="008B1975" w:rsidRDefault="00FB42CC" w:rsidP="001715D4">
      <w:pPr>
        <w:pStyle w:val="subsection"/>
      </w:pPr>
      <w:r w:rsidRPr="008B1975">
        <w:tab/>
        <w:t>(1)</w:t>
      </w:r>
      <w:r w:rsidRPr="008B1975">
        <w:tab/>
        <w:t>Passenger-operated devices for opening and closing manual and power-assisted doors on conveyance must comply with the following from</w:t>
      </w:r>
      <w:r w:rsidR="0035685F" w:rsidRPr="008B1975">
        <w:t xml:space="preserve"> AS1428.1 (2021):</w:t>
      </w:r>
    </w:p>
    <w:p w14:paraId="45422D3C" w14:textId="77777777" w:rsidR="00FB42CC" w:rsidRPr="008B1975" w:rsidRDefault="00FB42CC" w:rsidP="001715D4">
      <w:pPr>
        <w:pStyle w:val="paragraph"/>
      </w:pPr>
      <w:r w:rsidRPr="008B1975">
        <w:tab/>
        <w:t>(a)</w:t>
      </w:r>
      <w:r w:rsidRPr="008B1975">
        <w:tab/>
        <w:t>clause 10.4 (door controls)</w:t>
      </w:r>
      <w:r w:rsidR="00AE6E2E" w:rsidRPr="008B1975">
        <w:t>;</w:t>
      </w:r>
    </w:p>
    <w:p w14:paraId="16CE32E3" w14:textId="77777777" w:rsidR="00FB42CC" w:rsidRPr="008B1975" w:rsidRDefault="00FB42CC" w:rsidP="001715D4">
      <w:pPr>
        <w:pStyle w:val="paragraph"/>
      </w:pPr>
      <w:r w:rsidRPr="008B1975">
        <w:tab/>
        <w:t>(b)</w:t>
      </w:r>
      <w:r w:rsidRPr="008B1975">
        <w:tab/>
        <w:t>section 11 (switches and general purpose outlets)</w:t>
      </w:r>
      <w:r w:rsidR="00AE6E2E" w:rsidRPr="008B1975">
        <w:t>.</w:t>
      </w:r>
    </w:p>
    <w:p w14:paraId="7F82EB01" w14:textId="77777777" w:rsidR="00FB42CC" w:rsidRPr="008B1975" w:rsidRDefault="00FB42CC" w:rsidP="001715D4">
      <w:pPr>
        <w:pStyle w:val="subsection"/>
      </w:pPr>
      <w:r w:rsidRPr="008B1975">
        <w:tab/>
        <w:t>(2)</w:t>
      </w:r>
      <w:r w:rsidRPr="008B1975">
        <w:tab/>
        <w:t>Door handles must have a luminance contrast of not less than 30%</w:t>
      </w:r>
      <w:r w:rsidR="00383043" w:rsidRPr="008B1975">
        <w:t>, as tested in accordance with Appendix B of AS1428.1 (2021),</w:t>
      </w:r>
      <w:r w:rsidRPr="008B1975">
        <w:t xml:space="preserve"> when view</w:t>
      </w:r>
      <w:r w:rsidR="00BA7325" w:rsidRPr="008B1975">
        <w:t>ed</w:t>
      </w:r>
      <w:r w:rsidRPr="008B1975">
        <w:t xml:space="preserve"> against</w:t>
      </w:r>
      <w:r w:rsidR="00383043" w:rsidRPr="008B1975">
        <w:t xml:space="preserve"> the rest of the door</w:t>
      </w:r>
      <w:r w:rsidRPr="008B1975">
        <w:t>.</w:t>
      </w:r>
    </w:p>
    <w:p w14:paraId="5C7E7C93" w14:textId="77777777" w:rsidR="00FB42CC" w:rsidRPr="008B1975" w:rsidRDefault="00FB42CC" w:rsidP="001715D4">
      <w:pPr>
        <w:pStyle w:val="subsection"/>
      </w:pPr>
      <w:r w:rsidRPr="008B1975">
        <w:tab/>
        <w:t>(3)</w:t>
      </w:r>
      <w:r w:rsidRPr="008B1975">
        <w:tab/>
        <w:t>The following table specifies which conveyances, premises and infrastructure this section applies to.</w:t>
      </w:r>
    </w:p>
    <w:p w14:paraId="7B7DECF0" w14:textId="77777777" w:rsidR="00FB42CC" w:rsidRPr="008B1975" w:rsidRDefault="00FB42CC"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4202F124"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28F7B5B7" w14:textId="77777777" w:rsidR="00FB42CC" w:rsidRPr="008B1975" w:rsidRDefault="00FB42CC" w:rsidP="001715D4">
            <w:pPr>
              <w:pStyle w:val="TableHeading"/>
            </w:pPr>
            <w:r w:rsidRPr="008B1975">
              <w:t>Application of this section</w:t>
            </w:r>
          </w:p>
        </w:tc>
      </w:tr>
      <w:tr w:rsidR="00FB42CC" w:rsidRPr="008B1975" w14:paraId="5606416B" w14:textId="77777777" w:rsidTr="00CC36E0">
        <w:trPr>
          <w:trHeight w:val="300"/>
          <w:tblHeader/>
        </w:trPr>
        <w:tc>
          <w:tcPr>
            <w:tcW w:w="1667" w:type="pct"/>
            <w:tcBorders>
              <w:top w:val="single" w:sz="6" w:space="0" w:color="auto"/>
              <w:left w:val="nil"/>
              <w:bottom w:val="single" w:sz="12" w:space="0" w:color="auto"/>
              <w:right w:val="nil"/>
            </w:tcBorders>
            <w:hideMark/>
          </w:tcPr>
          <w:p w14:paraId="05E9CCBF" w14:textId="77777777" w:rsidR="00FB42CC" w:rsidRPr="008B1975" w:rsidRDefault="00FB42CC"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7560669E" w14:textId="77777777" w:rsidR="00FB42CC" w:rsidRPr="008B1975" w:rsidRDefault="00FB42CC"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0E4DB430" w14:textId="77777777" w:rsidR="00FB42CC" w:rsidRPr="008B1975" w:rsidRDefault="00FB42CC" w:rsidP="001715D4">
            <w:pPr>
              <w:pStyle w:val="TableHeading"/>
            </w:pPr>
            <w:r w:rsidRPr="008B1975">
              <w:t>Infrastructure</w:t>
            </w:r>
          </w:p>
        </w:tc>
      </w:tr>
      <w:tr w:rsidR="00FB42CC" w:rsidRPr="008B1975" w14:paraId="5D516C12" w14:textId="77777777" w:rsidTr="00CC36E0">
        <w:trPr>
          <w:trHeight w:val="300"/>
        </w:trPr>
        <w:tc>
          <w:tcPr>
            <w:tcW w:w="1667" w:type="pct"/>
            <w:tcBorders>
              <w:top w:val="single" w:sz="12" w:space="0" w:color="auto"/>
              <w:left w:val="nil"/>
              <w:bottom w:val="single" w:sz="12" w:space="0" w:color="auto"/>
              <w:right w:val="nil"/>
            </w:tcBorders>
            <w:hideMark/>
          </w:tcPr>
          <w:p w14:paraId="4908979D" w14:textId="77777777" w:rsidR="00FB42CC" w:rsidRPr="008B1975" w:rsidRDefault="00FB42CC" w:rsidP="001715D4">
            <w:pPr>
              <w:pStyle w:val="Tabletext"/>
            </w:pPr>
            <w:r w:rsidRPr="008B1975">
              <w:t>The following:</w:t>
            </w:r>
          </w:p>
          <w:p w14:paraId="69AD3188" w14:textId="77777777" w:rsidR="00FB42CC" w:rsidRPr="008B1975" w:rsidRDefault="00FB42CC" w:rsidP="001715D4">
            <w:pPr>
              <w:pStyle w:val="Tablea"/>
            </w:pPr>
            <w:r w:rsidRPr="008B1975">
              <w:t xml:space="preserve">(a) </w:t>
            </w:r>
            <w:r w:rsidR="00D23120" w:rsidRPr="008B1975">
              <w:t>b</w:t>
            </w:r>
            <w:r w:rsidRPr="008B1975">
              <w:t>uses</w:t>
            </w:r>
            <w:r w:rsidR="00D826A9" w:rsidRPr="008B1975">
              <w:t>;</w:t>
            </w:r>
          </w:p>
          <w:p w14:paraId="345223E5" w14:textId="77777777" w:rsidR="00FB42CC" w:rsidRPr="008B1975" w:rsidRDefault="00FB42CC" w:rsidP="001715D4">
            <w:pPr>
              <w:pStyle w:val="Tablea"/>
            </w:pPr>
            <w:r w:rsidRPr="008B1975">
              <w:t xml:space="preserve">(b) </w:t>
            </w:r>
            <w:r w:rsidR="00D23120" w:rsidRPr="008B1975">
              <w:t>c</w:t>
            </w:r>
            <w:r w:rsidRPr="008B1975">
              <w:t>oaches</w:t>
            </w:r>
            <w:r w:rsidR="00D826A9" w:rsidRPr="008B1975">
              <w:t>;</w:t>
            </w:r>
          </w:p>
          <w:p w14:paraId="4E37DAD6" w14:textId="77777777" w:rsidR="00FB42CC" w:rsidRPr="008B1975" w:rsidRDefault="00FB42CC" w:rsidP="001715D4">
            <w:pPr>
              <w:pStyle w:val="Tablea"/>
            </w:pPr>
            <w:r w:rsidRPr="008B1975">
              <w:t xml:space="preserve">(c) </w:t>
            </w:r>
            <w:r w:rsidR="00D23120" w:rsidRPr="008B1975">
              <w:t>f</w:t>
            </w:r>
            <w:r w:rsidRPr="008B1975">
              <w:t>erries</w:t>
            </w:r>
            <w:r w:rsidR="00D826A9" w:rsidRPr="008B1975">
              <w:t>;</w:t>
            </w:r>
          </w:p>
          <w:p w14:paraId="4FD32AFE" w14:textId="77777777" w:rsidR="00FB42CC" w:rsidRPr="008B1975" w:rsidRDefault="00FB42CC" w:rsidP="001715D4">
            <w:pPr>
              <w:pStyle w:val="Tablea"/>
            </w:pPr>
            <w:r w:rsidRPr="008B1975">
              <w:t xml:space="preserve">(d) </w:t>
            </w:r>
            <w:r w:rsidR="00D23120" w:rsidRPr="008B1975">
              <w:t>t</w:t>
            </w:r>
            <w:r w:rsidRPr="008B1975">
              <w:t>rains</w:t>
            </w:r>
            <w:r w:rsidR="00BA7325" w:rsidRPr="008B1975">
              <w:t>;</w:t>
            </w:r>
          </w:p>
          <w:p w14:paraId="732537A6" w14:textId="77777777" w:rsidR="00FB42CC" w:rsidRPr="008B1975" w:rsidRDefault="00FB42CC" w:rsidP="001715D4">
            <w:pPr>
              <w:pStyle w:val="Tablea"/>
            </w:pPr>
            <w:r w:rsidRPr="008B1975">
              <w:t xml:space="preserve">(e) </w:t>
            </w:r>
            <w:r w:rsidR="00D23120" w:rsidRPr="008B1975">
              <w:t>t</w:t>
            </w:r>
            <w:r w:rsidRPr="008B1975">
              <w:t>rams</w:t>
            </w:r>
            <w:r w:rsidR="00BA7325" w:rsidRPr="008B1975">
              <w:t>;</w:t>
            </w:r>
          </w:p>
          <w:p w14:paraId="75D4D24A" w14:textId="77777777" w:rsidR="00FB42CC" w:rsidRPr="008B1975" w:rsidRDefault="00FB42CC" w:rsidP="001715D4">
            <w:pPr>
              <w:pStyle w:val="Tablea"/>
            </w:pPr>
            <w:r w:rsidRPr="008B1975">
              <w:lastRenderedPageBreak/>
              <w:t xml:space="preserve">(f) </w:t>
            </w:r>
            <w:r w:rsidR="00903116" w:rsidRPr="008B1975">
              <w:t>l</w:t>
            </w:r>
            <w:r w:rsidRPr="008B1975">
              <w:t>ight rail</w:t>
            </w:r>
          </w:p>
        </w:tc>
        <w:tc>
          <w:tcPr>
            <w:tcW w:w="1667" w:type="pct"/>
            <w:tcBorders>
              <w:top w:val="single" w:sz="12" w:space="0" w:color="auto"/>
              <w:left w:val="nil"/>
              <w:bottom w:val="single" w:sz="12" w:space="0" w:color="auto"/>
              <w:right w:val="nil"/>
            </w:tcBorders>
          </w:tcPr>
          <w:p w14:paraId="00944BCF" w14:textId="77777777" w:rsidR="00FB42CC" w:rsidRPr="008B1975" w:rsidRDefault="00FB42CC" w:rsidP="001715D4">
            <w:pPr>
              <w:pStyle w:val="Tabletext"/>
            </w:pPr>
            <w:r w:rsidRPr="008B1975">
              <w:lastRenderedPageBreak/>
              <w:t>None</w:t>
            </w:r>
          </w:p>
        </w:tc>
        <w:tc>
          <w:tcPr>
            <w:tcW w:w="1667" w:type="pct"/>
            <w:tcBorders>
              <w:top w:val="single" w:sz="12" w:space="0" w:color="auto"/>
              <w:left w:val="nil"/>
              <w:bottom w:val="single" w:sz="12" w:space="0" w:color="auto"/>
              <w:right w:val="nil"/>
            </w:tcBorders>
          </w:tcPr>
          <w:p w14:paraId="542CFF77" w14:textId="77777777" w:rsidR="00FB42CC" w:rsidRPr="008B1975" w:rsidRDefault="00FB42CC" w:rsidP="001715D4">
            <w:pPr>
              <w:pStyle w:val="Tabletext"/>
            </w:pPr>
            <w:r w:rsidRPr="008B1975">
              <w:t>None</w:t>
            </w:r>
          </w:p>
        </w:tc>
      </w:tr>
    </w:tbl>
    <w:p w14:paraId="17ABCCCD" w14:textId="77777777" w:rsidR="00D23120" w:rsidRPr="008B1975" w:rsidRDefault="00FB42CC" w:rsidP="001715D4">
      <w:pPr>
        <w:pStyle w:val="ActHead5"/>
        <w:outlineLvl w:val="9"/>
      </w:pPr>
      <w:r w:rsidRPr="008B1975">
        <w:t>21.3  Location of passenger-operated controls for opening and locking doors</w:t>
      </w:r>
    </w:p>
    <w:p w14:paraId="34DC9B48" w14:textId="77777777" w:rsidR="00D23120" w:rsidRPr="008B1975" w:rsidRDefault="00D23120" w:rsidP="001715D4">
      <w:pPr>
        <w:pStyle w:val="subsection"/>
      </w:pPr>
      <w:r w:rsidRPr="008B1975">
        <w:tab/>
        <w:t>(1)</w:t>
      </w:r>
      <w:r w:rsidRPr="008B1975">
        <w:tab/>
        <w:t>Passenger‑operated opening and locking controls for doors on conveyances must be located according to</w:t>
      </w:r>
      <w:r w:rsidR="00EA008E" w:rsidRPr="008B1975">
        <w:t xml:space="preserve"> clause 10.4.3 of</w:t>
      </w:r>
      <w:r w:rsidRPr="008B1975">
        <w:t xml:space="preserve"> </w:t>
      </w:r>
      <w:r w:rsidR="00EA008E" w:rsidRPr="008B1975">
        <w:t>AS</w:t>
      </w:r>
      <w:r w:rsidR="008D5BB1" w:rsidRPr="008B1975">
        <w:t xml:space="preserve"> </w:t>
      </w:r>
      <w:r w:rsidR="00EA008E" w:rsidRPr="008B1975">
        <w:t>1428.1 (2021).</w:t>
      </w:r>
    </w:p>
    <w:p w14:paraId="0E3DE596" w14:textId="77777777" w:rsidR="00903116" w:rsidRPr="008B1975" w:rsidRDefault="00903116" w:rsidP="001715D4">
      <w:pPr>
        <w:pStyle w:val="subsection"/>
      </w:pPr>
      <w:r w:rsidRPr="008B1975">
        <w:tab/>
        <w:t>(2)</w:t>
      </w:r>
      <w:r w:rsidRPr="008B1975">
        <w:tab/>
        <w:t>The following table specifies which conveyances, premises and infrastructure this section applies to.</w:t>
      </w:r>
    </w:p>
    <w:p w14:paraId="779D6974" w14:textId="77777777" w:rsidR="00903116" w:rsidRPr="008B1975" w:rsidRDefault="00903116"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03116" w:rsidRPr="008B1975" w14:paraId="710B1E6F" w14:textId="77777777" w:rsidTr="00ED239A">
        <w:trPr>
          <w:trHeight w:val="300"/>
          <w:tblHeader/>
        </w:trPr>
        <w:tc>
          <w:tcPr>
            <w:tcW w:w="5000" w:type="pct"/>
            <w:gridSpan w:val="3"/>
            <w:tcBorders>
              <w:top w:val="single" w:sz="12" w:space="0" w:color="auto"/>
              <w:left w:val="nil"/>
              <w:bottom w:val="single" w:sz="6" w:space="0" w:color="auto"/>
              <w:right w:val="nil"/>
            </w:tcBorders>
            <w:hideMark/>
          </w:tcPr>
          <w:p w14:paraId="6CE38FA8" w14:textId="77777777" w:rsidR="00903116" w:rsidRPr="008B1975" w:rsidRDefault="00903116" w:rsidP="001715D4">
            <w:pPr>
              <w:pStyle w:val="TableHeading"/>
            </w:pPr>
            <w:r w:rsidRPr="008B1975">
              <w:t>Application of this section</w:t>
            </w:r>
          </w:p>
        </w:tc>
      </w:tr>
      <w:tr w:rsidR="00903116" w:rsidRPr="008B1975" w14:paraId="7C604CEB" w14:textId="77777777" w:rsidTr="00CC36E0">
        <w:trPr>
          <w:trHeight w:val="300"/>
          <w:tblHeader/>
        </w:trPr>
        <w:tc>
          <w:tcPr>
            <w:tcW w:w="1667" w:type="pct"/>
            <w:tcBorders>
              <w:top w:val="single" w:sz="6" w:space="0" w:color="auto"/>
              <w:left w:val="nil"/>
              <w:bottom w:val="single" w:sz="12" w:space="0" w:color="auto"/>
              <w:right w:val="nil"/>
            </w:tcBorders>
            <w:hideMark/>
          </w:tcPr>
          <w:p w14:paraId="529B72A6" w14:textId="77777777" w:rsidR="00903116" w:rsidRPr="008B1975" w:rsidRDefault="00903116"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308A1A8E" w14:textId="77777777" w:rsidR="00903116" w:rsidRPr="008B1975" w:rsidRDefault="00903116"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3D2981AB" w14:textId="77777777" w:rsidR="00903116" w:rsidRPr="008B1975" w:rsidRDefault="00903116" w:rsidP="001715D4">
            <w:pPr>
              <w:pStyle w:val="TableHeading"/>
            </w:pPr>
            <w:r w:rsidRPr="008B1975">
              <w:t>Infrastructure</w:t>
            </w:r>
          </w:p>
        </w:tc>
      </w:tr>
      <w:tr w:rsidR="00903116" w:rsidRPr="008B1975" w14:paraId="435CC7AD" w14:textId="77777777" w:rsidTr="00CC36E0">
        <w:trPr>
          <w:trHeight w:val="300"/>
        </w:trPr>
        <w:tc>
          <w:tcPr>
            <w:tcW w:w="1667" w:type="pct"/>
            <w:tcBorders>
              <w:top w:val="single" w:sz="12" w:space="0" w:color="auto"/>
              <w:left w:val="nil"/>
              <w:bottom w:val="single" w:sz="12" w:space="0" w:color="auto"/>
              <w:right w:val="nil"/>
            </w:tcBorders>
            <w:hideMark/>
          </w:tcPr>
          <w:p w14:paraId="1573BE5F" w14:textId="77777777" w:rsidR="00903116" w:rsidRPr="008B1975" w:rsidRDefault="00903116" w:rsidP="001715D4">
            <w:pPr>
              <w:pStyle w:val="Tabletext"/>
            </w:pPr>
            <w:r w:rsidRPr="008B1975">
              <w:t>The following:</w:t>
            </w:r>
          </w:p>
          <w:p w14:paraId="145B04AD" w14:textId="77777777" w:rsidR="00903116" w:rsidRPr="008B1975" w:rsidRDefault="00903116" w:rsidP="001715D4">
            <w:pPr>
              <w:pStyle w:val="Tablea"/>
            </w:pPr>
            <w:r w:rsidRPr="008B1975">
              <w:t>(a) buses</w:t>
            </w:r>
            <w:r w:rsidR="008D5BB1" w:rsidRPr="008B1975">
              <w:t>;</w:t>
            </w:r>
          </w:p>
          <w:p w14:paraId="02CF233D" w14:textId="77777777" w:rsidR="00903116" w:rsidRPr="008B1975" w:rsidRDefault="00903116" w:rsidP="001715D4">
            <w:pPr>
              <w:pStyle w:val="Tablea"/>
            </w:pPr>
            <w:r w:rsidRPr="008B1975">
              <w:t>(b) coaches</w:t>
            </w:r>
            <w:r w:rsidR="008D5BB1" w:rsidRPr="008B1975">
              <w:t>;</w:t>
            </w:r>
          </w:p>
          <w:p w14:paraId="5F878C16" w14:textId="77777777" w:rsidR="00903116" w:rsidRPr="008B1975" w:rsidRDefault="00903116" w:rsidP="001715D4">
            <w:pPr>
              <w:pStyle w:val="Tablea"/>
            </w:pPr>
            <w:r w:rsidRPr="008B1975">
              <w:t>(c) ferries</w:t>
            </w:r>
            <w:r w:rsidR="008D5BB1" w:rsidRPr="008B1975">
              <w:t>;</w:t>
            </w:r>
          </w:p>
          <w:p w14:paraId="6E161949" w14:textId="77777777" w:rsidR="00903116" w:rsidRPr="008B1975" w:rsidRDefault="00903116" w:rsidP="001715D4">
            <w:pPr>
              <w:pStyle w:val="Tablea"/>
            </w:pPr>
            <w:r w:rsidRPr="008B1975">
              <w:t>(d) trains</w:t>
            </w:r>
            <w:r w:rsidR="008D5BB1" w:rsidRPr="008B1975">
              <w:t>;</w:t>
            </w:r>
          </w:p>
          <w:p w14:paraId="60D4E893" w14:textId="77777777" w:rsidR="00903116" w:rsidRPr="008B1975" w:rsidRDefault="00903116" w:rsidP="001715D4">
            <w:pPr>
              <w:pStyle w:val="Tablea"/>
            </w:pPr>
            <w:r w:rsidRPr="008B1975">
              <w:t>(e) trams</w:t>
            </w:r>
            <w:r w:rsidR="008D5BB1" w:rsidRPr="008B1975">
              <w:t>;</w:t>
            </w:r>
          </w:p>
          <w:p w14:paraId="62EB2E56" w14:textId="77777777" w:rsidR="00903116" w:rsidRPr="008B1975" w:rsidRDefault="00903116" w:rsidP="001715D4">
            <w:pPr>
              <w:pStyle w:val="Tablea"/>
            </w:pPr>
            <w:r w:rsidRPr="008B1975">
              <w:t>(f) light rail</w:t>
            </w:r>
          </w:p>
        </w:tc>
        <w:tc>
          <w:tcPr>
            <w:tcW w:w="1667" w:type="pct"/>
            <w:tcBorders>
              <w:top w:val="single" w:sz="12" w:space="0" w:color="auto"/>
              <w:left w:val="nil"/>
              <w:bottom w:val="single" w:sz="12" w:space="0" w:color="auto"/>
              <w:right w:val="nil"/>
            </w:tcBorders>
          </w:tcPr>
          <w:p w14:paraId="735D7866" w14:textId="77777777" w:rsidR="00903116" w:rsidRPr="008B1975" w:rsidRDefault="00903116" w:rsidP="001715D4">
            <w:pPr>
              <w:pStyle w:val="Tabletext"/>
            </w:pPr>
            <w:r w:rsidRPr="008B1975">
              <w:t>None</w:t>
            </w:r>
          </w:p>
        </w:tc>
        <w:tc>
          <w:tcPr>
            <w:tcW w:w="1667" w:type="pct"/>
            <w:tcBorders>
              <w:top w:val="single" w:sz="12" w:space="0" w:color="auto"/>
              <w:left w:val="nil"/>
              <w:bottom w:val="single" w:sz="12" w:space="0" w:color="auto"/>
              <w:right w:val="nil"/>
            </w:tcBorders>
          </w:tcPr>
          <w:p w14:paraId="63E0D51E" w14:textId="77777777" w:rsidR="00903116" w:rsidRPr="008B1975" w:rsidRDefault="00903116" w:rsidP="001715D4">
            <w:pPr>
              <w:pStyle w:val="Tabletext"/>
            </w:pPr>
            <w:r w:rsidRPr="008B1975">
              <w:t>None</w:t>
            </w:r>
          </w:p>
        </w:tc>
      </w:tr>
    </w:tbl>
    <w:p w14:paraId="59650147" w14:textId="77777777" w:rsidR="00FB42CC" w:rsidRPr="008B1975" w:rsidRDefault="00946DEA" w:rsidP="00946DEA">
      <w:pPr>
        <w:pStyle w:val="ItemHead"/>
      </w:pPr>
      <w:bookmarkStart w:id="271" w:name="_Ref185279049"/>
      <w:r w:rsidRPr="008B1975">
        <w:t xml:space="preserve">3  </w:t>
      </w:r>
      <w:r w:rsidR="00FB42CC" w:rsidRPr="008B1975">
        <w:t>Subsection 21.4(1)</w:t>
      </w:r>
      <w:bookmarkEnd w:id="271"/>
    </w:p>
    <w:p w14:paraId="12EEDAEF" w14:textId="77777777" w:rsidR="00FB42CC" w:rsidRPr="008B1975" w:rsidRDefault="00FB42CC" w:rsidP="001715D4">
      <w:pPr>
        <w:pStyle w:val="Item"/>
      </w:pPr>
      <w:r w:rsidRPr="008B1975">
        <w:t xml:space="preserve">Omit “with </w:t>
      </w:r>
      <w:r w:rsidRPr="008B1975">
        <w:rPr>
          <w:b/>
        </w:rPr>
        <w:t>AS1428.2 (1992) Clauses 23.2 and 23.3</w:t>
      </w:r>
      <w:r w:rsidRPr="008B1975">
        <w:t>”, substitute “with the following from AS1428.1 (2021):</w:t>
      </w:r>
    </w:p>
    <w:p w14:paraId="7051CA01" w14:textId="0FEA400B" w:rsidR="00FB42CC" w:rsidRPr="008B1975" w:rsidRDefault="00FB42CC" w:rsidP="001715D4">
      <w:pPr>
        <w:pStyle w:val="paragraph"/>
      </w:pPr>
      <w:r w:rsidRPr="008B1975">
        <w:tab/>
        <w:t>(a)</w:t>
      </w:r>
      <w:r w:rsidRPr="008B1975">
        <w:tab/>
        <w:t>clause 10.4 (door controls);</w:t>
      </w:r>
    </w:p>
    <w:p w14:paraId="0CBF77A3" w14:textId="77777777" w:rsidR="00FB42CC" w:rsidRPr="008B1975" w:rsidRDefault="00FB42CC" w:rsidP="001715D4">
      <w:pPr>
        <w:pStyle w:val="paragraph"/>
      </w:pPr>
      <w:r w:rsidRPr="008B1975">
        <w:tab/>
        <w:t>(b)</w:t>
      </w:r>
      <w:r w:rsidRPr="008B1975">
        <w:tab/>
        <w:t>section 11 (switches and general purpose outlets)”.</w:t>
      </w:r>
    </w:p>
    <w:p w14:paraId="285D51A7" w14:textId="77777777" w:rsidR="00FB42CC" w:rsidRPr="008B1975" w:rsidRDefault="00946DEA" w:rsidP="00946DEA">
      <w:pPr>
        <w:pStyle w:val="ItemHead"/>
      </w:pPr>
      <w:bookmarkStart w:id="272" w:name="_Ref185279041"/>
      <w:r w:rsidRPr="008B1975">
        <w:t xml:space="preserve">4  </w:t>
      </w:r>
      <w:r w:rsidR="00FB42CC" w:rsidRPr="008B1975">
        <w:t>Section 21.4 (table)</w:t>
      </w:r>
      <w:bookmarkEnd w:id="272"/>
    </w:p>
    <w:p w14:paraId="1F12384E" w14:textId="77777777" w:rsidR="00FB42CC" w:rsidRPr="008B1975" w:rsidRDefault="00FB42CC" w:rsidP="001715D4">
      <w:pPr>
        <w:pStyle w:val="Item"/>
      </w:pPr>
      <w:r w:rsidRPr="008B1975">
        <w:t>Repeal the table, substitute:</w:t>
      </w:r>
    </w:p>
    <w:p w14:paraId="1906CA80" w14:textId="77777777" w:rsidR="00FB42CC" w:rsidRPr="008B1975" w:rsidRDefault="00FB42CC" w:rsidP="001715D4">
      <w:pPr>
        <w:pStyle w:val="subsection"/>
      </w:pPr>
      <w:r w:rsidRPr="008B1975">
        <w:tab/>
        <w:t>(3)</w:t>
      </w:r>
      <w:r w:rsidRPr="008B1975">
        <w:tab/>
        <w:t>The following table specifies which conveyances, premises and infrastructure this section applies to.</w:t>
      </w:r>
    </w:p>
    <w:p w14:paraId="349352E3" w14:textId="77777777" w:rsidR="00FB42CC" w:rsidRPr="008B1975" w:rsidRDefault="00FB42CC"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B42CC" w:rsidRPr="008B1975" w14:paraId="28E6CE68" w14:textId="77777777" w:rsidTr="00FB42CC">
        <w:trPr>
          <w:trHeight w:val="300"/>
          <w:tblHeader/>
        </w:trPr>
        <w:tc>
          <w:tcPr>
            <w:tcW w:w="5000" w:type="pct"/>
            <w:gridSpan w:val="3"/>
            <w:tcBorders>
              <w:top w:val="single" w:sz="12" w:space="0" w:color="auto"/>
              <w:left w:val="nil"/>
              <w:bottom w:val="single" w:sz="6" w:space="0" w:color="auto"/>
              <w:right w:val="nil"/>
            </w:tcBorders>
            <w:hideMark/>
          </w:tcPr>
          <w:p w14:paraId="12DFA5C2" w14:textId="77777777" w:rsidR="00FB42CC" w:rsidRPr="008B1975" w:rsidRDefault="00FB42CC" w:rsidP="001715D4">
            <w:pPr>
              <w:pStyle w:val="TableHeading"/>
            </w:pPr>
            <w:r w:rsidRPr="008B1975">
              <w:t>Application of this section</w:t>
            </w:r>
          </w:p>
        </w:tc>
      </w:tr>
      <w:tr w:rsidR="00FB42CC" w:rsidRPr="008B1975" w14:paraId="2B732A66" w14:textId="77777777" w:rsidTr="00CC36E0">
        <w:trPr>
          <w:trHeight w:val="300"/>
          <w:tblHeader/>
        </w:trPr>
        <w:tc>
          <w:tcPr>
            <w:tcW w:w="1667" w:type="pct"/>
            <w:tcBorders>
              <w:top w:val="single" w:sz="6" w:space="0" w:color="auto"/>
              <w:left w:val="nil"/>
              <w:bottom w:val="single" w:sz="12" w:space="0" w:color="auto"/>
              <w:right w:val="nil"/>
            </w:tcBorders>
            <w:hideMark/>
          </w:tcPr>
          <w:p w14:paraId="398937D6" w14:textId="77777777" w:rsidR="00FB42CC" w:rsidRPr="008B1975" w:rsidRDefault="00FB42CC"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602FCE3A" w14:textId="77777777" w:rsidR="00FB42CC" w:rsidRPr="008B1975" w:rsidRDefault="00FB42CC"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25077DD5" w14:textId="77777777" w:rsidR="00FB42CC" w:rsidRPr="008B1975" w:rsidRDefault="00FB42CC" w:rsidP="001715D4">
            <w:pPr>
              <w:pStyle w:val="TableHeading"/>
            </w:pPr>
            <w:r w:rsidRPr="008B1975">
              <w:t>Infrastructure</w:t>
            </w:r>
          </w:p>
        </w:tc>
      </w:tr>
      <w:tr w:rsidR="00FB42CC" w:rsidRPr="008B1975" w14:paraId="22C87BA9" w14:textId="77777777" w:rsidTr="00CC36E0">
        <w:trPr>
          <w:trHeight w:val="300"/>
        </w:trPr>
        <w:tc>
          <w:tcPr>
            <w:tcW w:w="1667" w:type="pct"/>
            <w:tcBorders>
              <w:top w:val="single" w:sz="12" w:space="0" w:color="auto"/>
              <w:left w:val="nil"/>
              <w:bottom w:val="single" w:sz="12" w:space="0" w:color="auto"/>
              <w:right w:val="nil"/>
            </w:tcBorders>
            <w:hideMark/>
          </w:tcPr>
          <w:p w14:paraId="7C2E529C" w14:textId="77777777" w:rsidR="00FB42CC" w:rsidRPr="008B1975" w:rsidRDefault="00E542F3" w:rsidP="001715D4">
            <w:pPr>
              <w:pStyle w:val="Tabletext"/>
            </w:pPr>
            <w:r w:rsidRPr="008B1975">
              <w:t>The following:</w:t>
            </w:r>
          </w:p>
          <w:p w14:paraId="1824166C" w14:textId="77777777" w:rsidR="00E542F3" w:rsidRPr="008B1975" w:rsidRDefault="00E542F3" w:rsidP="001715D4">
            <w:pPr>
              <w:pStyle w:val="Tablea"/>
            </w:pPr>
            <w:r w:rsidRPr="008B1975">
              <w:t>(a) buses;</w:t>
            </w:r>
          </w:p>
          <w:p w14:paraId="3B7CE881" w14:textId="77777777" w:rsidR="00E542F3" w:rsidRPr="008B1975" w:rsidRDefault="00E542F3" w:rsidP="001715D4">
            <w:pPr>
              <w:pStyle w:val="Tablea"/>
            </w:pPr>
            <w:r w:rsidRPr="008B1975">
              <w:t>(b) trams;</w:t>
            </w:r>
          </w:p>
          <w:p w14:paraId="41F06A57" w14:textId="77777777" w:rsidR="00E542F3" w:rsidRPr="008B1975" w:rsidRDefault="00E542F3" w:rsidP="001715D4">
            <w:pPr>
              <w:pStyle w:val="Tablea"/>
            </w:pPr>
            <w:r w:rsidRPr="008B1975">
              <w:t>(c) light rail</w:t>
            </w:r>
          </w:p>
        </w:tc>
        <w:tc>
          <w:tcPr>
            <w:tcW w:w="1667" w:type="pct"/>
            <w:tcBorders>
              <w:top w:val="single" w:sz="12" w:space="0" w:color="auto"/>
              <w:left w:val="nil"/>
              <w:bottom w:val="single" w:sz="12" w:space="0" w:color="auto"/>
              <w:right w:val="nil"/>
            </w:tcBorders>
            <w:hideMark/>
          </w:tcPr>
          <w:p w14:paraId="3F2C5E67" w14:textId="77777777" w:rsidR="00FB42CC" w:rsidRPr="008B1975" w:rsidRDefault="00E542F3"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242E643F" w14:textId="77777777" w:rsidR="00FB42CC" w:rsidRPr="008B1975" w:rsidRDefault="00E542F3" w:rsidP="001715D4">
            <w:pPr>
              <w:pStyle w:val="Tabletext"/>
            </w:pPr>
            <w:r w:rsidRPr="008B1975">
              <w:t>None</w:t>
            </w:r>
          </w:p>
        </w:tc>
      </w:tr>
    </w:tbl>
    <w:p w14:paraId="003CD3C5" w14:textId="77777777" w:rsidR="00824838" w:rsidRPr="008B1975" w:rsidRDefault="00824838" w:rsidP="00824838">
      <w:pPr>
        <w:pStyle w:val="ActHead6"/>
        <w:pageBreakBefore/>
      </w:pPr>
      <w:bookmarkStart w:id="273" w:name="_Toc197178972"/>
      <w:r w:rsidRPr="008B1975">
        <w:lastRenderedPageBreak/>
        <w:t>Schedule 22—Part 22 (Furniture and fitments) Amendments</w:t>
      </w:r>
      <w:bookmarkEnd w:id="273"/>
    </w:p>
    <w:p w14:paraId="3894EA15" w14:textId="77777777" w:rsidR="00824838" w:rsidRPr="008B1975" w:rsidRDefault="00824838" w:rsidP="00824838">
      <w:pPr>
        <w:pStyle w:val="ActHead9"/>
      </w:pPr>
      <w:bookmarkStart w:id="274" w:name="_Toc197178973"/>
      <w:r w:rsidRPr="008B1975">
        <w:t>Disability Standards for Accessible Public Transport 2002</w:t>
      </w:r>
      <w:bookmarkEnd w:id="274"/>
    </w:p>
    <w:p w14:paraId="43E50657" w14:textId="77777777" w:rsidR="00DE081B" w:rsidRPr="008B1975" w:rsidRDefault="00946DEA" w:rsidP="00946DEA">
      <w:pPr>
        <w:pStyle w:val="ItemHead"/>
      </w:pPr>
      <w:bookmarkStart w:id="275" w:name="_Ref185340607"/>
      <w:r w:rsidRPr="008B1975">
        <w:t xml:space="preserve">1  </w:t>
      </w:r>
      <w:r w:rsidR="00DE081B" w:rsidRPr="008B1975">
        <w:t>Section 22.1</w:t>
      </w:r>
      <w:bookmarkEnd w:id="275"/>
    </w:p>
    <w:p w14:paraId="4431103F" w14:textId="77777777" w:rsidR="00DE081B" w:rsidRPr="008B1975" w:rsidRDefault="00DE081B" w:rsidP="00DE081B">
      <w:pPr>
        <w:pStyle w:val="Item"/>
      </w:pPr>
      <w:r w:rsidRPr="008B1975">
        <w:t>Before “Tables”, insert “(1)”.</w:t>
      </w:r>
    </w:p>
    <w:p w14:paraId="29491628" w14:textId="77777777" w:rsidR="00DE081B" w:rsidRPr="008B1975" w:rsidRDefault="00946DEA" w:rsidP="00946DEA">
      <w:pPr>
        <w:pStyle w:val="ItemHead"/>
      </w:pPr>
      <w:bookmarkStart w:id="276" w:name="_Ref185340608"/>
      <w:r w:rsidRPr="008B1975">
        <w:t xml:space="preserve">2  </w:t>
      </w:r>
      <w:r w:rsidR="00DE081B" w:rsidRPr="008B1975">
        <w:t>Section 22.1 (table)</w:t>
      </w:r>
      <w:bookmarkEnd w:id="276"/>
    </w:p>
    <w:p w14:paraId="73E3CB21" w14:textId="77777777" w:rsidR="00DE081B" w:rsidRPr="008B1975" w:rsidRDefault="00DE081B" w:rsidP="00DE081B">
      <w:pPr>
        <w:pStyle w:val="Item"/>
      </w:pPr>
      <w:r w:rsidRPr="008B1975">
        <w:t>Repeal the table, substitute:</w:t>
      </w:r>
    </w:p>
    <w:p w14:paraId="04F49F96" w14:textId="77777777" w:rsidR="00DE081B" w:rsidRPr="008B1975" w:rsidRDefault="00DE081B" w:rsidP="00DE081B">
      <w:pPr>
        <w:pStyle w:val="subsection"/>
      </w:pPr>
      <w:r w:rsidRPr="008B1975">
        <w:tab/>
        <w:t>(2)</w:t>
      </w:r>
      <w:r w:rsidRPr="008B1975">
        <w:tab/>
        <w:t>The following table specifies which conveyances, premises and infrastructure this section applies to.</w:t>
      </w:r>
    </w:p>
    <w:p w14:paraId="379AF4DD"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69B859E8"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4EB0A50A" w14:textId="77777777" w:rsidR="00DE081B" w:rsidRPr="008B1975" w:rsidRDefault="00DE081B" w:rsidP="00DE081B">
            <w:pPr>
              <w:pStyle w:val="TableHeading"/>
            </w:pPr>
            <w:r w:rsidRPr="008B1975">
              <w:t>Application of this section</w:t>
            </w:r>
          </w:p>
        </w:tc>
      </w:tr>
      <w:tr w:rsidR="00DE081B" w:rsidRPr="008B1975" w14:paraId="4ECD187F" w14:textId="77777777" w:rsidTr="00CC36E0">
        <w:trPr>
          <w:trHeight w:val="300"/>
          <w:tblHeader/>
        </w:trPr>
        <w:tc>
          <w:tcPr>
            <w:tcW w:w="1667" w:type="pct"/>
            <w:tcBorders>
              <w:top w:val="single" w:sz="6" w:space="0" w:color="auto"/>
              <w:left w:val="nil"/>
              <w:bottom w:val="single" w:sz="12" w:space="0" w:color="auto"/>
              <w:right w:val="nil"/>
            </w:tcBorders>
            <w:hideMark/>
          </w:tcPr>
          <w:p w14:paraId="605DFAFC"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1072905C"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1618C1BC" w14:textId="77777777" w:rsidR="00DE081B" w:rsidRPr="008B1975" w:rsidRDefault="00DE081B" w:rsidP="00DE081B">
            <w:pPr>
              <w:pStyle w:val="TableHeading"/>
            </w:pPr>
            <w:r w:rsidRPr="008B1975">
              <w:t>Infrastructure</w:t>
            </w:r>
          </w:p>
        </w:tc>
      </w:tr>
      <w:tr w:rsidR="00DE081B" w:rsidRPr="008B1975" w14:paraId="0F999CE1" w14:textId="77777777" w:rsidTr="00CC36E0">
        <w:trPr>
          <w:trHeight w:val="300"/>
        </w:trPr>
        <w:tc>
          <w:tcPr>
            <w:tcW w:w="1667" w:type="pct"/>
            <w:tcBorders>
              <w:top w:val="single" w:sz="12" w:space="0" w:color="auto"/>
              <w:left w:val="nil"/>
              <w:bottom w:val="single" w:sz="12" w:space="0" w:color="auto"/>
              <w:right w:val="nil"/>
            </w:tcBorders>
            <w:hideMark/>
          </w:tcPr>
          <w:p w14:paraId="2D3199C1"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62E43DE1" w14:textId="77777777" w:rsidR="00DE081B" w:rsidRPr="008B1975" w:rsidRDefault="00DE081B" w:rsidP="00DE081B">
            <w:pPr>
              <w:pStyle w:val="Tabletext"/>
            </w:pPr>
            <w:r w:rsidRPr="008B1975">
              <w:t>All, except airport terminals</w:t>
            </w:r>
          </w:p>
        </w:tc>
        <w:tc>
          <w:tcPr>
            <w:tcW w:w="1667" w:type="pct"/>
            <w:tcBorders>
              <w:top w:val="single" w:sz="12" w:space="0" w:color="auto"/>
              <w:left w:val="nil"/>
              <w:bottom w:val="single" w:sz="12" w:space="0" w:color="auto"/>
              <w:right w:val="nil"/>
            </w:tcBorders>
            <w:hideMark/>
          </w:tcPr>
          <w:p w14:paraId="6926C67D" w14:textId="77777777" w:rsidR="00DE081B" w:rsidRPr="008B1975" w:rsidRDefault="00DE081B" w:rsidP="00DE081B">
            <w:pPr>
              <w:pStyle w:val="Tabletext"/>
            </w:pPr>
            <w:r w:rsidRPr="008B1975">
              <w:t>All</w:t>
            </w:r>
          </w:p>
        </w:tc>
      </w:tr>
    </w:tbl>
    <w:p w14:paraId="132413B2" w14:textId="77777777" w:rsidR="00DE081B" w:rsidRPr="008B1975" w:rsidRDefault="00946DEA" w:rsidP="00946DEA">
      <w:pPr>
        <w:pStyle w:val="ItemHead"/>
      </w:pPr>
      <w:bookmarkStart w:id="277" w:name="_Ref185340609"/>
      <w:r w:rsidRPr="008B1975">
        <w:t xml:space="preserve">3  </w:t>
      </w:r>
      <w:r w:rsidR="00DE081B" w:rsidRPr="008B1975">
        <w:t>Section 22.2</w:t>
      </w:r>
      <w:bookmarkEnd w:id="277"/>
    </w:p>
    <w:p w14:paraId="6A1450BA" w14:textId="77777777" w:rsidR="00DE081B" w:rsidRPr="008B1975" w:rsidRDefault="00DE081B" w:rsidP="00DE081B">
      <w:pPr>
        <w:pStyle w:val="Item"/>
      </w:pPr>
      <w:r w:rsidRPr="008B1975">
        <w:t>Before “At”, insert “(1)”.</w:t>
      </w:r>
    </w:p>
    <w:p w14:paraId="2869F133" w14:textId="77777777" w:rsidR="00DE081B" w:rsidRPr="008B1975" w:rsidRDefault="00946DEA" w:rsidP="00946DEA">
      <w:pPr>
        <w:pStyle w:val="ItemHead"/>
      </w:pPr>
      <w:bookmarkStart w:id="278" w:name="_Ref185340610"/>
      <w:r w:rsidRPr="008B1975">
        <w:t xml:space="preserve">4  </w:t>
      </w:r>
      <w:r w:rsidR="00DE081B" w:rsidRPr="008B1975">
        <w:t>Section 22.2 (table)</w:t>
      </w:r>
      <w:bookmarkEnd w:id="278"/>
    </w:p>
    <w:p w14:paraId="0356EE26" w14:textId="77777777" w:rsidR="00DE081B" w:rsidRPr="008B1975" w:rsidRDefault="00DE081B" w:rsidP="00DE081B">
      <w:pPr>
        <w:pStyle w:val="Item"/>
      </w:pPr>
      <w:r w:rsidRPr="008B1975">
        <w:t>Repeal the table, substitute:</w:t>
      </w:r>
    </w:p>
    <w:p w14:paraId="38FAD942" w14:textId="77777777" w:rsidR="00DE081B" w:rsidRPr="008B1975" w:rsidRDefault="00DE081B" w:rsidP="00DE081B">
      <w:pPr>
        <w:pStyle w:val="subsection"/>
      </w:pPr>
      <w:r w:rsidRPr="008B1975">
        <w:tab/>
        <w:t>(2)</w:t>
      </w:r>
      <w:r w:rsidRPr="008B1975">
        <w:tab/>
        <w:t>The following table specifies which conveyances, premises and infrastructure this section applies to.</w:t>
      </w:r>
    </w:p>
    <w:p w14:paraId="0A6D8E53"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31AF4E88"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27F9B55C" w14:textId="77777777" w:rsidR="00DE081B" w:rsidRPr="008B1975" w:rsidRDefault="00DE081B" w:rsidP="00DE081B">
            <w:pPr>
              <w:pStyle w:val="TableHeading"/>
            </w:pPr>
            <w:r w:rsidRPr="008B1975">
              <w:t>Application of this section</w:t>
            </w:r>
          </w:p>
        </w:tc>
      </w:tr>
      <w:tr w:rsidR="00DE081B" w:rsidRPr="008B1975" w14:paraId="31882564" w14:textId="77777777" w:rsidTr="00CC36E0">
        <w:trPr>
          <w:trHeight w:val="300"/>
          <w:tblHeader/>
        </w:trPr>
        <w:tc>
          <w:tcPr>
            <w:tcW w:w="1667" w:type="pct"/>
            <w:tcBorders>
              <w:top w:val="single" w:sz="6" w:space="0" w:color="auto"/>
              <w:left w:val="nil"/>
              <w:bottom w:val="single" w:sz="12" w:space="0" w:color="auto"/>
              <w:right w:val="nil"/>
            </w:tcBorders>
            <w:hideMark/>
          </w:tcPr>
          <w:p w14:paraId="2D649585"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06C8C831"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5FB4AE1B" w14:textId="77777777" w:rsidR="00DE081B" w:rsidRPr="008B1975" w:rsidRDefault="00DE081B" w:rsidP="00DE081B">
            <w:pPr>
              <w:pStyle w:val="TableHeading"/>
            </w:pPr>
            <w:r w:rsidRPr="008B1975">
              <w:t>Infrastructure</w:t>
            </w:r>
          </w:p>
        </w:tc>
      </w:tr>
      <w:tr w:rsidR="00DE081B" w:rsidRPr="008B1975" w14:paraId="09000932" w14:textId="77777777" w:rsidTr="00CC36E0">
        <w:trPr>
          <w:trHeight w:val="300"/>
        </w:trPr>
        <w:tc>
          <w:tcPr>
            <w:tcW w:w="1667" w:type="pct"/>
            <w:tcBorders>
              <w:top w:val="single" w:sz="12" w:space="0" w:color="auto"/>
              <w:left w:val="nil"/>
              <w:bottom w:val="single" w:sz="12" w:space="0" w:color="auto"/>
              <w:right w:val="nil"/>
            </w:tcBorders>
            <w:hideMark/>
          </w:tcPr>
          <w:p w14:paraId="4F0F302A"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14B79600" w14:textId="77777777" w:rsidR="00DE081B" w:rsidRPr="008B1975" w:rsidRDefault="00DE081B" w:rsidP="00DE081B">
            <w:pPr>
              <w:pStyle w:val="Tabletext"/>
            </w:pPr>
            <w:r w:rsidRPr="008B1975">
              <w:t>Airport terminals</w:t>
            </w:r>
          </w:p>
        </w:tc>
        <w:tc>
          <w:tcPr>
            <w:tcW w:w="1667" w:type="pct"/>
            <w:tcBorders>
              <w:top w:val="single" w:sz="12" w:space="0" w:color="auto"/>
              <w:left w:val="nil"/>
              <w:bottom w:val="single" w:sz="12" w:space="0" w:color="auto"/>
              <w:right w:val="nil"/>
            </w:tcBorders>
            <w:hideMark/>
          </w:tcPr>
          <w:p w14:paraId="62023033" w14:textId="77777777" w:rsidR="00DE081B" w:rsidRPr="008B1975" w:rsidRDefault="00DE081B" w:rsidP="00DE081B">
            <w:pPr>
              <w:pStyle w:val="Tabletext"/>
            </w:pPr>
            <w:r w:rsidRPr="008B1975">
              <w:t>None</w:t>
            </w:r>
          </w:p>
        </w:tc>
      </w:tr>
    </w:tbl>
    <w:p w14:paraId="616D6F85" w14:textId="77777777" w:rsidR="00DE081B" w:rsidRPr="008B1975" w:rsidRDefault="00946DEA" w:rsidP="00946DEA">
      <w:pPr>
        <w:pStyle w:val="ItemHead"/>
      </w:pPr>
      <w:bookmarkStart w:id="279" w:name="_Ref185340613"/>
      <w:r w:rsidRPr="008B1975">
        <w:t xml:space="preserve">5  </w:t>
      </w:r>
      <w:r w:rsidR="00DE081B" w:rsidRPr="008B1975">
        <w:t>Section 22.3 (table)</w:t>
      </w:r>
      <w:bookmarkEnd w:id="279"/>
    </w:p>
    <w:p w14:paraId="3E5C2F89" w14:textId="77777777" w:rsidR="00DE081B" w:rsidRPr="008B1975" w:rsidRDefault="00DE081B" w:rsidP="00DE081B">
      <w:pPr>
        <w:pStyle w:val="Item"/>
      </w:pPr>
      <w:r w:rsidRPr="008B1975">
        <w:t>Repeal the table, substitute:</w:t>
      </w:r>
    </w:p>
    <w:p w14:paraId="71987C06" w14:textId="77777777" w:rsidR="00DE081B" w:rsidRPr="008B1975" w:rsidRDefault="00DE081B" w:rsidP="00DE081B">
      <w:pPr>
        <w:pStyle w:val="subsection"/>
      </w:pPr>
      <w:r w:rsidRPr="008B1975">
        <w:tab/>
        <w:t>(4)</w:t>
      </w:r>
      <w:r w:rsidRPr="008B1975">
        <w:tab/>
        <w:t>The following table specifies which conveyances, premises and infrastructure this section applies to.</w:t>
      </w:r>
    </w:p>
    <w:p w14:paraId="01DAE98B"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5C5B4698"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463E3A9C" w14:textId="77777777" w:rsidR="00DE081B" w:rsidRPr="008B1975" w:rsidRDefault="00DE081B" w:rsidP="00DE081B">
            <w:pPr>
              <w:pStyle w:val="TableHeading"/>
            </w:pPr>
            <w:r w:rsidRPr="008B1975">
              <w:t>Application of this section</w:t>
            </w:r>
          </w:p>
        </w:tc>
      </w:tr>
      <w:tr w:rsidR="00DE081B" w:rsidRPr="008B1975" w14:paraId="456832BF" w14:textId="77777777" w:rsidTr="00CC36E0">
        <w:trPr>
          <w:trHeight w:val="300"/>
          <w:tblHeader/>
        </w:trPr>
        <w:tc>
          <w:tcPr>
            <w:tcW w:w="1667" w:type="pct"/>
            <w:tcBorders>
              <w:top w:val="single" w:sz="6" w:space="0" w:color="auto"/>
              <w:left w:val="nil"/>
              <w:bottom w:val="single" w:sz="12" w:space="0" w:color="auto"/>
              <w:right w:val="nil"/>
            </w:tcBorders>
            <w:hideMark/>
          </w:tcPr>
          <w:p w14:paraId="34B0107C"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617521AA"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65994E92" w14:textId="77777777" w:rsidR="00DE081B" w:rsidRPr="008B1975" w:rsidRDefault="00DE081B" w:rsidP="00DE081B">
            <w:pPr>
              <w:pStyle w:val="TableHeading"/>
            </w:pPr>
            <w:r w:rsidRPr="008B1975">
              <w:t>Infrastructure</w:t>
            </w:r>
          </w:p>
        </w:tc>
      </w:tr>
      <w:tr w:rsidR="00DE081B" w:rsidRPr="008B1975" w14:paraId="623BC409" w14:textId="77777777" w:rsidTr="00CC36E0">
        <w:trPr>
          <w:trHeight w:val="300"/>
        </w:trPr>
        <w:tc>
          <w:tcPr>
            <w:tcW w:w="1667" w:type="pct"/>
            <w:tcBorders>
              <w:top w:val="single" w:sz="12" w:space="0" w:color="auto"/>
              <w:left w:val="nil"/>
              <w:bottom w:val="single" w:sz="12" w:space="0" w:color="auto"/>
              <w:right w:val="nil"/>
            </w:tcBorders>
            <w:hideMark/>
          </w:tcPr>
          <w:p w14:paraId="496F9EF4" w14:textId="77777777" w:rsidR="00DE081B" w:rsidRPr="008B1975" w:rsidRDefault="00DE081B" w:rsidP="00DE081B">
            <w:pPr>
              <w:pStyle w:val="Tabletext"/>
            </w:pPr>
            <w:r w:rsidRPr="008B1975">
              <w:t>The following:</w:t>
            </w:r>
          </w:p>
          <w:p w14:paraId="5A31E11D" w14:textId="77777777" w:rsidR="00DE081B" w:rsidRPr="008B1975" w:rsidRDefault="00DE081B" w:rsidP="00DE081B">
            <w:pPr>
              <w:pStyle w:val="Tabletext"/>
            </w:pPr>
            <w:r w:rsidRPr="008B1975">
              <w:t>(a) ferries</w:t>
            </w:r>
            <w:r w:rsidR="00BA7325" w:rsidRPr="008B1975">
              <w:t>;</w:t>
            </w:r>
          </w:p>
          <w:p w14:paraId="4695F3A5" w14:textId="77777777" w:rsidR="00DE081B" w:rsidRPr="008B1975" w:rsidRDefault="00DE081B" w:rsidP="00DE081B">
            <w:pPr>
              <w:pStyle w:val="Tabletext"/>
            </w:pPr>
            <w:r w:rsidRPr="008B1975">
              <w:t>(b) trains</w:t>
            </w:r>
          </w:p>
        </w:tc>
        <w:tc>
          <w:tcPr>
            <w:tcW w:w="1667" w:type="pct"/>
            <w:tcBorders>
              <w:top w:val="single" w:sz="12" w:space="0" w:color="auto"/>
              <w:left w:val="nil"/>
              <w:bottom w:val="single" w:sz="12" w:space="0" w:color="auto"/>
              <w:right w:val="nil"/>
            </w:tcBorders>
            <w:hideMark/>
          </w:tcPr>
          <w:p w14:paraId="01B0E02E"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7994F303" w14:textId="77777777" w:rsidR="00DE081B" w:rsidRPr="008B1975" w:rsidRDefault="00DE081B" w:rsidP="00DE081B">
            <w:pPr>
              <w:pStyle w:val="Tabletext"/>
            </w:pPr>
            <w:r w:rsidRPr="008B1975">
              <w:t>None</w:t>
            </w:r>
          </w:p>
        </w:tc>
      </w:tr>
    </w:tbl>
    <w:p w14:paraId="29DC671C" w14:textId="77777777" w:rsidR="00DE081B" w:rsidRPr="008B1975" w:rsidRDefault="00946DEA" w:rsidP="00946DEA">
      <w:pPr>
        <w:pStyle w:val="ItemHead"/>
      </w:pPr>
      <w:bookmarkStart w:id="280" w:name="_Ref185340616"/>
      <w:r w:rsidRPr="008B1975">
        <w:t xml:space="preserve">6  </w:t>
      </w:r>
      <w:r w:rsidR="00DE081B" w:rsidRPr="008B1975">
        <w:t>Section 22.4</w:t>
      </w:r>
      <w:bookmarkEnd w:id="280"/>
    </w:p>
    <w:p w14:paraId="076C6ED9" w14:textId="77777777" w:rsidR="00DE081B" w:rsidRPr="008B1975" w:rsidRDefault="00DE081B" w:rsidP="00DE081B">
      <w:pPr>
        <w:pStyle w:val="Item"/>
      </w:pPr>
      <w:r w:rsidRPr="008B1975">
        <w:t>Before “If”, insert “(1)”.</w:t>
      </w:r>
    </w:p>
    <w:p w14:paraId="65E52DDB" w14:textId="77777777" w:rsidR="00DE081B" w:rsidRPr="008B1975" w:rsidRDefault="00946DEA" w:rsidP="00946DEA">
      <w:pPr>
        <w:pStyle w:val="ItemHead"/>
      </w:pPr>
      <w:bookmarkStart w:id="281" w:name="_Ref185340618"/>
      <w:r w:rsidRPr="008B1975">
        <w:lastRenderedPageBreak/>
        <w:t xml:space="preserve">7  </w:t>
      </w:r>
      <w:r w:rsidR="00DE081B" w:rsidRPr="008B1975">
        <w:t>Section 22.4 (table)</w:t>
      </w:r>
      <w:bookmarkEnd w:id="281"/>
    </w:p>
    <w:p w14:paraId="241D1F26" w14:textId="77777777" w:rsidR="00DE081B" w:rsidRPr="008B1975" w:rsidRDefault="00DE081B" w:rsidP="00DE081B">
      <w:pPr>
        <w:pStyle w:val="Item"/>
      </w:pPr>
      <w:r w:rsidRPr="008B1975">
        <w:t>Repeal the table, substitute:</w:t>
      </w:r>
    </w:p>
    <w:p w14:paraId="0C40C090" w14:textId="77777777" w:rsidR="00DE081B" w:rsidRPr="008B1975" w:rsidRDefault="00DE081B" w:rsidP="00DE081B">
      <w:pPr>
        <w:pStyle w:val="subsection"/>
      </w:pPr>
      <w:r w:rsidRPr="008B1975">
        <w:tab/>
        <w:t>(2)</w:t>
      </w:r>
      <w:r w:rsidRPr="008B1975">
        <w:tab/>
        <w:t>The following table specifies which conveyances, premises and infrastructure this section applies to.</w:t>
      </w:r>
    </w:p>
    <w:p w14:paraId="2B27F9EE"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56D646B4"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37ABD9FB" w14:textId="77777777" w:rsidR="00DE081B" w:rsidRPr="008B1975" w:rsidRDefault="00DE081B" w:rsidP="00DE081B">
            <w:pPr>
              <w:pStyle w:val="TableHeading"/>
            </w:pPr>
            <w:r w:rsidRPr="008B1975">
              <w:t>Application of this section</w:t>
            </w:r>
          </w:p>
        </w:tc>
      </w:tr>
      <w:tr w:rsidR="00DE081B" w:rsidRPr="008B1975" w14:paraId="7B08CE36" w14:textId="77777777" w:rsidTr="00CC36E0">
        <w:trPr>
          <w:trHeight w:val="300"/>
          <w:tblHeader/>
        </w:trPr>
        <w:tc>
          <w:tcPr>
            <w:tcW w:w="1667" w:type="pct"/>
            <w:tcBorders>
              <w:top w:val="single" w:sz="6" w:space="0" w:color="auto"/>
              <w:left w:val="nil"/>
              <w:bottom w:val="single" w:sz="12" w:space="0" w:color="auto"/>
              <w:right w:val="nil"/>
            </w:tcBorders>
            <w:hideMark/>
          </w:tcPr>
          <w:p w14:paraId="75633D08"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7B294D58"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7A892978" w14:textId="77777777" w:rsidR="00DE081B" w:rsidRPr="008B1975" w:rsidRDefault="00DE081B" w:rsidP="00DE081B">
            <w:pPr>
              <w:pStyle w:val="TableHeading"/>
            </w:pPr>
            <w:r w:rsidRPr="008B1975">
              <w:t>Infrastructure</w:t>
            </w:r>
          </w:p>
        </w:tc>
      </w:tr>
      <w:tr w:rsidR="00DE081B" w:rsidRPr="008B1975" w14:paraId="4A47FFD4" w14:textId="77777777" w:rsidTr="00CC36E0">
        <w:trPr>
          <w:trHeight w:val="300"/>
        </w:trPr>
        <w:tc>
          <w:tcPr>
            <w:tcW w:w="1667" w:type="pct"/>
            <w:tcBorders>
              <w:top w:val="single" w:sz="12" w:space="0" w:color="auto"/>
              <w:left w:val="nil"/>
              <w:bottom w:val="single" w:sz="12" w:space="0" w:color="auto"/>
              <w:right w:val="nil"/>
            </w:tcBorders>
            <w:hideMark/>
          </w:tcPr>
          <w:p w14:paraId="1BDBE3EE" w14:textId="77777777" w:rsidR="00DE081B" w:rsidRPr="008B1975" w:rsidRDefault="00DE081B" w:rsidP="00DE081B">
            <w:pPr>
              <w:pStyle w:val="Tabletext"/>
            </w:pPr>
            <w:r w:rsidRPr="008B1975">
              <w:t>Ferries</w:t>
            </w:r>
          </w:p>
        </w:tc>
        <w:tc>
          <w:tcPr>
            <w:tcW w:w="1667" w:type="pct"/>
            <w:tcBorders>
              <w:top w:val="single" w:sz="12" w:space="0" w:color="auto"/>
              <w:left w:val="nil"/>
              <w:bottom w:val="single" w:sz="12" w:space="0" w:color="auto"/>
              <w:right w:val="nil"/>
            </w:tcBorders>
            <w:hideMark/>
          </w:tcPr>
          <w:p w14:paraId="5DC3F41B"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4178970F" w14:textId="77777777" w:rsidR="00DE081B" w:rsidRPr="008B1975" w:rsidRDefault="00DE081B" w:rsidP="00DE081B">
            <w:pPr>
              <w:pStyle w:val="Tabletext"/>
            </w:pPr>
            <w:r w:rsidRPr="008B1975">
              <w:t>None</w:t>
            </w:r>
          </w:p>
        </w:tc>
      </w:tr>
    </w:tbl>
    <w:p w14:paraId="472E38A3" w14:textId="77777777" w:rsidR="00DE081B" w:rsidRPr="008B1975" w:rsidRDefault="00946DEA" w:rsidP="00946DEA">
      <w:pPr>
        <w:pStyle w:val="ItemHead"/>
      </w:pPr>
      <w:bookmarkStart w:id="282" w:name="_Ref185340619"/>
      <w:r w:rsidRPr="008B1975">
        <w:t xml:space="preserve">8  </w:t>
      </w:r>
      <w:r w:rsidR="00DE081B" w:rsidRPr="008B1975">
        <w:t>Section 22.5 (table)</w:t>
      </w:r>
      <w:bookmarkEnd w:id="282"/>
    </w:p>
    <w:p w14:paraId="533FB023" w14:textId="77777777" w:rsidR="00DE081B" w:rsidRPr="008B1975" w:rsidRDefault="00DE081B" w:rsidP="00DE081B">
      <w:pPr>
        <w:pStyle w:val="Item"/>
      </w:pPr>
      <w:r w:rsidRPr="008B1975">
        <w:t>Repeal the table, substitute:</w:t>
      </w:r>
    </w:p>
    <w:p w14:paraId="4D551045" w14:textId="77777777" w:rsidR="00DE081B" w:rsidRPr="008B1975" w:rsidRDefault="00DE081B" w:rsidP="00DE081B">
      <w:pPr>
        <w:pStyle w:val="subsection"/>
      </w:pPr>
      <w:r w:rsidRPr="008B1975">
        <w:tab/>
        <w:t>(3)</w:t>
      </w:r>
      <w:r w:rsidRPr="008B1975">
        <w:tab/>
        <w:t>The following table specifies which conveyances, premises and infrastructure this section applies to.</w:t>
      </w:r>
    </w:p>
    <w:p w14:paraId="535E13F0"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50439B42"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5B2FB51A" w14:textId="77777777" w:rsidR="00DE081B" w:rsidRPr="008B1975" w:rsidRDefault="00DE081B" w:rsidP="00DE081B">
            <w:pPr>
              <w:pStyle w:val="TableHeading"/>
            </w:pPr>
            <w:r w:rsidRPr="008B1975">
              <w:t>Application of this section</w:t>
            </w:r>
          </w:p>
        </w:tc>
      </w:tr>
      <w:tr w:rsidR="00DE081B" w:rsidRPr="008B1975" w14:paraId="27DC4623" w14:textId="77777777" w:rsidTr="00CC36E0">
        <w:trPr>
          <w:trHeight w:val="300"/>
          <w:tblHeader/>
        </w:trPr>
        <w:tc>
          <w:tcPr>
            <w:tcW w:w="1667" w:type="pct"/>
            <w:tcBorders>
              <w:top w:val="single" w:sz="6" w:space="0" w:color="auto"/>
              <w:left w:val="nil"/>
              <w:bottom w:val="single" w:sz="12" w:space="0" w:color="auto"/>
              <w:right w:val="nil"/>
            </w:tcBorders>
            <w:hideMark/>
          </w:tcPr>
          <w:p w14:paraId="4CA813A2"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670613D4"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6F338E05" w14:textId="77777777" w:rsidR="00DE081B" w:rsidRPr="008B1975" w:rsidRDefault="00DE081B" w:rsidP="00DE081B">
            <w:pPr>
              <w:pStyle w:val="TableHeading"/>
            </w:pPr>
            <w:r w:rsidRPr="008B1975">
              <w:t>Infrastructure</w:t>
            </w:r>
          </w:p>
        </w:tc>
      </w:tr>
      <w:tr w:rsidR="00DE081B" w:rsidRPr="008B1975" w14:paraId="130C81C2" w14:textId="77777777" w:rsidTr="00CC36E0">
        <w:trPr>
          <w:trHeight w:val="300"/>
        </w:trPr>
        <w:tc>
          <w:tcPr>
            <w:tcW w:w="1667" w:type="pct"/>
            <w:tcBorders>
              <w:top w:val="single" w:sz="12" w:space="0" w:color="auto"/>
              <w:left w:val="nil"/>
              <w:bottom w:val="single" w:sz="12" w:space="0" w:color="auto"/>
              <w:right w:val="nil"/>
            </w:tcBorders>
            <w:hideMark/>
          </w:tcPr>
          <w:p w14:paraId="487B6AFB" w14:textId="77777777" w:rsidR="00DE081B" w:rsidRPr="008B1975" w:rsidRDefault="00DE081B" w:rsidP="00DE081B">
            <w:pPr>
              <w:pStyle w:val="Tabletext"/>
            </w:pPr>
            <w:r w:rsidRPr="008B1975">
              <w:t>Trains</w:t>
            </w:r>
          </w:p>
        </w:tc>
        <w:tc>
          <w:tcPr>
            <w:tcW w:w="1667" w:type="pct"/>
            <w:tcBorders>
              <w:top w:val="single" w:sz="12" w:space="0" w:color="auto"/>
              <w:left w:val="nil"/>
              <w:bottom w:val="single" w:sz="12" w:space="0" w:color="auto"/>
              <w:right w:val="nil"/>
            </w:tcBorders>
            <w:hideMark/>
          </w:tcPr>
          <w:p w14:paraId="41C3F6DA"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15E1D09B" w14:textId="77777777" w:rsidR="00DE081B" w:rsidRPr="008B1975" w:rsidRDefault="00DE081B" w:rsidP="00DE081B">
            <w:pPr>
              <w:pStyle w:val="Tabletext"/>
            </w:pPr>
            <w:r w:rsidRPr="008B1975">
              <w:t>None</w:t>
            </w:r>
          </w:p>
        </w:tc>
      </w:tr>
    </w:tbl>
    <w:p w14:paraId="61DAB2D6" w14:textId="77777777" w:rsidR="00DE081B" w:rsidRPr="008B1975" w:rsidRDefault="00946DEA" w:rsidP="00946DEA">
      <w:pPr>
        <w:pStyle w:val="ItemHead"/>
      </w:pPr>
      <w:bookmarkStart w:id="283" w:name="_Ref185340620"/>
      <w:r w:rsidRPr="008B1975">
        <w:t xml:space="preserve">9  </w:t>
      </w:r>
      <w:r w:rsidR="00DE081B" w:rsidRPr="008B1975">
        <w:t>Section 22.6 (table)</w:t>
      </w:r>
      <w:bookmarkEnd w:id="283"/>
    </w:p>
    <w:p w14:paraId="1E0BA0E6" w14:textId="77777777" w:rsidR="00DE081B" w:rsidRPr="008B1975" w:rsidRDefault="00DE081B" w:rsidP="00DE081B">
      <w:pPr>
        <w:pStyle w:val="Item"/>
      </w:pPr>
      <w:r w:rsidRPr="008B1975">
        <w:t>Repeal the table, substitute:</w:t>
      </w:r>
    </w:p>
    <w:p w14:paraId="3F285346" w14:textId="77777777" w:rsidR="00DE081B" w:rsidRPr="008B1975" w:rsidRDefault="00DE081B" w:rsidP="00DE081B">
      <w:pPr>
        <w:pStyle w:val="subsection"/>
      </w:pPr>
      <w:r w:rsidRPr="008B1975">
        <w:tab/>
        <w:t>(3)</w:t>
      </w:r>
      <w:r w:rsidRPr="008B1975">
        <w:tab/>
        <w:t>The following table specifies which conveyances, premises and infrastructure this section applies to.</w:t>
      </w:r>
    </w:p>
    <w:p w14:paraId="090F755B"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2EF76910"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3115DE21" w14:textId="77777777" w:rsidR="00DE081B" w:rsidRPr="008B1975" w:rsidRDefault="00DE081B" w:rsidP="00DE081B">
            <w:pPr>
              <w:pStyle w:val="TableHeading"/>
            </w:pPr>
            <w:r w:rsidRPr="008B1975">
              <w:t>Application of this section</w:t>
            </w:r>
          </w:p>
        </w:tc>
      </w:tr>
      <w:tr w:rsidR="00DE081B" w:rsidRPr="008B1975" w14:paraId="04221A9C" w14:textId="77777777" w:rsidTr="00CC36E0">
        <w:trPr>
          <w:trHeight w:val="300"/>
          <w:tblHeader/>
        </w:trPr>
        <w:tc>
          <w:tcPr>
            <w:tcW w:w="1667" w:type="pct"/>
            <w:tcBorders>
              <w:top w:val="single" w:sz="6" w:space="0" w:color="auto"/>
              <w:left w:val="nil"/>
              <w:bottom w:val="single" w:sz="12" w:space="0" w:color="auto"/>
              <w:right w:val="nil"/>
            </w:tcBorders>
            <w:hideMark/>
          </w:tcPr>
          <w:p w14:paraId="648652D1"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10240B1F"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51CB6D04" w14:textId="77777777" w:rsidR="00DE081B" w:rsidRPr="008B1975" w:rsidRDefault="00DE081B" w:rsidP="00DE081B">
            <w:pPr>
              <w:pStyle w:val="TableHeading"/>
            </w:pPr>
            <w:r w:rsidRPr="008B1975">
              <w:t>Infrastructure</w:t>
            </w:r>
          </w:p>
        </w:tc>
      </w:tr>
      <w:tr w:rsidR="00DE081B" w:rsidRPr="008B1975" w14:paraId="38958912" w14:textId="77777777" w:rsidTr="00CC36E0">
        <w:trPr>
          <w:trHeight w:val="300"/>
        </w:trPr>
        <w:tc>
          <w:tcPr>
            <w:tcW w:w="1667" w:type="pct"/>
            <w:tcBorders>
              <w:top w:val="single" w:sz="12" w:space="0" w:color="auto"/>
              <w:left w:val="nil"/>
              <w:bottom w:val="single" w:sz="12" w:space="0" w:color="auto"/>
              <w:right w:val="nil"/>
            </w:tcBorders>
            <w:hideMark/>
          </w:tcPr>
          <w:p w14:paraId="2B637238" w14:textId="77777777" w:rsidR="00DE081B" w:rsidRPr="008B1975" w:rsidRDefault="00DE081B" w:rsidP="00DE081B">
            <w:pPr>
              <w:pStyle w:val="Tabletext"/>
            </w:pPr>
            <w:r w:rsidRPr="008B1975">
              <w:t>The following:</w:t>
            </w:r>
          </w:p>
          <w:p w14:paraId="212193E1" w14:textId="77777777" w:rsidR="00DE081B" w:rsidRPr="008B1975" w:rsidRDefault="00DE081B" w:rsidP="00DE081B">
            <w:pPr>
              <w:pStyle w:val="Tabletext"/>
            </w:pPr>
            <w:r w:rsidRPr="008B1975">
              <w:t>(a) ferries</w:t>
            </w:r>
            <w:r w:rsidR="00EE7F8E" w:rsidRPr="008B1975">
              <w:t>;</w:t>
            </w:r>
          </w:p>
          <w:p w14:paraId="2032E7CC" w14:textId="77777777" w:rsidR="00DE081B" w:rsidRPr="008B1975" w:rsidRDefault="00DE081B" w:rsidP="00DE081B">
            <w:pPr>
              <w:pStyle w:val="Tabletext"/>
            </w:pPr>
            <w:r w:rsidRPr="008B1975">
              <w:t>(b) trains</w:t>
            </w:r>
          </w:p>
        </w:tc>
        <w:tc>
          <w:tcPr>
            <w:tcW w:w="1667" w:type="pct"/>
            <w:tcBorders>
              <w:top w:val="single" w:sz="12" w:space="0" w:color="auto"/>
              <w:left w:val="nil"/>
              <w:bottom w:val="single" w:sz="12" w:space="0" w:color="auto"/>
              <w:right w:val="nil"/>
            </w:tcBorders>
            <w:hideMark/>
          </w:tcPr>
          <w:p w14:paraId="5BF33468"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1C2E5592" w14:textId="77777777" w:rsidR="00DE081B" w:rsidRPr="008B1975" w:rsidRDefault="00DE081B" w:rsidP="00DE081B">
            <w:pPr>
              <w:pStyle w:val="Tabletext"/>
            </w:pPr>
            <w:r w:rsidRPr="008B1975">
              <w:t>None</w:t>
            </w:r>
          </w:p>
        </w:tc>
      </w:tr>
    </w:tbl>
    <w:p w14:paraId="5BB858DF" w14:textId="77777777" w:rsidR="00824838" w:rsidRPr="008B1975" w:rsidRDefault="00824838" w:rsidP="00824838">
      <w:pPr>
        <w:pStyle w:val="ActHead6"/>
        <w:pageBreakBefore/>
      </w:pPr>
      <w:bookmarkStart w:id="284" w:name="_Toc197178974"/>
      <w:r w:rsidRPr="008B1975">
        <w:lastRenderedPageBreak/>
        <w:t>Schedule 23—Part 23 (Street furniture) Amendments</w:t>
      </w:r>
      <w:bookmarkEnd w:id="284"/>
    </w:p>
    <w:p w14:paraId="4A363AFA" w14:textId="77777777" w:rsidR="00824838" w:rsidRPr="008B1975" w:rsidRDefault="00824838" w:rsidP="00824838">
      <w:pPr>
        <w:pStyle w:val="ActHead9"/>
      </w:pPr>
      <w:bookmarkStart w:id="285" w:name="_Toc197178975"/>
      <w:r w:rsidRPr="008B1975">
        <w:t>Disability Standards for Accessible Public Transport 2002</w:t>
      </w:r>
      <w:bookmarkEnd w:id="285"/>
    </w:p>
    <w:p w14:paraId="1D816C1A" w14:textId="77777777" w:rsidR="00DE081B" w:rsidRPr="008B1975" w:rsidRDefault="00946DEA" w:rsidP="00946DEA">
      <w:pPr>
        <w:pStyle w:val="ItemHead"/>
      </w:pPr>
      <w:bookmarkStart w:id="286" w:name="_Ref185340651"/>
      <w:r w:rsidRPr="008B1975">
        <w:t xml:space="preserve">1  </w:t>
      </w:r>
      <w:r w:rsidR="00DE081B" w:rsidRPr="008B1975">
        <w:t>Section 23.1</w:t>
      </w:r>
      <w:bookmarkEnd w:id="286"/>
    </w:p>
    <w:p w14:paraId="091CEEC6" w14:textId="77777777" w:rsidR="00DE081B" w:rsidRPr="008B1975" w:rsidRDefault="00DE081B" w:rsidP="00DE081B">
      <w:pPr>
        <w:pStyle w:val="Item"/>
      </w:pPr>
      <w:r w:rsidRPr="008B1975">
        <w:t>Before “Seats”, insert “(1)”.</w:t>
      </w:r>
    </w:p>
    <w:p w14:paraId="3600E6CA" w14:textId="77777777" w:rsidR="00DE081B" w:rsidRPr="008B1975" w:rsidRDefault="00946DEA" w:rsidP="00946DEA">
      <w:pPr>
        <w:pStyle w:val="ItemHead"/>
      </w:pPr>
      <w:bookmarkStart w:id="287" w:name="_Ref185340653"/>
      <w:r w:rsidRPr="008B1975">
        <w:t xml:space="preserve">2  </w:t>
      </w:r>
      <w:r w:rsidR="00DE081B" w:rsidRPr="008B1975">
        <w:t>Section 23.1 (table)</w:t>
      </w:r>
      <w:bookmarkEnd w:id="287"/>
    </w:p>
    <w:p w14:paraId="5BA2AA73" w14:textId="77777777" w:rsidR="00DE081B" w:rsidRPr="008B1975" w:rsidRDefault="00DE081B" w:rsidP="00DE081B">
      <w:pPr>
        <w:pStyle w:val="Item"/>
      </w:pPr>
      <w:r w:rsidRPr="008B1975">
        <w:t>Repeal the table, substitute:</w:t>
      </w:r>
    </w:p>
    <w:p w14:paraId="0A71DA2B" w14:textId="77777777" w:rsidR="00DE081B" w:rsidRPr="008B1975" w:rsidRDefault="00DE081B" w:rsidP="00DE081B">
      <w:pPr>
        <w:pStyle w:val="subsection"/>
      </w:pPr>
      <w:r w:rsidRPr="008B1975">
        <w:tab/>
        <w:t>(2)</w:t>
      </w:r>
      <w:r w:rsidRPr="008B1975">
        <w:tab/>
        <w:t>The following table specifies which conveyances, premises and infrastructure this section applies to.</w:t>
      </w:r>
    </w:p>
    <w:p w14:paraId="4CCB55AC"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0A368895"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2FA28E36" w14:textId="77777777" w:rsidR="00DE081B" w:rsidRPr="008B1975" w:rsidRDefault="00DE081B" w:rsidP="00DE081B">
            <w:pPr>
              <w:pStyle w:val="TableHeading"/>
            </w:pPr>
            <w:r w:rsidRPr="008B1975">
              <w:t>Application of this section</w:t>
            </w:r>
          </w:p>
        </w:tc>
      </w:tr>
      <w:tr w:rsidR="00DE081B" w:rsidRPr="008B1975" w14:paraId="6BE596D3" w14:textId="77777777" w:rsidTr="00CC36E0">
        <w:trPr>
          <w:trHeight w:val="300"/>
          <w:tblHeader/>
        </w:trPr>
        <w:tc>
          <w:tcPr>
            <w:tcW w:w="1667" w:type="pct"/>
            <w:tcBorders>
              <w:top w:val="single" w:sz="6" w:space="0" w:color="auto"/>
              <w:left w:val="nil"/>
              <w:bottom w:val="single" w:sz="12" w:space="0" w:color="auto"/>
              <w:right w:val="nil"/>
            </w:tcBorders>
            <w:hideMark/>
          </w:tcPr>
          <w:p w14:paraId="6922833C"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6C117D18"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75F8FBED" w14:textId="77777777" w:rsidR="00DE081B" w:rsidRPr="008B1975" w:rsidRDefault="00DE081B" w:rsidP="00DE081B">
            <w:pPr>
              <w:pStyle w:val="TableHeading"/>
            </w:pPr>
            <w:r w:rsidRPr="008B1975">
              <w:t>Infrastructure</w:t>
            </w:r>
          </w:p>
        </w:tc>
      </w:tr>
      <w:tr w:rsidR="00DE081B" w:rsidRPr="008B1975" w14:paraId="04F2B571" w14:textId="77777777" w:rsidTr="00CC36E0">
        <w:trPr>
          <w:trHeight w:val="300"/>
        </w:trPr>
        <w:tc>
          <w:tcPr>
            <w:tcW w:w="1667" w:type="pct"/>
            <w:tcBorders>
              <w:top w:val="single" w:sz="12" w:space="0" w:color="auto"/>
              <w:left w:val="nil"/>
              <w:bottom w:val="single" w:sz="12" w:space="0" w:color="auto"/>
              <w:right w:val="nil"/>
            </w:tcBorders>
            <w:hideMark/>
          </w:tcPr>
          <w:p w14:paraId="61D813DD" w14:textId="77777777" w:rsidR="00DE081B" w:rsidRPr="008B1975" w:rsidRDefault="00DE081B" w:rsidP="00DE081B">
            <w:pPr>
              <w:pStyle w:val="Tabletext"/>
            </w:pPr>
            <w:r w:rsidRPr="008B1975">
              <w:t>None</w:t>
            </w:r>
          </w:p>
        </w:tc>
        <w:tc>
          <w:tcPr>
            <w:tcW w:w="1667" w:type="pct"/>
            <w:tcBorders>
              <w:top w:val="single" w:sz="12" w:space="0" w:color="auto"/>
              <w:left w:val="nil"/>
              <w:bottom w:val="single" w:sz="12" w:space="0" w:color="auto"/>
              <w:right w:val="nil"/>
            </w:tcBorders>
            <w:hideMark/>
          </w:tcPr>
          <w:p w14:paraId="397EDED3" w14:textId="77777777" w:rsidR="00DE081B" w:rsidRPr="008B1975" w:rsidRDefault="00DE081B" w:rsidP="00DE081B">
            <w:pPr>
              <w:pStyle w:val="Tabletext"/>
            </w:pPr>
            <w:r w:rsidRPr="008B1975">
              <w:t>All</w:t>
            </w:r>
          </w:p>
        </w:tc>
        <w:tc>
          <w:tcPr>
            <w:tcW w:w="1667" w:type="pct"/>
            <w:tcBorders>
              <w:top w:val="single" w:sz="12" w:space="0" w:color="auto"/>
              <w:left w:val="nil"/>
              <w:bottom w:val="single" w:sz="12" w:space="0" w:color="auto"/>
              <w:right w:val="nil"/>
            </w:tcBorders>
            <w:hideMark/>
          </w:tcPr>
          <w:p w14:paraId="533720D0" w14:textId="77777777" w:rsidR="00DE081B" w:rsidRPr="008B1975" w:rsidRDefault="00DE081B" w:rsidP="00DE081B">
            <w:pPr>
              <w:pStyle w:val="Tabletext"/>
            </w:pPr>
            <w:r w:rsidRPr="008B1975">
              <w:t>All</w:t>
            </w:r>
          </w:p>
        </w:tc>
      </w:tr>
    </w:tbl>
    <w:p w14:paraId="6E275669" w14:textId="77777777" w:rsidR="00824838" w:rsidRPr="008B1975" w:rsidRDefault="00824838" w:rsidP="00824838">
      <w:pPr>
        <w:pStyle w:val="ActHead6"/>
        <w:pageBreakBefore/>
        <w:rPr>
          <w:rStyle w:val="CharAmSchText"/>
        </w:rPr>
      </w:pPr>
      <w:bookmarkStart w:id="288" w:name="_Toc197178976"/>
      <w:r w:rsidRPr="008B1975">
        <w:lastRenderedPageBreak/>
        <w:t>Schedule 24—Part 24 (Gateways) Amendments</w:t>
      </w:r>
      <w:bookmarkEnd w:id="288"/>
    </w:p>
    <w:p w14:paraId="762AFA58" w14:textId="77777777" w:rsidR="00824838" w:rsidRPr="008B1975" w:rsidRDefault="00824838" w:rsidP="00824838">
      <w:pPr>
        <w:pStyle w:val="ActHead9"/>
      </w:pPr>
      <w:bookmarkStart w:id="289" w:name="_Toc197178977"/>
      <w:r w:rsidRPr="008B1975">
        <w:t>Disability Standards for Accessible Public Transport 2002</w:t>
      </w:r>
      <w:bookmarkEnd w:id="289"/>
    </w:p>
    <w:p w14:paraId="69D2FA14" w14:textId="77777777" w:rsidR="00870D07" w:rsidRPr="008B1975" w:rsidRDefault="00946DEA" w:rsidP="00946DEA">
      <w:pPr>
        <w:pStyle w:val="ItemHead"/>
      </w:pPr>
      <w:bookmarkStart w:id="290" w:name="_Ref185340699"/>
      <w:r w:rsidRPr="008B1975">
        <w:t xml:space="preserve">1  </w:t>
      </w:r>
      <w:r w:rsidR="00870D07" w:rsidRPr="008B1975">
        <w:t>Part 24</w:t>
      </w:r>
      <w:bookmarkEnd w:id="290"/>
    </w:p>
    <w:p w14:paraId="5DD0B1B2" w14:textId="77777777" w:rsidR="00870D07" w:rsidRPr="008B1975" w:rsidRDefault="00870D07" w:rsidP="00870D07">
      <w:pPr>
        <w:pStyle w:val="Item"/>
      </w:pPr>
      <w:r w:rsidRPr="008B1975">
        <w:t>Repeal the Part, substitute:</w:t>
      </w:r>
    </w:p>
    <w:p w14:paraId="2A3DF11A" w14:textId="77777777" w:rsidR="00870D07" w:rsidRPr="008B1975" w:rsidRDefault="00870D07" w:rsidP="001715D4">
      <w:pPr>
        <w:pStyle w:val="ActHead2"/>
        <w:outlineLvl w:val="9"/>
      </w:pPr>
      <w:r w:rsidRPr="008B1975">
        <w:t>Part 24—Access gates</w:t>
      </w:r>
    </w:p>
    <w:p w14:paraId="25573A74" w14:textId="77777777" w:rsidR="00870D07" w:rsidRPr="008B1975" w:rsidRDefault="00870D07" w:rsidP="001715D4">
      <w:pPr>
        <w:pStyle w:val="ActHead5"/>
        <w:outlineLvl w:val="9"/>
      </w:pPr>
      <w:r w:rsidRPr="008B1975">
        <w:t>24.1  Access gates</w:t>
      </w:r>
    </w:p>
    <w:p w14:paraId="1E6A3CF9" w14:textId="77777777" w:rsidR="00870D07" w:rsidRPr="008B1975" w:rsidRDefault="00870D07" w:rsidP="001715D4">
      <w:pPr>
        <w:pStyle w:val="subsection"/>
      </w:pPr>
      <w:r w:rsidRPr="008B1975">
        <w:tab/>
        <w:t>(1)</w:t>
      </w:r>
      <w:r w:rsidRPr="008B1975">
        <w:tab/>
        <w:t>If an access gate forms a barrier between paid and unpaid areas of a station or interchange, the gate must have a minimum width of 850</w:t>
      </w:r>
      <w:r w:rsidR="00D00538" w:rsidRPr="008B1975">
        <w:t xml:space="preserve"> </w:t>
      </w:r>
      <w:r w:rsidRPr="008B1975">
        <w:t>mm.</w:t>
      </w:r>
    </w:p>
    <w:p w14:paraId="6CB1E536" w14:textId="77777777" w:rsidR="00870D07" w:rsidRPr="008B1975" w:rsidRDefault="00870D07" w:rsidP="001715D4">
      <w:pPr>
        <w:pStyle w:val="subsection"/>
      </w:pPr>
      <w:r w:rsidRPr="008B1975">
        <w:tab/>
        <w:t>(2)</w:t>
      </w:r>
      <w:r w:rsidRPr="008B1975">
        <w:tab/>
        <w:t>The following table specifies conveyances, premises and infrastructure this section applies to.</w:t>
      </w:r>
    </w:p>
    <w:p w14:paraId="7FB330C4" w14:textId="77777777" w:rsidR="00870D07" w:rsidRPr="008B1975" w:rsidRDefault="00870D07"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70D07" w:rsidRPr="008B1975" w14:paraId="1EC4BCAC"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1862BBA1" w14:textId="77777777" w:rsidR="00870D07" w:rsidRPr="008B1975" w:rsidRDefault="00870D07" w:rsidP="001715D4">
            <w:pPr>
              <w:pStyle w:val="TableHeading"/>
            </w:pPr>
            <w:r w:rsidRPr="008B1975">
              <w:t>Application of this section</w:t>
            </w:r>
          </w:p>
        </w:tc>
      </w:tr>
      <w:tr w:rsidR="00870D07" w:rsidRPr="008B1975" w14:paraId="3F05103A" w14:textId="77777777" w:rsidTr="00CC36E0">
        <w:trPr>
          <w:trHeight w:val="300"/>
          <w:tblHeader/>
        </w:trPr>
        <w:tc>
          <w:tcPr>
            <w:tcW w:w="1667" w:type="pct"/>
            <w:tcBorders>
              <w:top w:val="single" w:sz="6" w:space="0" w:color="auto"/>
              <w:bottom w:val="single" w:sz="12" w:space="0" w:color="auto"/>
            </w:tcBorders>
            <w:shd w:val="clear" w:color="auto" w:fill="auto"/>
            <w:hideMark/>
          </w:tcPr>
          <w:p w14:paraId="7C86DA43" w14:textId="77777777" w:rsidR="00870D07" w:rsidRPr="008B1975" w:rsidRDefault="00870D07"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C703CFE" w14:textId="77777777" w:rsidR="00870D07" w:rsidRPr="008B1975" w:rsidRDefault="00870D07"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58E0B177" w14:textId="77777777" w:rsidR="00870D07" w:rsidRPr="008B1975" w:rsidRDefault="00870D07" w:rsidP="001715D4">
            <w:pPr>
              <w:pStyle w:val="TableHeading"/>
            </w:pPr>
            <w:r w:rsidRPr="008B1975">
              <w:t>Infrastructure</w:t>
            </w:r>
          </w:p>
        </w:tc>
      </w:tr>
      <w:tr w:rsidR="00870D07" w:rsidRPr="008B1975" w14:paraId="4713A5A7" w14:textId="77777777" w:rsidTr="00CC36E0">
        <w:trPr>
          <w:trHeight w:val="300"/>
        </w:trPr>
        <w:tc>
          <w:tcPr>
            <w:tcW w:w="1667" w:type="pct"/>
            <w:tcBorders>
              <w:top w:val="single" w:sz="12" w:space="0" w:color="auto"/>
              <w:bottom w:val="single" w:sz="12" w:space="0" w:color="auto"/>
            </w:tcBorders>
            <w:shd w:val="clear" w:color="auto" w:fill="auto"/>
            <w:hideMark/>
          </w:tcPr>
          <w:p w14:paraId="404C4D6C" w14:textId="77777777" w:rsidR="00870D07" w:rsidRPr="008B1975" w:rsidRDefault="00870D07" w:rsidP="001715D4">
            <w:pPr>
              <w:pStyle w:val="Tablea"/>
            </w:pPr>
            <w:r w:rsidRPr="008B1975">
              <w:t>None</w:t>
            </w:r>
          </w:p>
        </w:tc>
        <w:tc>
          <w:tcPr>
            <w:tcW w:w="1667" w:type="pct"/>
            <w:tcBorders>
              <w:top w:val="single" w:sz="12" w:space="0" w:color="auto"/>
              <w:bottom w:val="single" w:sz="12" w:space="0" w:color="auto"/>
            </w:tcBorders>
            <w:shd w:val="clear" w:color="auto" w:fill="auto"/>
          </w:tcPr>
          <w:p w14:paraId="4A430598" w14:textId="77777777" w:rsidR="00870D07" w:rsidRPr="008B1975" w:rsidRDefault="00870D07" w:rsidP="001715D4">
            <w:pPr>
              <w:pStyle w:val="Tabletext"/>
            </w:pPr>
            <w:r w:rsidRPr="008B1975">
              <w:t>All</w:t>
            </w:r>
          </w:p>
        </w:tc>
        <w:tc>
          <w:tcPr>
            <w:tcW w:w="1667" w:type="pct"/>
            <w:tcBorders>
              <w:top w:val="single" w:sz="12" w:space="0" w:color="auto"/>
              <w:bottom w:val="single" w:sz="12" w:space="0" w:color="auto"/>
            </w:tcBorders>
            <w:shd w:val="clear" w:color="auto" w:fill="auto"/>
          </w:tcPr>
          <w:p w14:paraId="083A7E80" w14:textId="77777777" w:rsidR="00870D07" w:rsidRPr="008B1975" w:rsidRDefault="00870D07" w:rsidP="001715D4">
            <w:pPr>
              <w:pStyle w:val="Tabletext"/>
            </w:pPr>
            <w:r w:rsidRPr="008B1975">
              <w:t>All</w:t>
            </w:r>
          </w:p>
        </w:tc>
      </w:tr>
    </w:tbl>
    <w:p w14:paraId="57C6D780" w14:textId="77777777" w:rsidR="00824838" w:rsidRPr="008B1975" w:rsidRDefault="00824838" w:rsidP="00824838">
      <w:pPr>
        <w:pStyle w:val="ActHead6"/>
        <w:pageBreakBefore/>
      </w:pPr>
      <w:bookmarkStart w:id="291" w:name="_Toc197178978"/>
      <w:r w:rsidRPr="008B1975">
        <w:lastRenderedPageBreak/>
        <w:t>Schedule 25—Part 25 (Payment of fares) Amendments</w:t>
      </w:r>
      <w:bookmarkEnd w:id="291"/>
    </w:p>
    <w:p w14:paraId="02462F8E" w14:textId="77777777" w:rsidR="00824838" w:rsidRPr="008B1975" w:rsidRDefault="00824838" w:rsidP="00824838">
      <w:pPr>
        <w:pStyle w:val="ActHead9"/>
      </w:pPr>
      <w:bookmarkStart w:id="292" w:name="_Toc197178979"/>
      <w:r w:rsidRPr="008B1975">
        <w:t>Disability Standards for Accessible Public Transport 2002</w:t>
      </w:r>
      <w:bookmarkEnd w:id="292"/>
    </w:p>
    <w:p w14:paraId="599B1D32" w14:textId="77777777" w:rsidR="00DE081B" w:rsidRPr="008B1975" w:rsidRDefault="00946DEA" w:rsidP="00946DEA">
      <w:pPr>
        <w:pStyle w:val="ItemHead"/>
      </w:pPr>
      <w:bookmarkStart w:id="293" w:name="_Ref185279252"/>
      <w:bookmarkStart w:id="294" w:name="_Ref180487599"/>
      <w:r w:rsidRPr="008B1975">
        <w:t xml:space="preserve">1  </w:t>
      </w:r>
      <w:r w:rsidR="00DE081B" w:rsidRPr="008B1975">
        <w:t>Section 25.1</w:t>
      </w:r>
      <w:bookmarkEnd w:id="293"/>
    </w:p>
    <w:p w14:paraId="2EBBF35D" w14:textId="77777777" w:rsidR="00DE081B" w:rsidRPr="008B1975" w:rsidRDefault="00DE081B" w:rsidP="001715D4">
      <w:pPr>
        <w:pStyle w:val="Item"/>
      </w:pPr>
      <w:r w:rsidRPr="008B1975">
        <w:t>Before “All”, insert “(1)”.</w:t>
      </w:r>
    </w:p>
    <w:p w14:paraId="7B740C5A" w14:textId="77777777" w:rsidR="00DE081B" w:rsidRPr="008B1975" w:rsidRDefault="00946DEA" w:rsidP="00946DEA">
      <w:pPr>
        <w:pStyle w:val="ItemHead"/>
      </w:pPr>
      <w:bookmarkStart w:id="295" w:name="_Ref185279260"/>
      <w:r w:rsidRPr="008B1975">
        <w:t xml:space="preserve">2  </w:t>
      </w:r>
      <w:r w:rsidR="00DE081B" w:rsidRPr="008B1975">
        <w:t>Section 25.1 (table)</w:t>
      </w:r>
      <w:bookmarkEnd w:id="295"/>
    </w:p>
    <w:p w14:paraId="2E0AC32B" w14:textId="77777777" w:rsidR="00DE081B" w:rsidRPr="008B1975" w:rsidRDefault="00DE081B" w:rsidP="001715D4">
      <w:pPr>
        <w:pStyle w:val="Item"/>
      </w:pPr>
      <w:r w:rsidRPr="008B1975">
        <w:t>Repeal the table, substitute:</w:t>
      </w:r>
    </w:p>
    <w:p w14:paraId="6DEE26CE" w14:textId="77777777" w:rsidR="00DE081B" w:rsidRPr="008B1975" w:rsidRDefault="00DE081B" w:rsidP="001715D4">
      <w:pPr>
        <w:pStyle w:val="subsection"/>
      </w:pPr>
      <w:r w:rsidRPr="008B1975">
        <w:tab/>
        <w:t>(2)</w:t>
      </w:r>
      <w:r w:rsidRPr="008B1975">
        <w:tab/>
        <w:t>The following table specifies which conveyances, premises and infrastructure this section applies to.</w:t>
      </w:r>
    </w:p>
    <w:p w14:paraId="64539309" w14:textId="77777777" w:rsidR="00DE081B" w:rsidRPr="008B1975" w:rsidRDefault="00DE081B"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354C43AB"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753CB72E" w14:textId="77777777" w:rsidR="00DE081B" w:rsidRPr="008B1975" w:rsidRDefault="00DE081B" w:rsidP="001715D4">
            <w:pPr>
              <w:pStyle w:val="TableHeading"/>
            </w:pPr>
            <w:r w:rsidRPr="008B1975">
              <w:t>Application of this section</w:t>
            </w:r>
          </w:p>
        </w:tc>
      </w:tr>
      <w:tr w:rsidR="00DE081B" w:rsidRPr="008B1975" w14:paraId="04413909" w14:textId="77777777" w:rsidTr="00CC36E0">
        <w:trPr>
          <w:trHeight w:val="300"/>
          <w:tblHeader/>
        </w:trPr>
        <w:tc>
          <w:tcPr>
            <w:tcW w:w="1667" w:type="pct"/>
            <w:tcBorders>
              <w:top w:val="single" w:sz="6" w:space="0" w:color="auto"/>
              <w:left w:val="nil"/>
              <w:bottom w:val="single" w:sz="12" w:space="0" w:color="auto"/>
              <w:right w:val="nil"/>
            </w:tcBorders>
            <w:hideMark/>
          </w:tcPr>
          <w:p w14:paraId="49CCB696" w14:textId="77777777" w:rsidR="00DE081B" w:rsidRPr="008B1975" w:rsidRDefault="00DE081B"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4D856C90" w14:textId="77777777" w:rsidR="00DE081B" w:rsidRPr="008B1975" w:rsidRDefault="00DE081B"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12A2A283" w14:textId="77777777" w:rsidR="00DE081B" w:rsidRPr="008B1975" w:rsidRDefault="00DE081B" w:rsidP="001715D4">
            <w:pPr>
              <w:pStyle w:val="TableHeading"/>
            </w:pPr>
            <w:r w:rsidRPr="008B1975">
              <w:t>Infrastructure</w:t>
            </w:r>
          </w:p>
        </w:tc>
      </w:tr>
      <w:tr w:rsidR="00DE081B" w:rsidRPr="008B1975" w14:paraId="47AB76A7" w14:textId="77777777" w:rsidTr="00CC36E0">
        <w:trPr>
          <w:trHeight w:val="300"/>
        </w:trPr>
        <w:tc>
          <w:tcPr>
            <w:tcW w:w="1667" w:type="pct"/>
            <w:tcBorders>
              <w:top w:val="single" w:sz="12" w:space="0" w:color="auto"/>
              <w:left w:val="nil"/>
              <w:bottom w:val="single" w:sz="12" w:space="0" w:color="auto"/>
              <w:right w:val="nil"/>
            </w:tcBorders>
            <w:hideMark/>
          </w:tcPr>
          <w:p w14:paraId="5535BFA5" w14:textId="77777777" w:rsidR="00DE081B" w:rsidRPr="008B1975" w:rsidRDefault="00DE081B"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0A0611AF" w14:textId="77777777" w:rsidR="00DE081B" w:rsidRPr="008B1975" w:rsidRDefault="00DE081B"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25E119E7" w14:textId="77777777" w:rsidR="00DE081B" w:rsidRPr="008B1975" w:rsidRDefault="00DE081B" w:rsidP="001715D4">
            <w:pPr>
              <w:pStyle w:val="Tabletext"/>
            </w:pPr>
            <w:r w:rsidRPr="008B1975">
              <w:t>All</w:t>
            </w:r>
          </w:p>
        </w:tc>
      </w:tr>
    </w:tbl>
    <w:p w14:paraId="17F3C64D" w14:textId="77777777" w:rsidR="00870D07" w:rsidRPr="008B1975" w:rsidRDefault="00946DEA" w:rsidP="00946DEA">
      <w:pPr>
        <w:pStyle w:val="ItemHead"/>
      </w:pPr>
      <w:bookmarkStart w:id="296" w:name="_Ref185279473"/>
      <w:r w:rsidRPr="008B1975">
        <w:t xml:space="preserve">3  </w:t>
      </w:r>
      <w:r w:rsidR="00870D07" w:rsidRPr="008B1975">
        <w:t>Section 25.2</w:t>
      </w:r>
      <w:bookmarkEnd w:id="296"/>
    </w:p>
    <w:p w14:paraId="7E0B4572" w14:textId="77777777" w:rsidR="00870D07" w:rsidRPr="008B1975" w:rsidRDefault="00870D07" w:rsidP="001715D4">
      <w:pPr>
        <w:pStyle w:val="Item"/>
      </w:pPr>
      <w:r w:rsidRPr="008B1975">
        <w:t>Repeal the section, substitute:</w:t>
      </w:r>
    </w:p>
    <w:p w14:paraId="11741F94" w14:textId="77777777" w:rsidR="00870D07" w:rsidRPr="008B1975" w:rsidRDefault="00870D07" w:rsidP="001715D4">
      <w:pPr>
        <w:pStyle w:val="ActHead5"/>
        <w:outlineLvl w:val="9"/>
      </w:pPr>
      <w:r w:rsidRPr="008B1975">
        <w:t>25.2  Requirements for an accessible fare system</w:t>
      </w:r>
    </w:p>
    <w:p w14:paraId="2EEC194E" w14:textId="77777777" w:rsidR="00870D07" w:rsidRPr="008B1975" w:rsidRDefault="00870D07" w:rsidP="001715D4">
      <w:pPr>
        <w:pStyle w:val="subsection"/>
      </w:pPr>
      <w:r w:rsidRPr="008B1975">
        <w:tab/>
        <w:t>(1)</w:t>
      </w:r>
      <w:r w:rsidRPr="008B1975">
        <w:tab/>
        <w:t>A fare system must not require actions from a person with a disability that exceed what is required of a person without a disability.</w:t>
      </w:r>
    </w:p>
    <w:p w14:paraId="32938314" w14:textId="77777777" w:rsidR="00870D07" w:rsidRPr="008B1975" w:rsidRDefault="00870D07" w:rsidP="001715D4">
      <w:pPr>
        <w:pStyle w:val="notetext"/>
      </w:pPr>
      <w:r w:rsidRPr="008B1975">
        <w:t>Note:</w:t>
      </w:r>
      <w:r w:rsidRPr="008B1975">
        <w:tab/>
        <w:t>If a fare system has a digital information screen, the screen must comply with section 17.5.</w:t>
      </w:r>
    </w:p>
    <w:p w14:paraId="60186384" w14:textId="77777777" w:rsidR="00870D07" w:rsidRPr="008B1975" w:rsidRDefault="00870D07" w:rsidP="001715D4">
      <w:pPr>
        <w:pStyle w:val="SubsectionHead"/>
      </w:pPr>
      <w:r w:rsidRPr="008B1975">
        <w:t>Fare system must comply with AS EN 301 549 (2020)</w:t>
      </w:r>
    </w:p>
    <w:p w14:paraId="22AEA336" w14:textId="77777777" w:rsidR="00870D07" w:rsidRPr="008B1975" w:rsidRDefault="00870D07" w:rsidP="001715D4">
      <w:pPr>
        <w:pStyle w:val="subsection"/>
      </w:pPr>
      <w:r w:rsidRPr="008B1975">
        <w:tab/>
        <w:t>(2)</w:t>
      </w:r>
      <w:r w:rsidRPr="008B1975">
        <w:tab/>
        <w:t>A fare system must comply with the following from AS EN 301 549 (2020):</w:t>
      </w:r>
    </w:p>
    <w:p w14:paraId="20B80372" w14:textId="77777777" w:rsidR="00870D07" w:rsidRPr="008B1975" w:rsidRDefault="00870D07" w:rsidP="001715D4">
      <w:pPr>
        <w:pStyle w:val="paragraph"/>
      </w:pPr>
      <w:r w:rsidRPr="008B1975">
        <w:tab/>
        <w:t>(a)</w:t>
      </w:r>
      <w:r w:rsidRPr="008B1975">
        <w:tab/>
        <w:t>clause 5.1.3.1 (which deals with audio output of visual information);</w:t>
      </w:r>
    </w:p>
    <w:p w14:paraId="4E68E210" w14:textId="77777777" w:rsidR="00870D07" w:rsidRPr="008B1975" w:rsidRDefault="00870D07" w:rsidP="001715D4">
      <w:pPr>
        <w:pStyle w:val="paragraph"/>
      </w:pPr>
      <w:r w:rsidRPr="008B1975">
        <w:tab/>
        <w:t>(b)</w:t>
      </w:r>
      <w:r w:rsidRPr="008B1975">
        <w:tab/>
        <w:t>clause 5.1.3.3 (which deals with auditory output correlation);</w:t>
      </w:r>
    </w:p>
    <w:p w14:paraId="28B55BC0" w14:textId="77777777" w:rsidR="00870D07" w:rsidRPr="008B1975" w:rsidRDefault="00870D07" w:rsidP="001715D4">
      <w:pPr>
        <w:pStyle w:val="paragraph"/>
      </w:pPr>
      <w:r w:rsidRPr="008B1975">
        <w:tab/>
        <w:t>(c)</w:t>
      </w:r>
      <w:r w:rsidRPr="008B1975">
        <w:tab/>
        <w:t>clause 8.5 (which deals with tactile indication of enabling speech mode on the system).</w:t>
      </w:r>
    </w:p>
    <w:p w14:paraId="508DA9B8" w14:textId="77777777" w:rsidR="00870D07" w:rsidRPr="008B1975" w:rsidRDefault="00870D07" w:rsidP="001715D4">
      <w:pPr>
        <w:pStyle w:val="subsection"/>
      </w:pPr>
      <w:r w:rsidRPr="008B1975">
        <w:tab/>
        <w:t>(</w:t>
      </w:r>
      <w:r w:rsidR="00413071" w:rsidRPr="008B1975">
        <w:t>3</w:t>
      </w:r>
      <w:r w:rsidRPr="008B1975">
        <w:t>)</w:t>
      </w:r>
      <w:r w:rsidRPr="008B1975">
        <w:tab/>
        <w:t>If the hardware and software used by a fare system is to be used by a member of the public:</w:t>
      </w:r>
    </w:p>
    <w:p w14:paraId="65B4D0EE" w14:textId="77777777" w:rsidR="00870D07" w:rsidRPr="008B1975" w:rsidRDefault="00870D07" w:rsidP="001715D4">
      <w:pPr>
        <w:pStyle w:val="paragraph"/>
      </w:pPr>
      <w:r w:rsidRPr="008B1975">
        <w:tab/>
        <w:t>(a)</w:t>
      </w:r>
      <w:r w:rsidRPr="008B1975">
        <w:tab/>
        <w:t>the hardware must comply with section 8 of AS EN 301 549 (2020); and</w:t>
      </w:r>
    </w:p>
    <w:p w14:paraId="64C0398A" w14:textId="77777777" w:rsidR="00870D07" w:rsidRPr="008B1975" w:rsidRDefault="00870D07" w:rsidP="001715D4">
      <w:pPr>
        <w:pStyle w:val="paragraph"/>
      </w:pPr>
      <w:r w:rsidRPr="008B1975">
        <w:tab/>
        <w:t>(b)</w:t>
      </w:r>
      <w:r w:rsidRPr="008B1975">
        <w:tab/>
        <w:t>the software must comply with section 11 of AS EN 301 549 (2020).</w:t>
      </w:r>
    </w:p>
    <w:p w14:paraId="3D6C3F5F" w14:textId="77777777" w:rsidR="00870D07" w:rsidRPr="008B1975" w:rsidRDefault="00870D07" w:rsidP="001715D4">
      <w:pPr>
        <w:pStyle w:val="SubsectionHead"/>
      </w:pPr>
      <w:r w:rsidRPr="008B1975">
        <w:t>Alternative ways of paying fare must be provided</w:t>
      </w:r>
    </w:p>
    <w:p w14:paraId="7CC7E9FD" w14:textId="77777777" w:rsidR="00870D07" w:rsidRPr="008B1975" w:rsidRDefault="00413071" w:rsidP="00413071">
      <w:pPr>
        <w:pStyle w:val="subsection"/>
      </w:pPr>
      <w:r w:rsidRPr="008B1975">
        <w:tab/>
        <w:t>(4)</w:t>
      </w:r>
      <w:r w:rsidRPr="008B1975">
        <w:tab/>
      </w:r>
      <w:r w:rsidR="00870D07" w:rsidRPr="008B1975">
        <w:t>If a person’s disability affects that person’s use of the standard fare system provided by an operator or provider, that person must be provided with another way of paying the fare to use a public transport service. The other way of paying the fare must:</w:t>
      </w:r>
    </w:p>
    <w:p w14:paraId="1C687DE2" w14:textId="77777777" w:rsidR="00870D07" w:rsidRPr="008B1975" w:rsidRDefault="00870D07" w:rsidP="001715D4">
      <w:pPr>
        <w:pStyle w:val="paragraph"/>
      </w:pPr>
      <w:r w:rsidRPr="008B1975">
        <w:tab/>
        <w:t>(a)</w:t>
      </w:r>
      <w:r w:rsidRPr="008B1975">
        <w:tab/>
        <w:t>not result in the person paying more than a person without the disability; and</w:t>
      </w:r>
    </w:p>
    <w:p w14:paraId="6FB1FB06" w14:textId="77777777" w:rsidR="00870D07" w:rsidRPr="008B1975" w:rsidRDefault="00870D07" w:rsidP="001715D4">
      <w:pPr>
        <w:pStyle w:val="paragraph"/>
      </w:pPr>
      <w:r w:rsidRPr="008B1975">
        <w:tab/>
        <w:t>(b)</w:t>
      </w:r>
      <w:r w:rsidRPr="008B1975">
        <w:tab/>
        <w:t>facilitate independent access by the person to the public transport service; and</w:t>
      </w:r>
    </w:p>
    <w:p w14:paraId="19F810AA" w14:textId="77777777" w:rsidR="00724307" w:rsidRPr="008B1975" w:rsidRDefault="00724307" w:rsidP="001715D4">
      <w:pPr>
        <w:pStyle w:val="paragraph"/>
      </w:pPr>
      <w:r w:rsidRPr="008B1975">
        <w:lastRenderedPageBreak/>
        <w:tab/>
        <w:t>(c)</w:t>
      </w:r>
      <w:r w:rsidRPr="008B1975">
        <w:tab/>
        <w:t>meet equivalent access principles.</w:t>
      </w:r>
    </w:p>
    <w:p w14:paraId="5CA40A6B" w14:textId="77777777" w:rsidR="00724307" w:rsidRPr="008B1975" w:rsidRDefault="00724307" w:rsidP="00724307">
      <w:pPr>
        <w:pStyle w:val="notetext"/>
      </w:pPr>
      <w:r w:rsidRPr="008B1975">
        <w:t>Note:</w:t>
      </w:r>
      <w:r w:rsidRPr="008B1975">
        <w:tab/>
      </w:r>
      <w:r w:rsidR="00774175" w:rsidRPr="008B1975">
        <w:t>See sections 33.3 to 33.5 in relation to equivalent access.</w:t>
      </w:r>
    </w:p>
    <w:p w14:paraId="1C30A1B6" w14:textId="77777777" w:rsidR="00870D07" w:rsidRPr="008B1975" w:rsidRDefault="00870D07" w:rsidP="001715D4">
      <w:pPr>
        <w:pStyle w:val="SubsectionHead"/>
      </w:pPr>
      <w:r w:rsidRPr="008B1975">
        <w:t>Location of the fare system</w:t>
      </w:r>
    </w:p>
    <w:p w14:paraId="10B879BE" w14:textId="77777777" w:rsidR="00870D07" w:rsidRPr="008B1975" w:rsidRDefault="00870D07" w:rsidP="001715D4">
      <w:pPr>
        <w:pStyle w:val="subsection"/>
        <w:rPr>
          <w:i/>
        </w:rPr>
      </w:pPr>
      <w:r w:rsidRPr="008B1975">
        <w:tab/>
        <w:t>(</w:t>
      </w:r>
      <w:r w:rsidR="00413071" w:rsidRPr="008B1975">
        <w:t>5</w:t>
      </w:r>
      <w:r w:rsidRPr="008B1975">
        <w:t>)</w:t>
      </w:r>
      <w:r w:rsidRPr="008B1975">
        <w:tab/>
        <w:t>A</w:t>
      </w:r>
      <w:r w:rsidR="00A91E45" w:rsidRPr="008B1975">
        <w:t xml:space="preserve"> </w:t>
      </w:r>
      <w:r w:rsidRPr="008B1975">
        <w:t>fare system designed for persons using mobility aids must:</w:t>
      </w:r>
    </w:p>
    <w:p w14:paraId="10233176" w14:textId="77777777" w:rsidR="00870D07" w:rsidRPr="008B1975" w:rsidRDefault="00870D07" w:rsidP="001715D4">
      <w:pPr>
        <w:pStyle w:val="paragraph"/>
      </w:pPr>
      <w:r w:rsidRPr="008B1975">
        <w:tab/>
        <w:t>(a)</w:t>
      </w:r>
      <w:r w:rsidRPr="008B1975">
        <w:tab/>
        <w:t>be located adjacent to other fare systems; and</w:t>
      </w:r>
    </w:p>
    <w:p w14:paraId="312D41A0" w14:textId="77777777" w:rsidR="00870D07" w:rsidRPr="008B1975" w:rsidRDefault="00870D07" w:rsidP="001715D4">
      <w:pPr>
        <w:pStyle w:val="paragraph"/>
      </w:pPr>
      <w:r w:rsidRPr="008B1975">
        <w:tab/>
        <w:t>(b)</w:t>
      </w:r>
      <w:r w:rsidRPr="008B1975">
        <w:tab/>
        <w:t>be orientated, where possible, to minimise the effect of glare on any digital screens used.</w:t>
      </w:r>
    </w:p>
    <w:p w14:paraId="303B7516" w14:textId="77777777" w:rsidR="00870D07" w:rsidRPr="008B1975" w:rsidRDefault="00870D07" w:rsidP="001715D4">
      <w:pPr>
        <w:pStyle w:val="SubsectionHead"/>
      </w:pPr>
      <w:r w:rsidRPr="008B1975">
        <w:t>Reach ranges</w:t>
      </w:r>
    </w:p>
    <w:p w14:paraId="74079E49" w14:textId="77777777" w:rsidR="00870D07" w:rsidRPr="008B1975" w:rsidRDefault="00870D07" w:rsidP="001715D4">
      <w:pPr>
        <w:pStyle w:val="subsection"/>
      </w:pPr>
      <w:r w:rsidRPr="008B1975">
        <w:tab/>
        <w:t>(</w:t>
      </w:r>
      <w:r w:rsidR="00413071" w:rsidRPr="008B1975">
        <w:t>6</w:t>
      </w:r>
      <w:r w:rsidRPr="008B1975">
        <w:t>)</w:t>
      </w:r>
      <w:r w:rsidRPr="008B1975">
        <w:tab/>
        <w:t>A fare system must include either or both of the following:</w:t>
      </w:r>
    </w:p>
    <w:p w14:paraId="635059CB" w14:textId="77777777" w:rsidR="00870D07" w:rsidRPr="008B1975" w:rsidRDefault="00870D07" w:rsidP="001715D4">
      <w:pPr>
        <w:pStyle w:val="paragraph"/>
      </w:pPr>
      <w:r w:rsidRPr="008B1975">
        <w:tab/>
        <w:t>(a)</w:t>
      </w:r>
      <w:r w:rsidRPr="008B1975">
        <w:tab/>
        <w:t>forward reaches that comply with clause 8.3.2 of AS EN 301 549 (2020);</w:t>
      </w:r>
    </w:p>
    <w:p w14:paraId="1C91A394" w14:textId="77777777" w:rsidR="00870D07" w:rsidRPr="008B1975" w:rsidRDefault="00870D07" w:rsidP="001715D4">
      <w:pPr>
        <w:pStyle w:val="paragraph"/>
      </w:pPr>
      <w:r w:rsidRPr="008B1975">
        <w:tab/>
        <w:t>(b)</w:t>
      </w:r>
      <w:r w:rsidRPr="008B1975">
        <w:tab/>
        <w:t>side reaches that comply with clause 8.3.3 of AS EN 30 549 (2020).</w:t>
      </w:r>
    </w:p>
    <w:p w14:paraId="1A3D2EA6" w14:textId="2FC234F2" w:rsidR="00870D07" w:rsidRPr="008B1975" w:rsidRDefault="00870D07" w:rsidP="001715D4">
      <w:pPr>
        <w:pStyle w:val="subsection"/>
      </w:pPr>
      <w:r w:rsidRPr="008B1975">
        <w:tab/>
        <w:t>(</w:t>
      </w:r>
      <w:r w:rsidR="00413071" w:rsidRPr="008B1975">
        <w:t>7</w:t>
      </w:r>
      <w:r w:rsidRPr="008B1975">
        <w:t>)</w:t>
      </w:r>
      <w:r w:rsidRPr="008B1975">
        <w:tab/>
        <w:t>An operator or provider must maintain forward reaches or side reaches included on a fare system to comply with subsection (</w:t>
      </w:r>
      <w:r w:rsidR="00555998" w:rsidRPr="008B1975">
        <w:t>6</w:t>
      </w:r>
      <w:r w:rsidRPr="008B1975">
        <w:t>).</w:t>
      </w:r>
    </w:p>
    <w:p w14:paraId="38334D87" w14:textId="77777777" w:rsidR="00870D07" w:rsidRPr="008B1975" w:rsidRDefault="00870D07" w:rsidP="001715D4">
      <w:pPr>
        <w:pStyle w:val="SubsectionHead"/>
      </w:pPr>
      <w:r w:rsidRPr="008B1975">
        <w:t>Application table</w:t>
      </w:r>
    </w:p>
    <w:p w14:paraId="233208DD" w14:textId="77777777" w:rsidR="00870D07" w:rsidRPr="008B1975" w:rsidRDefault="00870D07" w:rsidP="001715D4">
      <w:pPr>
        <w:pStyle w:val="subsection"/>
      </w:pPr>
      <w:r w:rsidRPr="008B1975">
        <w:tab/>
        <w:t>(</w:t>
      </w:r>
      <w:r w:rsidR="00413071" w:rsidRPr="008B1975">
        <w:t>8</w:t>
      </w:r>
      <w:r w:rsidRPr="008B1975">
        <w:t>)</w:t>
      </w:r>
      <w:r w:rsidRPr="008B1975">
        <w:tab/>
        <w:t>The following table specifies conveyances, premises and infrastructure this section applies to.</w:t>
      </w:r>
    </w:p>
    <w:p w14:paraId="518AD170" w14:textId="77777777" w:rsidR="00870D07" w:rsidRPr="008B1975" w:rsidRDefault="00870D07"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870D07" w:rsidRPr="008B1975" w14:paraId="4D4D136E"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559196A5" w14:textId="77777777" w:rsidR="00870D07" w:rsidRPr="008B1975" w:rsidRDefault="00870D07" w:rsidP="001715D4">
            <w:pPr>
              <w:pStyle w:val="TableHeading"/>
            </w:pPr>
            <w:r w:rsidRPr="008B1975">
              <w:t>Application of this section</w:t>
            </w:r>
          </w:p>
        </w:tc>
      </w:tr>
      <w:tr w:rsidR="00870D07" w:rsidRPr="008B1975" w14:paraId="2D39CD19" w14:textId="77777777" w:rsidTr="00CC36E0">
        <w:trPr>
          <w:trHeight w:val="300"/>
          <w:tblHeader/>
        </w:trPr>
        <w:tc>
          <w:tcPr>
            <w:tcW w:w="1667" w:type="pct"/>
            <w:tcBorders>
              <w:top w:val="single" w:sz="6" w:space="0" w:color="auto"/>
              <w:bottom w:val="single" w:sz="12" w:space="0" w:color="auto"/>
            </w:tcBorders>
            <w:shd w:val="clear" w:color="auto" w:fill="auto"/>
            <w:hideMark/>
          </w:tcPr>
          <w:p w14:paraId="20EF347C" w14:textId="77777777" w:rsidR="00870D07" w:rsidRPr="008B1975" w:rsidRDefault="00870D07"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13BD4481" w14:textId="77777777" w:rsidR="00870D07" w:rsidRPr="008B1975" w:rsidRDefault="00870D07"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5EF9B8F7" w14:textId="77777777" w:rsidR="00870D07" w:rsidRPr="008B1975" w:rsidRDefault="00870D07" w:rsidP="001715D4">
            <w:pPr>
              <w:pStyle w:val="TableHeading"/>
            </w:pPr>
            <w:r w:rsidRPr="008B1975">
              <w:t>Infrastructure</w:t>
            </w:r>
          </w:p>
        </w:tc>
      </w:tr>
      <w:tr w:rsidR="00870D07" w:rsidRPr="008B1975" w14:paraId="110772C3" w14:textId="77777777" w:rsidTr="00CC36E0">
        <w:trPr>
          <w:trHeight w:val="300"/>
        </w:trPr>
        <w:tc>
          <w:tcPr>
            <w:tcW w:w="1667" w:type="pct"/>
            <w:tcBorders>
              <w:top w:val="single" w:sz="12" w:space="0" w:color="auto"/>
              <w:bottom w:val="single" w:sz="12" w:space="0" w:color="auto"/>
            </w:tcBorders>
            <w:shd w:val="clear" w:color="auto" w:fill="auto"/>
            <w:hideMark/>
          </w:tcPr>
          <w:p w14:paraId="1D7E0B1B" w14:textId="77777777" w:rsidR="00870D07" w:rsidRPr="008B1975" w:rsidRDefault="00870D07" w:rsidP="00DF53A0">
            <w:pPr>
              <w:pStyle w:val="Tabletext"/>
            </w:pPr>
            <w:r w:rsidRPr="008B1975">
              <w:t>All</w:t>
            </w:r>
          </w:p>
        </w:tc>
        <w:tc>
          <w:tcPr>
            <w:tcW w:w="1667" w:type="pct"/>
            <w:tcBorders>
              <w:top w:val="single" w:sz="12" w:space="0" w:color="auto"/>
              <w:bottom w:val="single" w:sz="12" w:space="0" w:color="auto"/>
            </w:tcBorders>
            <w:shd w:val="clear" w:color="auto" w:fill="auto"/>
          </w:tcPr>
          <w:p w14:paraId="077CC82E" w14:textId="77777777" w:rsidR="00870D07" w:rsidRPr="008B1975" w:rsidRDefault="00870D07" w:rsidP="001715D4">
            <w:pPr>
              <w:pStyle w:val="Tabletext"/>
            </w:pPr>
            <w:r w:rsidRPr="008B1975">
              <w:t>All</w:t>
            </w:r>
          </w:p>
        </w:tc>
        <w:tc>
          <w:tcPr>
            <w:tcW w:w="1667" w:type="pct"/>
            <w:tcBorders>
              <w:top w:val="single" w:sz="12" w:space="0" w:color="auto"/>
              <w:bottom w:val="single" w:sz="12" w:space="0" w:color="auto"/>
            </w:tcBorders>
            <w:shd w:val="clear" w:color="auto" w:fill="auto"/>
          </w:tcPr>
          <w:p w14:paraId="5918371F" w14:textId="77777777" w:rsidR="00870D07" w:rsidRPr="008B1975" w:rsidRDefault="00870D07" w:rsidP="001715D4">
            <w:pPr>
              <w:pStyle w:val="Tabletext"/>
            </w:pPr>
            <w:r w:rsidRPr="008B1975">
              <w:t>All</w:t>
            </w:r>
          </w:p>
        </w:tc>
      </w:tr>
    </w:tbl>
    <w:p w14:paraId="65CA55CA" w14:textId="77777777" w:rsidR="00DE081B" w:rsidRPr="008B1975" w:rsidRDefault="00946DEA" w:rsidP="00946DEA">
      <w:pPr>
        <w:pStyle w:val="ItemHead"/>
      </w:pPr>
      <w:bookmarkStart w:id="297" w:name="_Ref185279591"/>
      <w:r w:rsidRPr="008B1975">
        <w:t xml:space="preserve">4  </w:t>
      </w:r>
      <w:r w:rsidR="00DE081B" w:rsidRPr="008B1975">
        <w:t>Section 25.3</w:t>
      </w:r>
      <w:bookmarkEnd w:id="297"/>
    </w:p>
    <w:p w14:paraId="1E4A1401" w14:textId="77777777" w:rsidR="00DE081B" w:rsidRPr="008B1975" w:rsidRDefault="00DE081B" w:rsidP="00DE081B">
      <w:pPr>
        <w:pStyle w:val="Item"/>
      </w:pPr>
      <w:r w:rsidRPr="008B1975">
        <w:t>Before “Vending”, insert “(1)”.</w:t>
      </w:r>
    </w:p>
    <w:p w14:paraId="1AEE3A3D" w14:textId="77777777" w:rsidR="00DE081B" w:rsidRPr="008B1975" w:rsidRDefault="00946DEA" w:rsidP="00946DEA">
      <w:pPr>
        <w:pStyle w:val="ItemHead"/>
      </w:pPr>
      <w:bookmarkStart w:id="298" w:name="_Ref185340828"/>
      <w:r w:rsidRPr="008B1975">
        <w:t xml:space="preserve">5  </w:t>
      </w:r>
      <w:r w:rsidR="00DE081B" w:rsidRPr="008B1975">
        <w:t>Section 25.3 (table)</w:t>
      </w:r>
      <w:bookmarkEnd w:id="298"/>
    </w:p>
    <w:p w14:paraId="403D01C3" w14:textId="77777777" w:rsidR="00DE081B" w:rsidRPr="008B1975" w:rsidRDefault="00DE081B" w:rsidP="00DE081B">
      <w:pPr>
        <w:pStyle w:val="Item"/>
      </w:pPr>
      <w:r w:rsidRPr="008B1975">
        <w:t>Repeal the table, substitute:</w:t>
      </w:r>
    </w:p>
    <w:p w14:paraId="7F797A3D" w14:textId="77777777" w:rsidR="00DE081B" w:rsidRPr="008B1975" w:rsidRDefault="00DE081B" w:rsidP="00DE081B">
      <w:pPr>
        <w:pStyle w:val="subsection"/>
      </w:pPr>
      <w:r w:rsidRPr="008B1975">
        <w:tab/>
        <w:t>(2)</w:t>
      </w:r>
      <w:r w:rsidRPr="008B1975">
        <w:tab/>
        <w:t>The following table specifies which conveyances, premises and infrastructure this section applies to.</w:t>
      </w:r>
    </w:p>
    <w:p w14:paraId="725385A5" w14:textId="77777777" w:rsidR="00DE081B" w:rsidRPr="008B1975" w:rsidRDefault="00DE081B" w:rsidP="00DE081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081B" w:rsidRPr="008B1975" w14:paraId="38416689" w14:textId="77777777" w:rsidTr="00DE081B">
        <w:trPr>
          <w:trHeight w:val="300"/>
          <w:tblHeader/>
        </w:trPr>
        <w:tc>
          <w:tcPr>
            <w:tcW w:w="5000" w:type="pct"/>
            <w:gridSpan w:val="3"/>
            <w:tcBorders>
              <w:top w:val="single" w:sz="12" w:space="0" w:color="auto"/>
              <w:left w:val="nil"/>
              <w:bottom w:val="single" w:sz="6" w:space="0" w:color="auto"/>
              <w:right w:val="nil"/>
            </w:tcBorders>
            <w:hideMark/>
          </w:tcPr>
          <w:p w14:paraId="093B0527" w14:textId="77777777" w:rsidR="00DE081B" w:rsidRPr="008B1975" w:rsidRDefault="00DE081B" w:rsidP="00DE081B">
            <w:pPr>
              <w:pStyle w:val="TableHeading"/>
            </w:pPr>
            <w:r w:rsidRPr="008B1975">
              <w:t>Application of this section</w:t>
            </w:r>
          </w:p>
        </w:tc>
      </w:tr>
      <w:tr w:rsidR="00DE081B" w:rsidRPr="008B1975" w14:paraId="2406611D" w14:textId="77777777" w:rsidTr="00CC36E0">
        <w:trPr>
          <w:trHeight w:val="300"/>
          <w:tblHeader/>
        </w:trPr>
        <w:tc>
          <w:tcPr>
            <w:tcW w:w="1667" w:type="pct"/>
            <w:tcBorders>
              <w:top w:val="single" w:sz="6" w:space="0" w:color="auto"/>
              <w:left w:val="nil"/>
              <w:bottom w:val="single" w:sz="12" w:space="0" w:color="auto"/>
              <w:right w:val="nil"/>
            </w:tcBorders>
            <w:hideMark/>
          </w:tcPr>
          <w:p w14:paraId="4007668B" w14:textId="77777777" w:rsidR="00DE081B" w:rsidRPr="008B1975" w:rsidRDefault="00DE081B" w:rsidP="00DE081B">
            <w:pPr>
              <w:pStyle w:val="TableHeading"/>
            </w:pPr>
            <w:r w:rsidRPr="008B1975">
              <w:t>Conveyances</w:t>
            </w:r>
          </w:p>
        </w:tc>
        <w:tc>
          <w:tcPr>
            <w:tcW w:w="1667" w:type="pct"/>
            <w:tcBorders>
              <w:top w:val="single" w:sz="6" w:space="0" w:color="auto"/>
              <w:left w:val="nil"/>
              <w:bottom w:val="single" w:sz="12" w:space="0" w:color="auto"/>
              <w:right w:val="nil"/>
            </w:tcBorders>
            <w:hideMark/>
          </w:tcPr>
          <w:p w14:paraId="76F5B4FD" w14:textId="77777777" w:rsidR="00DE081B" w:rsidRPr="008B1975" w:rsidRDefault="00DE081B" w:rsidP="00DE081B">
            <w:pPr>
              <w:pStyle w:val="TableHeading"/>
            </w:pPr>
            <w:r w:rsidRPr="008B1975">
              <w:t>Premises</w:t>
            </w:r>
          </w:p>
        </w:tc>
        <w:tc>
          <w:tcPr>
            <w:tcW w:w="1667" w:type="pct"/>
            <w:tcBorders>
              <w:top w:val="single" w:sz="6" w:space="0" w:color="auto"/>
              <w:left w:val="nil"/>
              <w:bottom w:val="single" w:sz="12" w:space="0" w:color="auto"/>
              <w:right w:val="nil"/>
            </w:tcBorders>
            <w:hideMark/>
          </w:tcPr>
          <w:p w14:paraId="4B2D4D96" w14:textId="77777777" w:rsidR="00DE081B" w:rsidRPr="008B1975" w:rsidRDefault="00DE081B" w:rsidP="00DE081B">
            <w:pPr>
              <w:pStyle w:val="TableHeading"/>
            </w:pPr>
            <w:r w:rsidRPr="008B1975">
              <w:t>Infrastructure</w:t>
            </w:r>
          </w:p>
        </w:tc>
      </w:tr>
      <w:tr w:rsidR="00DE081B" w:rsidRPr="008B1975" w14:paraId="3594BD82" w14:textId="77777777" w:rsidTr="00CC36E0">
        <w:trPr>
          <w:trHeight w:val="300"/>
        </w:trPr>
        <w:tc>
          <w:tcPr>
            <w:tcW w:w="1667" w:type="pct"/>
            <w:tcBorders>
              <w:top w:val="single" w:sz="12" w:space="0" w:color="auto"/>
              <w:left w:val="nil"/>
              <w:bottom w:val="single" w:sz="12" w:space="0" w:color="auto"/>
              <w:right w:val="nil"/>
            </w:tcBorders>
            <w:hideMark/>
          </w:tcPr>
          <w:p w14:paraId="23C86569" w14:textId="77777777" w:rsidR="00DE081B" w:rsidRPr="008B1975" w:rsidRDefault="00DE081B" w:rsidP="00DE081B">
            <w:pPr>
              <w:pStyle w:val="Tabletext"/>
            </w:pPr>
            <w:r w:rsidRPr="008B1975">
              <w:t>All</w:t>
            </w:r>
          </w:p>
        </w:tc>
        <w:tc>
          <w:tcPr>
            <w:tcW w:w="1667" w:type="pct"/>
            <w:tcBorders>
              <w:top w:val="single" w:sz="12" w:space="0" w:color="auto"/>
              <w:left w:val="nil"/>
              <w:bottom w:val="single" w:sz="12" w:space="0" w:color="auto"/>
              <w:right w:val="nil"/>
            </w:tcBorders>
            <w:hideMark/>
          </w:tcPr>
          <w:p w14:paraId="59E738BF" w14:textId="77777777" w:rsidR="00DE081B" w:rsidRPr="008B1975" w:rsidRDefault="00DE081B" w:rsidP="00DE081B">
            <w:pPr>
              <w:pStyle w:val="Tabletext"/>
            </w:pPr>
            <w:r w:rsidRPr="008B1975">
              <w:t>All</w:t>
            </w:r>
          </w:p>
        </w:tc>
        <w:tc>
          <w:tcPr>
            <w:tcW w:w="1667" w:type="pct"/>
            <w:tcBorders>
              <w:top w:val="single" w:sz="12" w:space="0" w:color="auto"/>
              <w:left w:val="nil"/>
              <w:bottom w:val="single" w:sz="12" w:space="0" w:color="auto"/>
              <w:right w:val="nil"/>
            </w:tcBorders>
            <w:hideMark/>
          </w:tcPr>
          <w:p w14:paraId="1678DBCB" w14:textId="77777777" w:rsidR="00DE081B" w:rsidRPr="008B1975" w:rsidRDefault="00DE081B" w:rsidP="00DE081B">
            <w:pPr>
              <w:pStyle w:val="Tabletext"/>
            </w:pPr>
            <w:r w:rsidRPr="008B1975">
              <w:t>All</w:t>
            </w:r>
          </w:p>
        </w:tc>
      </w:tr>
    </w:tbl>
    <w:p w14:paraId="2636F800" w14:textId="77777777" w:rsidR="00A92C81" w:rsidRPr="008B1975" w:rsidRDefault="00946DEA" w:rsidP="00946DEA">
      <w:pPr>
        <w:pStyle w:val="ItemHead"/>
      </w:pPr>
      <w:bookmarkStart w:id="299" w:name="_Ref185340830"/>
      <w:r w:rsidRPr="008B1975">
        <w:t xml:space="preserve">6  </w:t>
      </w:r>
      <w:r w:rsidR="00A92C81" w:rsidRPr="008B1975">
        <w:t>Section 25.4</w:t>
      </w:r>
      <w:bookmarkEnd w:id="299"/>
    </w:p>
    <w:p w14:paraId="25D4CE53" w14:textId="77777777" w:rsidR="00A92C81" w:rsidRPr="008B1975" w:rsidRDefault="00A92C81" w:rsidP="00A92C81">
      <w:pPr>
        <w:pStyle w:val="Item"/>
      </w:pPr>
      <w:r w:rsidRPr="008B1975">
        <w:t>Before “The”, insert “(1)”.</w:t>
      </w:r>
    </w:p>
    <w:p w14:paraId="6FFC1413" w14:textId="77777777" w:rsidR="008D0C53" w:rsidRPr="008B1975" w:rsidRDefault="00946DEA" w:rsidP="00946DEA">
      <w:pPr>
        <w:pStyle w:val="ItemHead"/>
      </w:pPr>
      <w:bookmarkStart w:id="300" w:name="_Ref185340831"/>
      <w:r w:rsidRPr="008B1975">
        <w:t xml:space="preserve">7  </w:t>
      </w:r>
      <w:r w:rsidR="008D0C53" w:rsidRPr="008B1975">
        <w:t>Section 25.4</w:t>
      </w:r>
      <w:bookmarkEnd w:id="294"/>
      <w:bookmarkEnd w:id="300"/>
    </w:p>
    <w:p w14:paraId="349B1982" w14:textId="77777777" w:rsidR="008D0C53" w:rsidRPr="008B1975" w:rsidRDefault="008D0C53" w:rsidP="008D0C53">
      <w:pPr>
        <w:pStyle w:val="Item"/>
        <w:rPr>
          <w:rFonts w:eastAsia="Calibri"/>
          <w:lang w:val="en-US"/>
        </w:rPr>
      </w:pPr>
      <w:r w:rsidRPr="008B1975">
        <w:t>Omit “</w:t>
      </w:r>
      <w:r w:rsidRPr="008B1975">
        <w:rPr>
          <w:b/>
        </w:rPr>
        <w:t>AS1428.2 (1992) Clause 6.2,</w:t>
      </w:r>
      <w:r w:rsidRPr="008B1975">
        <w:t xml:space="preserve"> </w:t>
      </w:r>
      <w:r w:rsidRPr="008B1975">
        <w:rPr>
          <w:i/>
        </w:rPr>
        <w:t>Circulation space for 180 degree wheelchair turn</w:t>
      </w:r>
      <w:r w:rsidRPr="008B1975">
        <w:t xml:space="preserve">”, substitute “clause 3.5 of </w:t>
      </w:r>
      <w:r w:rsidRPr="008B1975">
        <w:rPr>
          <w:rFonts w:eastAsia="Calibri"/>
          <w:lang w:val="en-US"/>
        </w:rPr>
        <w:t>AS1428.1 (2021)”.</w:t>
      </w:r>
    </w:p>
    <w:p w14:paraId="3D2E6CC3" w14:textId="77777777" w:rsidR="00A92C81" w:rsidRPr="008B1975" w:rsidRDefault="00946DEA" w:rsidP="00946DEA">
      <w:pPr>
        <w:pStyle w:val="ItemHead"/>
      </w:pPr>
      <w:bookmarkStart w:id="301" w:name="_Ref185279541"/>
      <w:bookmarkStart w:id="302" w:name="_Ref180487603"/>
      <w:r w:rsidRPr="008B1975">
        <w:lastRenderedPageBreak/>
        <w:t xml:space="preserve">8  </w:t>
      </w:r>
      <w:r w:rsidR="00A92C81" w:rsidRPr="008B1975">
        <w:t>Section 25.4 (table)</w:t>
      </w:r>
      <w:bookmarkEnd w:id="301"/>
    </w:p>
    <w:p w14:paraId="390F5B31" w14:textId="77777777" w:rsidR="00A92C81" w:rsidRPr="008B1975" w:rsidRDefault="00A92C81" w:rsidP="00A92C81">
      <w:pPr>
        <w:pStyle w:val="Item"/>
      </w:pPr>
      <w:r w:rsidRPr="008B1975">
        <w:t>Repeal the table, substitute:</w:t>
      </w:r>
    </w:p>
    <w:p w14:paraId="1D2A454A" w14:textId="77777777" w:rsidR="00A92C81" w:rsidRPr="008B1975" w:rsidRDefault="00A92C81" w:rsidP="00A92C81">
      <w:pPr>
        <w:pStyle w:val="subsection"/>
      </w:pPr>
      <w:r w:rsidRPr="008B1975">
        <w:tab/>
        <w:t>(2)</w:t>
      </w:r>
      <w:r w:rsidRPr="008B1975">
        <w:tab/>
        <w:t>The following table specifies which conveyances, premises and infrastructure this section applies to.</w:t>
      </w:r>
    </w:p>
    <w:p w14:paraId="79B0DD3B" w14:textId="77777777" w:rsidR="00A92C81" w:rsidRPr="008B1975" w:rsidRDefault="00A92C81" w:rsidP="00A92C8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2E280B73"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112406DD" w14:textId="77777777" w:rsidR="00A92C81" w:rsidRPr="008B1975" w:rsidRDefault="00A92C81" w:rsidP="00DA74A5">
            <w:pPr>
              <w:pStyle w:val="TableHeading"/>
            </w:pPr>
            <w:r w:rsidRPr="008B1975">
              <w:t>Application of this section</w:t>
            </w:r>
          </w:p>
        </w:tc>
      </w:tr>
      <w:tr w:rsidR="00A92C81" w:rsidRPr="008B1975" w14:paraId="12C6CF77" w14:textId="77777777" w:rsidTr="00CC36E0">
        <w:trPr>
          <w:trHeight w:val="300"/>
          <w:tblHeader/>
        </w:trPr>
        <w:tc>
          <w:tcPr>
            <w:tcW w:w="1667" w:type="pct"/>
            <w:tcBorders>
              <w:top w:val="single" w:sz="6" w:space="0" w:color="auto"/>
              <w:left w:val="nil"/>
              <w:bottom w:val="single" w:sz="12" w:space="0" w:color="auto"/>
              <w:right w:val="nil"/>
            </w:tcBorders>
            <w:hideMark/>
          </w:tcPr>
          <w:p w14:paraId="514C1956" w14:textId="77777777" w:rsidR="00A92C81" w:rsidRPr="008B1975" w:rsidRDefault="00A92C81"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6F74DAEC" w14:textId="77777777" w:rsidR="00A92C81" w:rsidRPr="008B1975" w:rsidRDefault="00A92C81"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70FF720A" w14:textId="77777777" w:rsidR="00A92C81" w:rsidRPr="008B1975" w:rsidRDefault="00A92C81" w:rsidP="00DA74A5">
            <w:pPr>
              <w:pStyle w:val="TableHeading"/>
            </w:pPr>
            <w:r w:rsidRPr="008B1975">
              <w:t>Infrastructure</w:t>
            </w:r>
          </w:p>
        </w:tc>
      </w:tr>
      <w:tr w:rsidR="00A92C81" w:rsidRPr="008B1975" w14:paraId="18B83E8B" w14:textId="77777777" w:rsidTr="00CC36E0">
        <w:trPr>
          <w:trHeight w:val="300"/>
        </w:trPr>
        <w:tc>
          <w:tcPr>
            <w:tcW w:w="1667" w:type="pct"/>
            <w:tcBorders>
              <w:top w:val="single" w:sz="12" w:space="0" w:color="auto"/>
              <w:left w:val="nil"/>
              <w:bottom w:val="single" w:sz="12" w:space="0" w:color="auto"/>
              <w:right w:val="nil"/>
            </w:tcBorders>
            <w:hideMark/>
          </w:tcPr>
          <w:p w14:paraId="7011B602" w14:textId="77777777" w:rsidR="00A92C81" w:rsidRPr="008B1975" w:rsidRDefault="00A92C81"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72806A40" w14:textId="77777777" w:rsidR="00A92C81" w:rsidRPr="008B1975" w:rsidRDefault="00A92C81" w:rsidP="00DA74A5">
            <w:pPr>
              <w:pStyle w:val="Tabletext"/>
            </w:pPr>
            <w:r w:rsidRPr="008B1975">
              <w:t>All</w:t>
            </w:r>
          </w:p>
        </w:tc>
        <w:tc>
          <w:tcPr>
            <w:tcW w:w="1667" w:type="pct"/>
            <w:tcBorders>
              <w:top w:val="single" w:sz="12" w:space="0" w:color="auto"/>
              <w:left w:val="nil"/>
              <w:bottom w:val="single" w:sz="12" w:space="0" w:color="auto"/>
              <w:right w:val="nil"/>
            </w:tcBorders>
            <w:hideMark/>
          </w:tcPr>
          <w:p w14:paraId="43791F72" w14:textId="77777777" w:rsidR="00A92C81" w:rsidRPr="008B1975" w:rsidRDefault="00A92C81" w:rsidP="00DA74A5">
            <w:pPr>
              <w:pStyle w:val="Tabletext"/>
            </w:pPr>
            <w:r w:rsidRPr="008B1975">
              <w:t>All</w:t>
            </w:r>
          </w:p>
        </w:tc>
      </w:tr>
    </w:tbl>
    <w:p w14:paraId="6F442413" w14:textId="77777777" w:rsidR="00824838" w:rsidRPr="008B1975" w:rsidRDefault="00824838" w:rsidP="00824838">
      <w:pPr>
        <w:pStyle w:val="ActHead6"/>
        <w:pageBreakBefore/>
        <w:rPr>
          <w:rStyle w:val="CharAmSchText"/>
        </w:rPr>
      </w:pPr>
      <w:bookmarkStart w:id="303" w:name="_Toc197178980"/>
      <w:bookmarkEnd w:id="302"/>
      <w:r w:rsidRPr="008B1975">
        <w:lastRenderedPageBreak/>
        <w:t>Schedule 26—Part 26 (Hearing augmentation–listening systems) Amendments</w:t>
      </w:r>
      <w:bookmarkEnd w:id="303"/>
    </w:p>
    <w:p w14:paraId="2428D4FB" w14:textId="77777777" w:rsidR="00824838" w:rsidRPr="008B1975" w:rsidRDefault="00824838" w:rsidP="00824838">
      <w:pPr>
        <w:pStyle w:val="ActHead9"/>
      </w:pPr>
      <w:bookmarkStart w:id="304" w:name="_Toc197178981"/>
      <w:r w:rsidRPr="008B1975">
        <w:t>Disability Standards for Accessible Public Transport 2002</w:t>
      </w:r>
      <w:bookmarkEnd w:id="304"/>
    </w:p>
    <w:p w14:paraId="4D7F6033" w14:textId="77777777" w:rsidR="00A92C81" w:rsidRPr="008B1975" w:rsidRDefault="00946DEA" w:rsidP="00946DEA">
      <w:pPr>
        <w:pStyle w:val="ItemHead"/>
      </w:pPr>
      <w:bookmarkStart w:id="305" w:name="_Ref185340902"/>
      <w:r w:rsidRPr="008B1975">
        <w:t xml:space="preserve">1  </w:t>
      </w:r>
      <w:r w:rsidR="00A92C81" w:rsidRPr="008B1975">
        <w:t>Section 26.1</w:t>
      </w:r>
      <w:bookmarkEnd w:id="305"/>
    </w:p>
    <w:p w14:paraId="2A9A5527" w14:textId="77777777" w:rsidR="00A92C81" w:rsidRPr="008B1975" w:rsidRDefault="00A92C81" w:rsidP="00A92C81">
      <w:pPr>
        <w:pStyle w:val="Item"/>
      </w:pPr>
      <w:r w:rsidRPr="008B1975">
        <w:t>Before “If”, insert “(1)”.</w:t>
      </w:r>
    </w:p>
    <w:p w14:paraId="7DC17DB9" w14:textId="77777777" w:rsidR="00A92C81" w:rsidRPr="008B1975" w:rsidRDefault="00946DEA" w:rsidP="00946DEA">
      <w:pPr>
        <w:pStyle w:val="ItemHead"/>
        <w:ind w:left="0" w:firstLine="0"/>
      </w:pPr>
      <w:bookmarkStart w:id="306" w:name="_Ref185340904"/>
      <w:r w:rsidRPr="008B1975">
        <w:t xml:space="preserve">2  </w:t>
      </w:r>
      <w:r w:rsidR="00A92C81" w:rsidRPr="008B1975">
        <w:t>Section 26.1 (table)</w:t>
      </w:r>
      <w:bookmarkEnd w:id="306"/>
    </w:p>
    <w:p w14:paraId="03012A22" w14:textId="77777777" w:rsidR="00A92C81" w:rsidRPr="008B1975" w:rsidRDefault="00A92C81" w:rsidP="00A92C81">
      <w:pPr>
        <w:pStyle w:val="Item"/>
      </w:pPr>
      <w:r w:rsidRPr="008B1975">
        <w:t>Repeal the table, substitute:</w:t>
      </w:r>
    </w:p>
    <w:p w14:paraId="5EB9FAA5" w14:textId="77777777" w:rsidR="00A92C81" w:rsidRPr="008B1975" w:rsidRDefault="00A92C81" w:rsidP="00A92C81">
      <w:pPr>
        <w:pStyle w:val="subsection"/>
      </w:pPr>
      <w:r w:rsidRPr="008B1975">
        <w:tab/>
        <w:t>(2)</w:t>
      </w:r>
      <w:r w:rsidRPr="008B1975">
        <w:tab/>
        <w:t>The following table specifies which conveyances, premises and infrastructure this section applies to.</w:t>
      </w:r>
    </w:p>
    <w:p w14:paraId="1FD170CD" w14:textId="77777777" w:rsidR="00A92C81" w:rsidRPr="008B1975" w:rsidRDefault="00A92C81" w:rsidP="00A92C8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177B6522"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40E11F52" w14:textId="77777777" w:rsidR="00A92C81" w:rsidRPr="008B1975" w:rsidRDefault="00A92C81" w:rsidP="00DA74A5">
            <w:pPr>
              <w:pStyle w:val="TableHeading"/>
            </w:pPr>
            <w:r w:rsidRPr="008B1975">
              <w:t>Application of this section</w:t>
            </w:r>
          </w:p>
        </w:tc>
      </w:tr>
      <w:tr w:rsidR="00A92C81" w:rsidRPr="008B1975" w14:paraId="2A6FEBB5" w14:textId="77777777" w:rsidTr="00CC36E0">
        <w:trPr>
          <w:trHeight w:val="300"/>
          <w:tblHeader/>
        </w:trPr>
        <w:tc>
          <w:tcPr>
            <w:tcW w:w="1667" w:type="pct"/>
            <w:tcBorders>
              <w:top w:val="single" w:sz="6" w:space="0" w:color="auto"/>
              <w:left w:val="nil"/>
              <w:bottom w:val="single" w:sz="12" w:space="0" w:color="auto"/>
              <w:right w:val="nil"/>
            </w:tcBorders>
            <w:hideMark/>
          </w:tcPr>
          <w:p w14:paraId="73E382BE" w14:textId="77777777" w:rsidR="00A92C81" w:rsidRPr="008B1975" w:rsidRDefault="00A92C81"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7A1BB878" w14:textId="77777777" w:rsidR="00A92C81" w:rsidRPr="008B1975" w:rsidRDefault="00A92C81"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1480C0C4" w14:textId="77777777" w:rsidR="00A92C81" w:rsidRPr="008B1975" w:rsidRDefault="00A92C81" w:rsidP="00DA74A5">
            <w:pPr>
              <w:pStyle w:val="TableHeading"/>
            </w:pPr>
            <w:r w:rsidRPr="008B1975">
              <w:t>Infrastructure</w:t>
            </w:r>
          </w:p>
        </w:tc>
      </w:tr>
      <w:tr w:rsidR="00A92C81" w:rsidRPr="008B1975" w14:paraId="65FC4DFF" w14:textId="77777777" w:rsidTr="00CC36E0">
        <w:trPr>
          <w:trHeight w:val="300"/>
        </w:trPr>
        <w:tc>
          <w:tcPr>
            <w:tcW w:w="1667" w:type="pct"/>
            <w:tcBorders>
              <w:top w:val="single" w:sz="12" w:space="0" w:color="auto"/>
              <w:left w:val="nil"/>
              <w:bottom w:val="single" w:sz="12" w:space="0" w:color="auto"/>
              <w:right w:val="nil"/>
            </w:tcBorders>
            <w:hideMark/>
          </w:tcPr>
          <w:p w14:paraId="22B243B1" w14:textId="77777777" w:rsidR="00A92C81" w:rsidRPr="008B1975" w:rsidRDefault="00A92C81"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2BDB94F9" w14:textId="77777777" w:rsidR="00A92C81" w:rsidRPr="008B1975" w:rsidRDefault="00A92C81" w:rsidP="00DA74A5">
            <w:pPr>
              <w:pStyle w:val="Tabletext"/>
            </w:pPr>
            <w:r w:rsidRPr="008B1975">
              <w:t>All, except premises to which the Premises Standards apply</w:t>
            </w:r>
          </w:p>
        </w:tc>
        <w:tc>
          <w:tcPr>
            <w:tcW w:w="1667" w:type="pct"/>
            <w:tcBorders>
              <w:top w:val="single" w:sz="12" w:space="0" w:color="auto"/>
              <w:left w:val="nil"/>
              <w:bottom w:val="single" w:sz="12" w:space="0" w:color="auto"/>
              <w:right w:val="nil"/>
            </w:tcBorders>
            <w:hideMark/>
          </w:tcPr>
          <w:p w14:paraId="21EEECBA" w14:textId="77777777" w:rsidR="00A92C81" w:rsidRPr="008B1975" w:rsidRDefault="00A92C81" w:rsidP="00DA74A5">
            <w:pPr>
              <w:pStyle w:val="Tabletext"/>
            </w:pPr>
            <w:r w:rsidRPr="008B1975">
              <w:t>All</w:t>
            </w:r>
          </w:p>
        </w:tc>
      </w:tr>
    </w:tbl>
    <w:p w14:paraId="1B4912D8" w14:textId="77777777" w:rsidR="00A92C81" w:rsidRPr="008B1975" w:rsidRDefault="00946DEA" w:rsidP="00946DEA">
      <w:pPr>
        <w:pStyle w:val="ItemHead"/>
      </w:pPr>
      <w:bookmarkStart w:id="307" w:name="_Ref185340905"/>
      <w:r w:rsidRPr="008B1975">
        <w:t xml:space="preserve">3  </w:t>
      </w:r>
      <w:r w:rsidR="00A92C81" w:rsidRPr="008B1975">
        <w:t>Section 26.2</w:t>
      </w:r>
      <w:bookmarkEnd w:id="307"/>
    </w:p>
    <w:p w14:paraId="5D64AED3" w14:textId="77777777" w:rsidR="00A92C81" w:rsidRPr="008B1975" w:rsidRDefault="00A92C81" w:rsidP="00A92C81">
      <w:pPr>
        <w:pStyle w:val="Item"/>
      </w:pPr>
      <w:r w:rsidRPr="008B1975">
        <w:t>Before “If”, insert “(1)”.</w:t>
      </w:r>
    </w:p>
    <w:p w14:paraId="7A93C3FE" w14:textId="77777777" w:rsidR="00A92C81" w:rsidRPr="008B1975" w:rsidRDefault="00946DEA" w:rsidP="00946DEA">
      <w:pPr>
        <w:pStyle w:val="ItemHead"/>
      </w:pPr>
      <w:bookmarkStart w:id="308" w:name="_Ref185340907"/>
      <w:r w:rsidRPr="008B1975">
        <w:t xml:space="preserve">4  </w:t>
      </w:r>
      <w:r w:rsidR="00A92C81" w:rsidRPr="008B1975">
        <w:t>Section 26.2 (table)</w:t>
      </w:r>
      <w:bookmarkEnd w:id="308"/>
    </w:p>
    <w:p w14:paraId="11D2E455" w14:textId="77777777" w:rsidR="00A92C81" w:rsidRPr="008B1975" w:rsidRDefault="00A92C81" w:rsidP="00A92C81">
      <w:pPr>
        <w:pStyle w:val="Item"/>
      </w:pPr>
      <w:r w:rsidRPr="008B1975">
        <w:t>Repeal the table, substitute:</w:t>
      </w:r>
    </w:p>
    <w:p w14:paraId="628E4A7F" w14:textId="77777777" w:rsidR="00A92C81" w:rsidRPr="008B1975" w:rsidRDefault="00A92C81" w:rsidP="00A92C81">
      <w:pPr>
        <w:pStyle w:val="subsection"/>
      </w:pPr>
      <w:r w:rsidRPr="008B1975">
        <w:tab/>
        <w:t>(2)</w:t>
      </w:r>
      <w:r w:rsidRPr="008B1975">
        <w:tab/>
        <w:t>The following table specifies which conveyances, premises and infrastructure this section applies to.</w:t>
      </w:r>
    </w:p>
    <w:p w14:paraId="07CCDE21" w14:textId="77777777" w:rsidR="00A92C81" w:rsidRPr="008B1975" w:rsidRDefault="00A92C81" w:rsidP="00A92C8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11CE5A02"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5972525B" w14:textId="77777777" w:rsidR="00A92C81" w:rsidRPr="008B1975" w:rsidRDefault="00A92C81" w:rsidP="00DA74A5">
            <w:pPr>
              <w:pStyle w:val="TableHeading"/>
            </w:pPr>
            <w:r w:rsidRPr="008B1975">
              <w:t>Application of this section</w:t>
            </w:r>
          </w:p>
        </w:tc>
      </w:tr>
      <w:tr w:rsidR="00A92C81" w:rsidRPr="008B1975" w14:paraId="22394191" w14:textId="77777777" w:rsidTr="00CC36E0">
        <w:trPr>
          <w:trHeight w:val="300"/>
          <w:tblHeader/>
        </w:trPr>
        <w:tc>
          <w:tcPr>
            <w:tcW w:w="1667" w:type="pct"/>
            <w:tcBorders>
              <w:top w:val="single" w:sz="6" w:space="0" w:color="auto"/>
              <w:left w:val="nil"/>
              <w:bottom w:val="single" w:sz="12" w:space="0" w:color="auto"/>
              <w:right w:val="nil"/>
            </w:tcBorders>
            <w:hideMark/>
          </w:tcPr>
          <w:p w14:paraId="345FB640" w14:textId="77777777" w:rsidR="00A92C81" w:rsidRPr="008B1975" w:rsidRDefault="00A92C81"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56DF7F94" w14:textId="77777777" w:rsidR="00A92C81" w:rsidRPr="008B1975" w:rsidRDefault="00A92C81"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572E31CC" w14:textId="77777777" w:rsidR="00A92C81" w:rsidRPr="008B1975" w:rsidRDefault="00A92C81" w:rsidP="00DA74A5">
            <w:pPr>
              <w:pStyle w:val="TableHeading"/>
            </w:pPr>
            <w:r w:rsidRPr="008B1975">
              <w:t>Infrastructure</w:t>
            </w:r>
          </w:p>
        </w:tc>
      </w:tr>
      <w:tr w:rsidR="00A92C81" w:rsidRPr="008B1975" w14:paraId="7F479BAC" w14:textId="77777777" w:rsidTr="00CC36E0">
        <w:trPr>
          <w:trHeight w:val="300"/>
        </w:trPr>
        <w:tc>
          <w:tcPr>
            <w:tcW w:w="1667" w:type="pct"/>
            <w:tcBorders>
              <w:top w:val="single" w:sz="12" w:space="0" w:color="auto"/>
              <w:left w:val="nil"/>
              <w:bottom w:val="single" w:sz="12" w:space="0" w:color="auto"/>
              <w:right w:val="nil"/>
            </w:tcBorders>
            <w:hideMark/>
          </w:tcPr>
          <w:p w14:paraId="09952515" w14:textId="77777777" w:rsidR="00A92C81" w:rsidRPr="008B1975" w:rsidRDefault="00A92C81" w:rsidP="00DA74A5">
            <w:pPr>
              <w:pStyle w:val="Tabletext"/>
            </w:pPr>
            <w:r w:rsidRPr="008B1975">
              <w:t>The following:</w:t>
            </w:r>
          </w:p>
          <w:p w14:paraId="39BC3C18" w14:textId="77777777" w:rsidR="00A92C81" w:rsidRPr="008B1975" w:rsidRDefault="00A92C81" w:rsidP="00DA74A5">
            <w:pPr>
              <w:pStyle w:val="Tabletext"/>
            </w:pPr>
            <w:r w:rsidRPr="008B1975">
              <w:t>(a) buses</w:t>
            </w:r>
            <w:r w:rsidR="00EE7F8E" w:rsidRPr="008B1975">
              <w:t>;</w:t>
            </w:r>
          </w:p>
          <w:p w14:paraId="055A37AB" w14:textId="77777777" w:rsidR="00A92C81" w:rsidRPr="008B1975" w:rsidRDefault="00A92C81" w:rsidP="00DA74A5">
            <w:pPr>
              <w:pStyle w:val="Tabletext"/>
            </w:pPr>
            <w:r w:rsidRPr="008B1975">
              <w:t>(b) coaches</w:t>
            </w:r>
            <w:r w:rsidR="00EE7F8E" w:rsidRPr="008B1975">
              <w:t>;</w:t>
            </w:r>
          </w:p>
          <w:p w14:paraId="71165184" w14:textId="77777777" w:rsidR="00A92C81" w:rsidRPr="008B1975" w:rsidRDefault="00A92C81" w:rsidP="00DA74A5">
            <w:pPr>
              <w:pStyle w:val="Tabletext"/>
            </w:pPr>
            <w:r w:rsidRPr="008B1975">
              <w:t>(c) ferries</w:t>
            </w:r>
            <w:r w:rsidR="00EE7F8E" w:rsidRPr="008B1975">
              <w:t>;</w:t>
            </w:r>
          </w:p>
          <w:p w14:paraId="00423037" w14:textId="77777777" w:rsidR="00A92C81" w:rsidRPr="008B1975" w:rsidRDefault="00A92C81" w:rsidP="00DA74A5">
            <w:pPr>
              <w:pStyle w:val="Tabletext"/>
            </w:pPr>
            <w:r w:rsidRPr="008B1975">
              <w:t>(d) trains</w:t>
            </w:r>
            <w:r w:rsidR="00EE7F8E" w:rsidRPr="008B1975">
              <w:t>;</w:t>
            </w:r>
          </w:p>
          <w:p w14:paraId="064059D1" w14:textId="77777777" w:rsidR="00A92C81" w:rsidRPr="008B1975" w:rsidRDefault="00A92C81" w:rsidP="00DA74A5">
            <w:pPr>
              <w:pStyle w:val="Tabletext"/>
            </w:pPr>
            <w:r w:rsidRPr="008B1975">
              <w:t>(e) trams</w:t>
            </w:r>
            <w:r w:rsidR="00EE7F8E" w:rsidRPr="008B1975">
              <w:t>;</w:t>
            </w:r>
          </w:p>
          <w:p w14:paraId="6DC2645E" w14:textId="77777777" w:rsidR="00A92C81" w:rsidRPr="008B1975" w:rsidRDefault="00A92C81" w:rsidP="00DA74A5">
            <w:pPr>
              <w:pStyle w:val="Tabletext"/>
            </w:pPr>
            <w:r w:rsidRPr="008B1975">
              <w:t>(f) light rail</w:t>
            </w:r>
          </w:p>
        </w:tc>
        <w:tc>
          <w:tcPr>
            <w:tcW w:w="1667" w:type="pct"/>
            <w:tcBorders>
              <w:top w:val="single" w:sz="12" w:space="0" w:color="auto"/>
              <w:left w:val="nil"/>
              <w:bottom w:val="single" w:sz="12" w:space="0" w:color="auto"/>
              <w:right w:val="nil"/>
            </w:tcBorders>
            <w:hideMark/>
          </w:tcPr>
          <w:p w14:paraId="55915043" w14:textId="77777777" w:rsidR="00A92C81" w:rsidRPr="008B1975" w:rsidRDefault="00A92C81"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42C0F36E" w14:textId="77777777" w:rsidR="00A92C81" w:rsidRPr="008B1975" w:rsidRDefault="00A92C81" w:rsidP="00DA74A5">
            <w:pPr>
              <w:pStyle w:val="Tabletext"/>
            </w:pPr>
            <w:r w:rsidRPr="008B1975">
              <w:t>None</w:t>
            </w:r>
          </w:p>
        </w:tc>
      </w:tr>
    </w:tbl>
    <w:p w14:paraId="792C1815" w14:textId="77777777" w:rsidR="00824838" w:rsidRPr="008B1975" w:rsidRDefault="00824838" w:rsidP="00824838">
      <w:pPr>
        <w:pStyle w:val="ActHead6"/>
        <w:pageBreakBefore/>
        <w:rPr>
          <w:rStyle w:val="CharAmSchText"/>
        </w:rPr>
      </w:pPr>
      <w:bookmarkStart w:id="309" w:name="_Toc197178982"/>
      <w:r w:rsidRPr="008B1975">
        <w:lastRenderedPageBreak/>
        <w:t>Schedule 27—Part 27 (Information) Amendments</w:t>
      </w:r>
      <w:bookmarkEnd w:id="309"/>
    </w:p>
    <w:p w14:paraId="2BA4CE8C" w14:textId="77777777" w:rsidR="0027725D" w:rsidRPr="008B1975" w:rsidRDefault="00824838" w:rsidP="0058191C">
      <w:pPr>
        <w:pStyle w:val="ActHead9"/>
      </w:pPr>
      <w:bookmarkStart w:id="310" w:name="_Toc197178983"/>
      <w:r w:rsidRPr="008B1975">
        <w:t>Disability Standards for Accessible Public Transport 2002</w:t>
      </w:r>
      <w:bookmarkEnd w:id="310"/>
    </w:p>
    <w:p w14:paraId="6C94A081" w14:textId="77777777" w:rsidR="008D0C53" w:rsidRPr="008B1975" w:rsidRDefault="00946DEA" w:rsidP="00946DEA">
      <w:pPr>
        <w:pStyle w:val="ItemHead"/>
      </w:pPr>
      <w:bookmarkStart w:id="311" w:name="_Ref180514319"/>
      <w:r w:rsidRPr="008B1975">
        <w:t xml:space="preserve">1  </w:t>
      </w:r>
      <w:r w:rsidR="008D0C53" w:rsidRPr="008B1975">
        <w:t>Section 27.1</w:t>
      </w:r>
      <w:bookmarkEnd w:id="311"/>
    </w:p>
    <w:p w14:paraId="1CDE784A" w14:textId="77777777" w:rsidR="008D0C53" w:rsidRPr="008B1975" w:rsidRDefault="008D0C53" w:rsidP="001715D4">
      <w:pPr>
        <w:pStyle w:val="Item"/>
      </w:pPr>
      <w:r w:rsidRPr="008B1975">
        <w:t>Before “General”, insert “(1)”.</w:t>
      </w:r>
    </w:p>
    <w:p w14:paraId="1DB97970" w14:textId="77777777" w:rsidR="00AB53F1" w:rsidRPr="008B1975" w:rsidRDefault="00946DEA" w:rsidP="00946DEA">
      <w:pPr>
        <w:pStyle w:val="ItemHead"/>
      </w:pPr>
      <w:bookmarkStart w:id="312" w:name="_Ref185446879"/>
      <w:r w:rsidRPr="008B1975">
        <w:t xml:space="preserve">2  </w:t>
      </w:r>
      <w:r w:rsidR="00AB53F1" w:rsidRPr="008B1975">
        <w:t>Subsection 27.1(1)</w:t>
      </w:r>
      <w:bookmarkEnd w:id="312"/>
    </w:p>
    <w:p w14:paraId="6F748D42" w14:textId="77777777" w:rsidR="00AB53F1" w:rsidRPr="008B1975" w:rsidRDefault="00AB53F1" w:rsidP="00AB53F1">
      <w:pPr>
        <w:pStyle w:val="Item"/>
      </w:pPr>
      <w:r w:rsidRPr="008B1975">
        <w:t>After “transport services”, insert “provided by an operator or provider”.</w:t>
      </w:r>
    </w:p>
    <w:p w14:paraId="655C196E" w14:textId="77777777" w:rsidR="008D0C53" w:rsidRPr="008B1975" w:rsidRDefault="00946DEA" w:rsidP="00946DEA">
      <w:pPr>
        <w:pStyle w:val="ItemHead"/>
      </w:pPr>
      <w:bookmarkStart w:id="313" w:name="_Ref180513427"/>
      <w:r w:rsidRPr="008B1975">
        <w:t xml:space="preserve">3  </w:t>
      </w:r>
      <w:r w:rsidR="008D0C53" w:rsidRPr="008B1975">
        <w:t>Section 27.1 (before the table)</w:t>
      </w:r>
      <w:bookmarkEnd w:id="313"/>
    </w:p>
    <w:p w14:paraId="194885ED" w14:textId="77777777" w:rsidR="008D0C53" w:rsidRPr="008B1975" w:rsidRDefault="008D0C53" w:rsidP="001715D4">
      <w:pPr>
        <w:pStyle w:val="Item"/>
      </w:pPr>
      <w:r w:rsidRPr="008B1975">
        <w:t>Insert:</w:t>
      </w:r>
    </w:p>
    <w:p w14:paraId="0E469D55" w14:textId="77777777" w:rsidR="008D0C53" w:rsidRPr="008B1975" w:rsidRDefault="008D0C53" w:rsidP="001715D4">
      <w:pPr>
        <w:pStyle w:val="subsection"/>
      </w:pPr>
      <w:r w:rsidRPr="008B1975">
        <w:tab/>
      </w:r>
      <w:r w:rsidR="006202EA" w:rsidRPr="008B1975">
        <w:t>(2)</w:t>
      </w:r>
      <w:r w:rsidRPr="008B1975">
        <w:tab/>
        <w:t>To avoid doubt, general information about transport services cannot be provided solely in an online format.</w:t>
      </w:r>
    </w:p>
    <w:p w14:paraId="460E7D40" w14:textId="77777777" w:rsidR="008D0C53" w:rsidRPr="008B1975" w:rsidRDefault="008D0C53" w:rsidP="001715D4">
      <w:pPr>
        <w:pStyle w:val="subsection"/>
        <w:rPr>
          <w:lang w:val="en-US"/>
        </w:rPr>
      </w:pPr>
      <w:r w:rsidRPr="008B1975">
        <w:tab/>
      </w:r>
      <w:r w:rsidR="006202EA" w:rsidRPr="008B1975">
        <w:t>(3)</w:t>
      </w:r>
      <w:r w:rsidRPr="008B1975">
        <w:tab/>
      </w:r>
      <w:r w:rsidR="00BE0BFE" w:rsidRPr="008B1975">
        <w:t>For the purposes of subsection (2),</w:t>
      </w:r>
      <w:r w:rsidRPr="008B1975">
        <w:t xml:space="preserve"> general information about transport services includes </w:t>
      </w:r>
      <w:r w:rsidRPr="008B1975">
        <w:rPr>
          <w:lang w:val="en-US"/>
        </w:rPr>
        <w:t>timetables, routes, fare, payment methods, next stop information, next service information.</w:t>
      </w:r>
    </w:p>
    <w:p w14:paraId="34E7E302" w14:textId="6A1908F6" w:rsidR="00913074" w:rsidRPr="008B1975" w:rsidRDefault="00913074" w:rsidP="00913074">
      <w:pPr>
        <w:pStyle w:val="notetext"/>
      </w:pPr>
      <w:r w:rsidRPr="008B1975">
        <w:t>Note:</w:t>
      </w:r>
      <w:r w:rsidRPr="008B1975">
        <w:tab/>
        <w:t>Subsections (2) and (3) apply after the end of the 5-year transitional period: see section 35.24.</w:t>
      </w:r>
    </w:p>
    <w:p w14:paraId="3EFC86A3" w14:textId="77777777" w:rsidR="00A92C81" w:rsidRPr="008B1975" w:rsidRDefault="00946DEA" w:rsidP="00946DEA">
      <w:pPr>
        <w:pStyle w:val="ItemHead"/>
      </w:pPr>
      <w:bookmarkStart w:id="314" w:name="_Ref185279706"/>
      <w:r w:rsidRPr="008B1975">
        <w:t xml:space="preserve">4  </w:t>
      </w:r>
      <w:r w:rsidR="00A92C81" w:rsidRPr="008B1975">
        <w:t>Section 27.1 (table)</w:t>
      </w:r>
      <w:bookmarkEnd w:id="314"/>
    </w:p>
    <w:p w14:paraId="78C5FCEB" w14:textId="77777777" w:rsidR="00A92C81" w:rsidRPr="008B1975" w:rsidRDefault="00A92C81" w:rsidP="001715D4">
      <w:pPr>
        <w:pStyle w:val="Item"/>
      </w:pPr>
      <w:r w:rsidRPr="008B1975">
        <w:t>Repeal the table, substitute:</w:t>
      </w:r>
    </w:p>
    <w:p w14:paraId="5E84BE2D" w14:textId="77777777" w:rsidR="00A92C81" w:rsidRPr="008B1975" w:rsidRDefault="00A92C81" w:rsidP="001715D4">
      <w:pPr>
        <w:pStyle w:val="subsection"/>
      </w:pPr>
      <w:r w:rsidRPr="008B1975">
        <w:tab/>
        <w:t>(</w:t>
      </w:r>
      <w:r w:rsidR="006202EA" w:rsidRPr="008B1975">
        <w:t>4</w:t>
      </w:r>
      <w:r w:rsidRPr="008B1975">
        <w:t>)</w:t>
      </w:r>
      <w:r w:rsidRPr="008B1975">
        <w:tab/>
        <w:t>The following table specifies which conveyances, premises and infrastructure this section applies to.</w:t>
      </w:r>
    </w:p>
    <w:p w14:paraId="2580B976" w14:textId="77777777" w:rsidR="00A92C81" w:rsidRPr="008B1975" w:rsidRDefault="00A92C81"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7E88C0C2"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5657BA09" w14:textId="77777777" w:rsidR="00A92C81" w:rsidRPr="008B1975" w:rsidRDefault="00A92C81" w:rsidP="001715D4">
            <w:pPr>
              <w:pStyle w:val="TableHeading"/>
            </w:pPr>
            <w:r w:rsidRPr="008B1975">
              <w:t>Application of this section</w:t>
            </w:r>
          </w:p>
        </w:tc>
      </w:tr>
      <w:tr w:rsidR="00A92C81" w:rsidRPr="008B1975" w14:paraId="465AB328" w14:textId="77777777" w:rsidTr="00CC36E0">
        <w:trPr>
          <w:trHeight w:val="300"/>
          <w:tblHeader/>
        </w:trPr>
        <w:tc>
          <w:tcPr>
            <w:tcW w:w="1667" w:type="pct"/>
            <w:tcBorders>
              <w:top w:val="single" w:sz="6" w:space="0" w:color="auto"/>
              <w:left w:val="nil"/>
              <w:bottom w:val="single" w:sz="12" w:space="0" w:color="auto"/>
              <w:right w:val="nil"/>
            </w:tcBorders>
            <w:hideMark/>
          </w:tcPr>
          <w:p w14:paraId="5F57DC58" w14:textId="77777777" w:rsidR="00A92C81" w:rsidRPr="008B1975" w:rsidRDefault="00A92C81"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48ACFE33" w14:textId="77777777" w:rsidR="00A92C81" w:rsidRPr="008B1975" w:rsidRDefault="00A92C81"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2FA0C963" w14:textId="77777777" w:rsidR="00A92C81" w:rsidRPr="008B1975" w:rsidRDefault="00A92C81" w:rsidP="001715D4">
            <w:pPr>
              <w:pStyle w:val="TableHeading"/>
            </w:pPr>
            <w:r w:rsidRPr="008B1975">
              <w:t>Infrastructure</w:t>
            </w:r>
          </w:p>
        </w:tc>
      </w:tr>
      <w:tr w:rsidR="00A92C81" w:rsidRPr="008B1975" w14:paraId="4E0E4AE9" w14:textId="77777777" w:rsidTr="00CC36E0">
        <w:trPr>
          <w:trHeight w:val="300"/>
        </w:trPr>
        <w:tc>
          <w:tcPr>
            <w:tcW w:w="1667" w:type="pct"/>
            <w:tcBorders>
              <w:top w:val="single" w:sz="12" w:space="0" w:color="auto"/>
              <w:left w:val="nil"/>
              <w:bottom w:val="single" w:sz="12" w:space="0" w:color="auto"/>
              <w:right w:val="nil"/>
            </w:tcBorders>
            <w:hideMark/>
          </w:tcPr>
          <w:p w14:paraId="2097D75B"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7C2D7F05"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786ECF29" w14:textId="77777777" w:rsidR="00A92C81" w:rsidRPr="008B1975" w:rsidRDefault="00A92C81" w:rsidP="001715D4">
            <w:pPr>
              <w:pStyle w:val="Tabletext"/>
            </w:pPr>
            <w:r w:rsidRPr="008B1975">
              <w:t>All</w:t>
            </w:r>
          </w:p>
        </w:tc>
      </w:tr>
    </w:tbl>
    <w:p w14:paraId="155C9F98" w14:textId="77777777" w:rsidR="008D0C53" w:rsidRPr="008B1975" w:rsidRDefault="00946DEA" w:rsidP="00946DEA">
      <w:pPr>
        <w:pStyle w:val="ItemHead"/>
      </w:pPr>
      <w:bookmarkStart w:id="315" w:name="_Ref180513598"/>
      <w:bookmarkStart w:id="316" w:name="_Ref185341004"/>
      <w:r w:rsidRPr="008B1975">
        <w:t xml:space="preserve">5  </w:t>
      </w:r>
      <w:r w:rsidR="008D0C53" w:rsidRPr="008B1975">
        <w:t>Section 27.2</w:t>
      </w:r>
      <w:bookmarkEnd w:id="315"/>
      <w:bookmarkEnd w:id="316"/>
    </w:p>
    <w:p w14:paraId="1D63409E" w14:textId="77777777" w:rsidR="008D0C53" w:rsidRPr="008B1975" w:rsidRDefault="008D0C53" w:rsidP="001715D4">
      <w:pPr>
        <w:pStyle w:val="Item"/>
      </w:pPr>
      <w:r w:rsidRPr="008B1975">
        <w:t>Before “If”, insert “(1)”.</w:t>
      </w:r>
    </w:p>
    <w:p w14:paraId="03B2C24C" w14:textId="77777777" w:rsidR="0027725D" w:rsidRPr="008B1975" w:rsidRDefault="00946DEA" w:rsidP="00946DEA">
      <w:pPr>
        <w:pStyle w:val="ItemHead"/>
      </w:pPr>
      <w:r w:rsidRPr="008B1975">
        <w:t xml:space="preserve">6  </w:t>
      </w:r>
      <w:r w:rsidR="0027725D" w:rsidRPr="008B1975">
        <w:t>Section 27.2</w:t>
      </w:r>
    </w:p>
    <w:p w14:paraId="7BD4895D" w14:textId="77777777" w:rsidR="0027725D" w:rsidRPr="008B1975" w:rsidRDefault="0027725D" w:rsidP="0027725D">
      <w:pPr>
        <w:pStyle w:val="Item"/>
      </w:pPr>
      <w:r w:rsidRPr="008B1975">
        <w:t>Omit “</w:t>
      </w:r>
      <w:r w:rsidRPr="008B1975">
        <w:rPr>
          <w:color w:val="000000"/>
        </w:rPr>
        <w:t>equivalent access must be given by direct assistance</w:t>
      </w:r>
      <w:r w:rsidRPr="008B1975">
        <w:t>”, substitute “an operator or provider must provide equivalent access by giving direct assistance”.</w:t>
      </w:r>
    </w:p>
    <w:p w14:paraId="23A6B7FD" w14:textId="77777777" w:rsidR="00A92C81" w:rsidRPr="008B1975" w:rsidRDefault="00946DEA" w:rsidP="00946DEA">
      <w:pPr>
        <w:pStyle w:val="ItemHead"/>
      </w:pPr>
      <w:bookmarkStart w:id="317" w:name="_Ref185279746"/>
      <w:r w:rsidRPr="008B1975">
        <w:t xml:space="preserve">7  </w:t>
      </w:r>
      <w:r w:rsidR="00A92C81" w:rsidRPr="008B1975">
        <w:t>Section 27.2 (table)</w:t>
      </w:r>
      <w:bookmarkEnd w:id="317"/>
    </w:p>
    <w:p w14:paraId="4DED1A7C" w14:textId="77777777" w:rsidR="00A92C81" w:rsidRPr="008B1975" w:rsidRDefault="00A92C81" w:rsidP="001715D4">
      <w:pPr>
        <w:pStyle w:val="Item"/>
      </w:pPr>
      <w:r w:rsidRPr="008B1975">
        <w:t>Repeal the table, substitute:</w:t>
      </w:r>
    </w:p>
    <w:p w14:paraId="1C1DDC05" w14:textId="77777777" w:rsidR="00EE7F8E" w:rsidRPr="008B1975" w:rsidRDefault="00EE7F8E" w:rsidP="001715D4">
      <w:pPr>
        <w:pStyle w:val="subsection"/>
      </w:pPr>
      <w:r w:rsidRPr="008B1975">
        <w:tab/>
        <w:t>(2)</w:t>
      </w:r>
      <w:r w:rsidRPr="008B1975">
        <w:tab/>
        <w:t>Infrequently requested formats must be provided</w:t>
      </w:r>
      <w:r w:rsidR="00962404" w:rsidRPr="008B1975">
        <w:t xml:space="preserve"> by an operator or provider</w:t>
      </w:r>
      <w:r w:rsidRPr="008B1975">
        <w:t xml:space="preserve"> in a timely manner if not immediately available.</w:t>
      </w:r>
    </w:p>
    <w:p w14:paraId="408E5E8B" w14:textId="77777777" w:rsidR="00EE7F8E" w:rsidRPr="008B1975" w:rsidRDefault="00EE7F8E" w:rsidP="001715D4">
      <w:pPr>
        <w:pStyle w:val="subsection"/>
      </w:pPr>
      <w:r w:rsidRPr="008B1975">
        <w:tab/>
        <w:t>(3)</w:t>
      </w:r>
      <w:r w:rsidRPr="008B1975">
        <w:tab/>
        <w:t xml:space="preserve">If information cannot be immediately supplied in a passenger’s preferred format, </w:t>
      </w:r>
      <w:r w:rsidR="00962404" w:rsidRPr="008B1975">
        <w:t xml:space="preserve">an operator or provider must provide </w:t>
      </w:r>
      <w:r w:rsidRPr="008B1975">
        <w:t xml:space="preserve">equivalent access </w:t>
      </w:r>
      <w:r w:rsidR="00962404" w:rsidRPr="008B1975">
        <w:t>by</w:t>
      </w:r>
      <w:r w:rsidRPr="008B1975">
        <w:t xml:space="preserve"> giv</w:t>
      </w:r>
      <w:r w:rsidR="00962404" w:rsidRPr="008B1975">
        <w:t>ing</w:t>
      </w:r>
      <w:r w:rsidRPr="008B1975">
        <w:t xml:space="preserve"> direct assistance until the request is fulfilled.</w:t>
      </w:r>
    </w:p>
    <w:p w14:paraId="30CDD336" w14:textId="3633F674" w:rsidR="00913074" w:rsidRPr="008B1975" w:rsidRDefault="00913074" w:rsidP="00913074">
      <w:pPr>
        <w:pStyle w:val="notetext"/>
      </w:pPr>
      <w:r w:rsidRPr="008B1975">
        <w:t>Note:</w:t>
      </w:r>
      <w:r w:rsidRPr="008B1975">
        <w:tab/>
        <w:t>Subsections (2) and (3) apply after the end of the 5-year transitional period: see section 35.24</w:t>
      </w:r>
      <w:r w:rsidR="00CC36E0" w:rsidRPr="008B1975">
        <w:t>.</w:t>
      </w:r>
    </w:p>
    <w:p w14:paraId="632C9ADA" w14:textId="77777777" w:rsidR="00A92C81" w:rsidRPr="008B1975" w:rsidRDefault="00A92C81" w:rsidP="001715D4">
      <w:pPr>
        <w:pStyle w:val="subsection"/>
      </w:pPr>
      <w:r w:rsidRPr="008B1975">
        <w:lastRenderedPageBreak/>
        <w:tab/>
      </w:r>
      <w:r w:rsidR="00EE7F8E" w:rsidRPr="008B1975">
        <w:t>(4</w:t>
      </w:r>
      <w:r w:rsidRPr="008B1975">
        <w:t>)</w:t>
      </w:r>
      <w:r w:rsidRPr="008B1975">
        <w:tab/>
        <w:t>The following table specifies which conveyances, premises and infrastructure this section applies to.</w:t>
      </w:r>
    </w:p>
    <w:p w14:paraId="413D8E0A" w14:textId="77777777" w:rsidR="00A92C81" w:rsidRPr="008B1975" w:rsidRDefault="00A92C81"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2B20A460"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717EDE3C" w14:textId="77777777" w:rsidR="00A92C81" w:rsidRPr="008B1975" w:rsidRDefault="00A92C81" w:rsidP="001715D4">
            <w:pPr>
              <w:pStyle w:val="TableHeading"/>
            </w:pPr>
            <w:r w:rsidRPr="008B1975">
              <w:t>Application of this section</w:t>
            </w:r>
          </w:p>
        </w:tc>
      </w:tr>
      <w:tr w:rsidR="00A92C81" w:rsidRPr="008B1975" w14:paraId="191A678C" w14:textId="77777777" w:rsidTr="00CC36E0">
        <w:trPr>
          <w:trHeight w:val="300"/>
          <w:tblHeader/>
        </w:trPr>
        <w:tc>
          <w:tcPr>
            <w:tcW w:w="1667" w:type="pct"/>
            <w:tcBorders>
              <w:top w:val="single" w:sz="6" w:space="0" w:color="auto"/>
              <w:left w:val="nil"/>
              <w:bottom w:val="single" w:sz="12" w:space="0" w:color="auto"/>
              <w:right w:val="nil"/>
            </w:tcBorders>
            <w:hideMark/>
          </w:tcPr>
          <w:p w14:paraId="1E4EC507" w14:textId="77777777" w:rsidR="00A92C81" w:rsidRPr="008B1975" w:rsidRDefault="00A92C81"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4EE96254" w14:textId="77777777" w:rsidR="00A92C81" w:rsidRPr="008B1975" w:rsidRDefault="00A92C81"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6A6E009D" w14:textId="77777777" w:rsidR="00A92C81" w:rsidRPr="008B1975" w:rsidRDefault="00A92C81" w:rsidP="001715D4">
            <w:pPr>
              <w:pStyle w:val="TableHeading"/>
            </w:pPr>
            <w:r w:rsidRPr="008B1975">
              <w:t>Infrastructure</w:t>
            </w:r>
          </w:p>
        </w:tc>
      </w:tr>
      <w:tr w:rsidR="00A92C81" w:rsidRPr="008B1975" w14:paraId="15C2656B" w14:textId="77777777" w:rsidTr="00CC36E0">
        <w:trPr>
          <w:trHeight w:val="300"/>
        </w:trPr>
        <w:tc>
          <w:tcPr>
            <w:tcW w:w="1667" w:type="pct"/>
            <w:tcBorders>
              <w:top w:val="single" w:sz="12" w:space="0" w:color="auto"/>
              <w:left w:val="nil"/>
              <w:bottom w:val="single" w:sz="12" w:space="0" w:color="auto"/>
              <w:right w:val="nil"/>
            </w:tcBorders>
            <w:hideMark/>
          </w:tcPr>
          <w:p w14:paraId="2503178A"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02AACD06"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6D880205" w14:textId="77777777" w:rsidR="00A92C81" w:rsidRPr="008B1975" w:rsidRDefault="00A92C81" w:rsidP="001715D4">
            <w:pPr>
              <w:pStyle w:val="Tabletext"/>
            </w:pPr>
            <w:r w:rsidRPr="008B1975">
              <w:t>All</w:t>
            </w:r>
          </w:p>
        </w:tc>
      </w:tr>
    </w:tbl>
    <w:p w14:paraId="5DB97E21" w14:textId="77777777" w:rsidR="008D0C53" w:rsidRPr="008B1975" w:rsidRDefault="00946DEA" w:rsidP="00946DEA">
      <w:pPr>
        <w:pStyle w:val="ItemHead"/>
      </w:pPr>
      <w:bookmarkStart w:id="318" w:name="_Ref180766530"/>
      <w:bookmarkStart w:id="319" w:name="_Ref185279859"/>
      <w:r w:rsidRPr="008B1975">
        <w:t xml:space="preserve">8  </w:t>
      </w:r>
      <w:r w:rsidR="008D0C53" w:rsidRPr="008B1975">
        <w:t>Section 27.3 (at the end of the heading)</w:t>
      </w:r>
      <w:bookmarkEnd w:id="318"/>
      <w:bookmarkEnd w:id="319"/>
    </w:p>
    <w:p w14:paraId="3028A409" w14:textId="77777777" w:rsidR="008D0C53" w:rsidRPr="008B1975" w:rsidRDefault="008D0C53" w:rsidP="001715D4">
      <w:pPr>
        <w:pStyle w:val="Item"/>
      </w:pPr>
      <w:r w:rsidRPr="008B1975">
        <w:t>Add “</w:t>
      </w:r>
      <w:r w:rsidRPr="008B1975">
        <w:rPr>
          <w:b/>
        </w:rPr>
        <w:t>on request</w:t>
      </w:r>
      <w:r w:rsidRPr="008B1975">
        <w:t>”.</w:t>
      </w:r>
    </w:p>
    <w:p w14:paraId="2229C443" w14:textId="77777777" w:rsidR="008D0C53" w:rsidRPr="008B1975" w:rsidRDefault="00946DEA" w:rsidP="00946DEA">
      <w:pPr>
        <w:pStyle w:val="ItemHead"/>
      </w:pPr>
      <w:bookmarkStart w:id="320" w:name="_Ref180766534"/>
      <w:r w:rsidRPr="008B1975">
        <w:t xml:space="preserve">9  </w:t>
      </w:r>
      <w:r w:rsidR="008D0C53" w:rsidRPr="008B1975">
        <w:t>Subsection 27.3(1) and (2)</w:t>
      </w:r>
      <w:bookmarkEnd w:id="320"/>
    </w:p>
    <w:p w14:paraId="375B13C2" w14:textId="77777777" w:rsidR="008D0C53" w:rsidRPr="008B1975" w:rsidRDefault="008D0C53" w:rsidP="001715D4">
      <w:pPr>
        <w:pStyle w:val="Item"/>
      </w:pPr>
      <w:r w:rsidRPr="008B1975">
        <w:t>Repeal the subsections, substitute:</w:t>
      </w:r>
    </w:p>
    <w:p w14:paraId="3C11D603" w14:textId="77777777" w:rsidR="008D0C53" w:rsidRPr="008B1975" w:rsidRDefault="008D0C53" w:rsidP="001715D4">
      <w:pPr>
        <w:pStyle w:val="subsection"/>
        <w:rPr>
          <w:color w:val="000000" w:themeColor="text1"/>
        </w:rPr>
      </w:pPr>
      <w:r w:rsidRPr="008B1975">
        <w:tab/>
      </w:r>
      <w:r w:rsidR="006202EA" w:rsidRPr="008B1975">
        <w:t>(1)</w:t>
      </w:r>
      <w:r w:rsidRPr="008B1975">
        <w:tab/>
      </w:r>
      <w:r w:rsidRPr="008B1975">
        <w:rPr>
          <w:color w:val="000000" w:themeColor="text1"/>
        </w:rPr>
        <w:t>This section applies</w:t>
      </w:r>
      <w:r w:rsidR="00962404" w:rsidRPr="008B1975">
        <w:rPr>
          <w:color w:val="000000" w:themeColor="text1"/>
        </w:rPr>
        <w:t xml:space="preserve"> to an operator or provider</w:t>
      </w:r>
      <w:r w:rsidRPr="008B1975">
        <w:rPr>
          <w:color w:val="000000" w:themeColor="text1"/>
        </w:rPr>
        <w:t xml:space="preserve"> if a passenger requests that a document about transport services be </w:t>
      </w:r>
      <w:r w:rsidR="00DE324C" w:rsidRPr="008B1975">
        <w:rPr>
          <w:color w:val="000000" w:themeColor="text1"/>
        </w:rPr>
        <w:t>re</w:t>
      </w:r>
      <w:r w:rsidRPr="008B1975">
        <w:rPr>
          <w:color w:val="000000" w:themeColor="text1"/>
        </w:rPr>
        <w:t>produced in a large print format.</w:t>
      </w:r>
    </w:p>
    <w:p w14:paraId="134C1772" w14:textId="77777777" w:rsidR="00DE324C" w:rsidRPr="008B1975" w:rsidRDefault="00A91E45" w:rsidP="00DE324C">
      <w:pPr>
        <w:pStyle w:val="subsection"/>
        <w:rPr>
          <w:color w:val="000000" w:themeColor="text1"/>
        </w:rPr>
      </w:pPr>
      <w:r w:rsidRPr="008B1975">
        <w:rPr>
          <w:color w:val="000000" w:themeColor="text1"/>
        </w:rPr>
        <w:tab/>
        <w:t>(</w:t>
      </w:r>
      <w:r w:rsidR="00DE324C" w:rsidRPr="008B1975">
        <w:rPr>
          <w:color w:val="000000" w:themeColor="text1"/>
        </w:rPr>
        <w:t>2</w:t>
      </w:r>
      <w:r w:rsidRPr="008B1975">
        <w:rPr>
          <w:color w:val="000000" w:themeColor="text1"/>
        </w:rPr>
        <w:t>)</w:t>
      </w:r>
      <w:r w:rsidRPr="008B1975">
        <w:rPr>
          <w:color w:val="000000" w:themeColor="text1"/>
        </w:rPr>
        <w:tab/>
      </w:r>
      <w:r w:rsidR="00DE324C" w:rsidRPr="008B1975">
        <w:rPr>
          <w:color w:val="000000" w:themeColor="text1"/>
        </w:rPr>
        <w:t>The operator or provider must reproduce the document.</w:t>
      </w:r>
    </w:p>
    <w:p w14:paraId="692C2888" w14:textId="22D41085" w:rsidR="008D0C53" w:rsidRPr="008B1975" w:rsidRDefault="008D0C53" w:rsidP="001715D4">
      <w:pPr>
        <w:pStyle w:val="subsection"/>
        <w:rPr>
          <w:color w:val="000000" w:themeColor="text1"/>
        </w:rPr>
      </w:pPr>
      <w:r w:rsidRPr="008B1975">
        <w:rPr>
          <w:color w:val="000000" w:themeColor="text1"/>
        </w:rPr>
        <w:tab/>
      </w:r>
      <w:r w:rsidR="006202EA" w:rsidRPr="008B1975">
        <w:rPr>
          <w:color w:val="000000" w:themeColor="text1"/>
        </w:rPr>
        <w:t>(</w:t>
      </w:r>
      <w:r w:rsidR="00DE324C" w:rsidRPr="008B1975">
        <w:rPr>
          <w:color w:val="000000" w:themeColor="text1"/>
        </w:rPr>
        <w:t>3</w:t>
      </w:r>
      <w:r w:rsidR="006202EA" w:rsidRPr="008B1975">
        <w:rPr>
          <w:color w:val="000000" w:themeColor="text1"/>
        </w:rPr>
        <w:t>)</w:t>
      </w:r>
      <w:r w:rsidRPr="008B1975">
        <w:rPr>
          <w:color w:val="000000" w:themeColor="text1"/>
        </w:rPr>
        <w:tab/>
        <w:t xml:space="preserve">The text of </w:t>
      </w:r>
      <w:r w:rsidR="00DE324C" w:rsidRPr="008B1975">
        <w:rPr>
          <w:color w:val="000000" w:themeColor="text1"/>
        </w:rPr>
        <w:t xml:space="preserve">the reproduced </w:t>
      </w:r>
      <w:r w:rsidRPr="008B1975">
        <w:rPr>
          <w:color w:val="000000" w:themeColor="text1"/>
        </w:rPr>
        <w:t>document must:</w:t>
      </w:r>
    </w:p>
    <w:p w14:paraId="7025B41C" w14:textId="77777777" w:rsidR="008D0C53" w:rsidRPr="008B1975" w:rsidRDefault="008D0C53" w:rsidP="001715D4">
      <w:pPr>
        <w:pStyle w:val="paragraph"/>
      </w:pPr>
      <w:r w:rsidRPr="008B1975">
        <w:tab/>
      </w:r>
      <w:r w:rsidR="00EE7F8E" w:rsidRPr="008B1975">
        <w:t>(a)</w:t>
      </w:r>
      <w:r w:rsidRPr="008B1975">
        <w:tab/>
      </w:r>
      <w:r w:rsidR="005418AC" w:rsidRPr="008B1975">
        <w:t xml:space="preserve">be </w:t>
      </w:r>
      <w:r w:rsidRPr="008B1975">
        <w:t>in a font that is:</w:t>
      </w:r>
    </w:p>
    <w:p w14:paraId="717B7B9F" w14:textId="77777777" w:rsidR="008D0C53" w:rsidRPr="008B1975" w:rsidRDefault="008D0C53" w:rsidP="001715D4">
      <w:pPr>
        <w:pStyle w:val="paragraphsub"/>
      </w:pPr>
      <w:r w:rsidRPr="008B1975">
        <w:tab/>
      </w:r>
      <w:r w:rsidR="00EE7F8E" w:rsidRPr="008B1975">
        <w:t>(i)</w:t>
      </w:r>
      <w:r w:rsidRPr="008B1975">
        <w:tab/>
        <w:t>at least 18 point in size; and</w:t>
      </w:r>
    </w:p>
    <w:p w14:paraId="294280DE" w14:textId="77777777" w:rsidR="008D0C53" w:rsidRPr="008B1975" w:rsidRDefault="008D0C53" w:rsidP="001715D4">
      <w:pPr>
        <w:pStyle w:val="paragraphsub"/>
      </w:pPr>
      <w:r w:rsidRPr="008B1975">
        <w:tab/>
      </w:r>
      <w:r w:rsidR="00EE7F8E" w:rsidRPr="008B1975">
        <w:t>(ii)</w:t>
      </w:r>
      <w:r w:rsidRPr="008B1975">
        <w:tab/>
        <w:t>sans serif; and</w:t>
      </w:r>
    </w:p>
    <w:p w14:paraId="77569318" w14:textId="77777777" w:rsidR="008D0C53" w:rsidRPr="008B1975" w:rsidRDefault="008D0C53" w:rsidP="001715D4">
      <w:pPr>
        <w:pStyle w:val="paragraphsub"/>
      </w:pPr>
      <w:r w:rsidRPr="008B1975">
        <w:tab/>
      </w:r>
      <w:r w:rsidR="00EE7F8E" w:rsidRPr="008B1975">
        <w:t>(iii)</w:t>
      </w:r>
      <w:r w:rsidRPr="008B1975">
        <w:tab/>
        <w:t>weighted either semi-bold or bold;</w:t>
      </w:r>
    </w:p>
    <w:p w14:paraId="4F5606BD" w14:textId="77777777" w:rsidR="008D0C53" w:rsidRPr="008B1975" w:rsidRDefault="008D0C53" w:rsidP="001715D4">
      <w:pPr>
        <w:pStyle w:val="paragraph"/>
      </w:pPr>
      <w:r w:rsidRPr="008B1975">
        <w:tab/>
      </w:r>
      <w:r w:rsidR="00EE7F8E" w:rsidRPr="008B1975">
        <w:t>(b)</w:t>
      </w:r>
      <w:r w:rsidRPr="008B1975">
        <w:tab/>
      </w:r>
      <w:r w:rsidR="005418AC" w:rsidRPr="008B1975">
        <w:t xml:space="preserve">be </w:t>
      </w:r>
      <w:r w:rsidRPr="008B1975">
        <w:t>left justified with a ragged right margin</w:t>
      </w:r>
      <w:r w:rsidR="00410CB1" w:rsidRPr="008B1975">
        <w:t>; and</w:t>
      </w:r>
    </w:p>
    <w:p w14:paraId="324D66CA" w14:textId="77777777" w:rsidR="00410CB1" w:rsidRPr="008B1975" w:rsidRDefault="00410CB1" w:rsidP="001715D4">
      <w:pPr>
        <w:pStyle w:val="paragraph"/>
      </w:pPr>
      <w:r w:rsidRPr="008B1975">
        <w:tab/>
        <w:t>(c)</w:t>
      </w:r>
      <w:r w:rsidRPr="008B1975">
        <w:tab/>
        <w:t>either:</w:t>
      </w:r>
    </w:p>
    <w:p w14:paraId="5E6D1CF6" w14:textId="77777777" w:rsidR="00410CB1" w:rsidRPr="008B1975" w:rsidRDefault="00410CB1" w:rsidP="00410CB1">
      <w:pPr>
        <w:pStyle w:val="paragraphsub"/>
      </w:pPr>
      <w:r w:rsidRPr="008B1975">
        <w:tab/>
        <w:t>(i)</w:t>
      </w:r>
      <w:r w:rsidRPr="008B1975">
        <w:tab/>
      </w:r>
      <w:r w:rsidR="005418AC" w:rsidRPr="008B1975">
        <w:t xml:space="preserve">be </w:t>
      </w:r>
      <w:r w:rsidRPr="008B1975">
        <w:t>black on a light background; or</w:t>
      </w:r>
    </w:p>
    <w:p w14:paraId="1AFCF172" w14:textId="77777777" w:rsidR="00410CB1" w:rsidRPr="008B1975" w:rsidRDefault="00410CB1" w:rsidP="00410CB1">
      <w:pPr>
        <w:pStyle w:val="paragraphsub"/>
      </w:pPr>
      <w:r w:rsidRPr="008B1975">
        <w:tab/>
        <w:t>(ii)</w:t>
      </w:r>
      <w:r w:rsidRPr="008B1975">
        <w:tab/>
        <w:t>have a luminance contrast of not less than 75% with the background of the document.</w:t>
      </w:r>
    </w:p>
    <w:p w14:paraId="74C7615A" w14:textId="77777777" w:rsidR="00A92C81" w:rsidRPr="008B1975" w:rsidRDefault="00946DEA" w:rsidP="00946DEA">
      <w:pPr>
        <w:pStyle w:val="ItemHead"/>
      </w:pPr>
      <w:bookmarkStart w:id="321" w:name="_Ref185279908"/>
      <w:r w:rsidRPr="008B1975">
        <w:t xml:space="preserve">10  </w:t>
      </w:r>
      <w:r w:rsidR="00A92C81" w:rsidRPr="008B1975">
        <w:t>Section 27.3 (table)</w:t>
      </w:r>
      <w:bookmarkEnd w:id="321"/>
    </w:p>
    <w:p w14:paraId="1FEEA9B7" w14:textId="77777777" w:rsidR="00A92C81" w:rsidRPr="008B1975" w:rsidRDefault="00A92C81" w:rsidP="001715D4">
      <w:pPr>
        <w:pStyle w:val="Item"/>
      </w:pPr>
      <w:r w:rsidRPr="008B1975">
        <w:t>Repeal the table, substitute:</w:t>
      </w:r>
    </w:p>
    <w:p w14:paraId="21F19A3D" w14:textId="063AA991" w:rsidR="00A92C81" w:rsidRPr="008B1975" w:rsidRDefault="00555998" w:rsidP="00555998">
      <w:pPr>
        <w:pStyle w:val="subsection"/>
      </w:pPr>
      <w:r w:rsidRPr="008B1975">
        <w:tab/>
        <w:t>(4)</w:t>
      </w:r>
      <w:r w:rsidRPr="008B1975">
        <w:tab/>
        <w:t>T</w:t>
      </w:r>
      <w:r w:rsidR="00A92C81" w:rsidRPr="008B1975">
        <w:t>he following table specifies which conveyances, premises and infrastructure this section applies to.</w:t>
      </w:r>
    </w:p>
    <w:p w14:paraId="4CB6D7F2" w14:textId="77777777" w:rsidR="00A92C81" w:rsidRPr="008B1975" w:rsidRDefault="00A92C81"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6A5C35F8"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1D874B30" w14:textId="77777777" w:rsidR="00A92C81" w:rsidRPr="008B1975" w:rsidRDefault="00A92C81" w:rsidP="001715D4">
            <w:pPr>
              <w:pStyle w:val="TableHeading"/>
            </w:pPr>
            <w:r w:rsidRPr="008B1975">
              <w:t>Application of this section</w:t>
            </w:r>
          </w:p>
        </w:tc>
      </w:tr>
      <w:tr w:rsidR="00A92C81" w:rsidRPr="008B1975" w14:paraId="27B14668" w14:textId="77777777" w:rsidTr="00CC36E0">
        <w:trPr>
          <w:trHeight w:val="300"/>
          <w:tblHeader/>
        </w:trPr>
        <w:tc>
          <w:tcPr>
            <w:tcW w:w="1667" w:type="pct"/>
            <w:tcBorders>
              <w:top w:val="single" w:sz="6" w:space="0" w:color="auto"/>
              <w:left w:val="nil"/>
              <w:bottom w:val="single" w:sz="12" w:space="0" w:color="auto"/>
              <w:right w:val="nil"/>
            </w:tcBorders>
            <w:hideMark/>
          </w:tcPr>
          <w:p w14:paraId="6E8F5A82" w14:textId="77777777" w:rsidR="00A92C81" w:rsidRPr="008B1975" w:rsidRDefault="00A92C81"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0C903141" w14:textId="77777777" w:rsidR="00A92C81" w:rsidRPr="008B1975" w:rsidRDefault="00A92C81"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12BE4031" w14:textId="77777777" w:rsidR="00A92C81" w:rsidRPr="008B1975" w:rsidRDefault="00A92C81" w:rsidP="001715D4">
            <w:pPr>
              <w:pStyle w:val="TableHeading"/>
            </w:pPr>
            <w:r w:rsidRPr="008B1975">
              <w:t>Infrastructure</w:t>
            </w:r>
          </w:p>
        </w:tc>
      </w:tr>
      <w:tr w:rsidR="00A92C81" w:rsidRPr="008B1975" w14:paraId="62E5A5C0" w14:textId="77777777" w:rsidTr="00CC36E0">
        <w:trPr>
          <w:trHeight w:val="300"/>
        </w:trPr>
        <w:tc>
          <w:tcPr>
            <w:tcW w:w="1667" w:type="pct"/>
            <w:tcBorders>
              <w:top w:val="single" w:sz="12" w:space="0" w:color="auto"/>
              <w:left w:val="nil"/>
              <w:bottom w:val="single" w:sz="12" w:space="0" w:color="auto"/>
              <w:right w:val="nil"/>
            </w:tcBorders>
            <w:hideMark/>
          </w:tcPr>
          <w:p w14:paraId="56E6DCDF"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71B42FB9"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2897CECF" w14:textId="77777777" w:rsidR="00A92C81" w:rsidRPr="008B1975" w:rsidRDefault="00A92C81" w:rsidP="001715D4">
            <w:pPr>
              <w:pStyle w:val="Tabletext"/>
            </w:pPr>
            <w:r w:rsidRPr="008B1975">
              <w:t>All</w:t>
            </w:r>
          </w:p>
        </w:tc>
      </w:tr>
    </w:tbl>
    <w:p w14:paraId="1F14ACB1" w14:textId="77777777" w:rsidR="00A92C81" w:rsidRPr="008B1975" w:rsidRDefault="00946DEA" w:rsidP="00946DEA">
      <w:pPr>
        <w:pStyle w:val="ItemHead"/>
      </w:pPr>
      <w:bookmarkStart w:id="322" w:name="_Ref185279915"/>
      <w:bookmarkStart w:id="323" w:name="_Ref190263856"/>
      <w:r w:rsidRPr="008B1975">
        <w:t xml:space="preserve">11  </w:t>
      </w:r>
      <w:r w:rsidR="00A92C81" w:rsidRPr="008B1975">
        <w:t>Section 27.4</w:t>
      </w:r>
      <w:bookmarkEnd w:id="322"/>
      <w:bookmarkEnd w:id="323"/>
    </w:p>
    <w:p w14:paraId="7731B207" w14:textId="77777777" w:rsidR="00962404" w:rsidRPr="008B1975" w:rsidRDefault="00962404" w:rsidP="0058191C">
      <w:pPr>
        <w:pStyle w:val="Item"/>
      </w:pPr>
      <w:r w:rsidRPr="008B1975">
        <w:t>Omit “All passengers must be”, substitute “</w:t>
      </w:r>
      <w:r w:rsidR="00A5278A" w:rsidRPr="008B1975">
        <w:t xml:space="preserve">(1) </w:t>
      </w:r>
      <w:r w:rsidRPr="008B1975">
        <w:t>An operator or provider must ensure all passengers are”.</w:t>
      </w:r>
    </w:p>
    <w:p w14:paraId="4887AB6E" w14:textId="77777777" w:rsidR="00A92C81" w:rsidRPr="008B1975" w:rsidRDefault="00946DEA" w:rsidP="00946DEA">
      <w:pPr>
        <w:pStyle w:val="ItemHead"/>
      </w:pPr>
      <w:bookmarkStart w:id="324" w:name="_Ref185279932"/>
      <w:r w:rsidRPr="008B1975">
        <w:t xml:space="preserve">12  </w:t>
      </w:r>
      <w:r w:rsidR="00A92C81" w:rsidRPr="008B1975">
        <w:t>Section 27.4 (table)</w:t>
      </w:r>
      <w:bookmarkEnd w:id="324"/>
    </w:p>
    <w:p w14:paraId="17C88297" w14:textId="77777777" w:rsidR="00A92C81" w:rsidRPr="008B1975" w:rsidRDefault="00A92C81" w:rsidP="001715D4">
      <w:pPr>
        <w:pStyle w:val="Item"/>
      </w:pPr>
      <w:r w:rsidRPr="008B1975">
        <w:t>Repeal the table, substitute:</w:t>
      </w:r>
    </w:p>
    <w:p w14:paraId="0246965A" w14:textId="77777777" w:rsidR="00A92C81" w:rsidRPr="008B1975" w:rsidRDefault="00A92C81" w:rsidP="001715D4">
      <w:pPr>
        <w:pStyle w:val="subsection"/>
      </w:pPr>
      <w:r w:rsidRPr="008B1975">
        <w:tab/>
        <w:t>(2)</w:t>
      </w:r>
      <w:r w:rsidRPr="008B1975">
        <w:tab/>
        <w:t>The following table specifies which conveyances, premises and infrastructure this section applies to.</w:t>
      </w:r>
    </w:p>
    <w:p w14:paraId="6902B6B6" w14:textId="77777777" w:rsidR="00A92C81" w:rsidRPr="008B1975" w:rsidRDefault="00A92C81"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2DB507F6"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282850EB" w14:textId="77777777" w:rsidR="00A92C81" w:rsidRPr="008B1975" w:rsidRDefault="00A92C81" w:rsidP="001715D4">
            <w:pPr>
              <w:pStyle w:val="TableHeading"/>
            </w:pPr>
            <w:r w:rsidRPr="008B1975">
              <w:t>Application of this section</w:t>
            </w:r>
          </w:p>
        </w:tc>
      </w:tr>
      <w:tr w:rsidR="00A92C81" w:rsidRPr="008B1975" w14:paraId="6995A26E" w14:textId="77777777" w:rsidTr="00CC36E0">
        <w:trPr>
          <w:trHeight w:val="300"/>
          <w:tblHeader/>
        </w:trPr>
        <w:tc>
          <w:tcPr>
            <w:tcW w:w="1667" w:type="pct"/>
            <w:tcBorders>
              <w:top w:val="single" w:sz="6" w:space="0" w:color="auto"/>
              <w:left w:val="nil"/>
              <w:bottom w:val="single" w:sz="12" w:space="0" w:color="auto"/>
              <w:right w:val="nil"/>
            </w:tcBorders>
            <w:hideMark/>
          </w:tcPr>
          <w:p w14:paraId="14FF31E0" w14:textId="77777777" w:rsidR="00A92C81" w:rsidRPr="008B1975" w:rsidRDefault="00A92C81"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1D29191F" w14:textId="77777777" w:rsidR="00A92C81" w:rsidRPr="008B1975" w:rsidRDefault="00A92C81"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4CB57D52" w14:textId="77777777" w:rsidR="00A92C81" w:rsidRPr="008B1975" w:rsidRDefault="00A92C81" w:rsidP="001715D4">
            <w:pPr>
              <w:pStyle w:val="TableHeading"/>
            </w:pPr>
            <w:r w:rsidRPr="008B1975">
              <w:t>Infrastructure</w:t>
            </w:r>
          </w:p>
        </w:tc>
      </w:tr>
      <w:tr w:rsidR="00A92C81" w:rsidRPr="008B1975" w14:paraId="0475B585" w14:textId="77777777" w:rsidTr="00CC36E0">
        <w:trPr>
          <w:trHeight w:val="300"/>
        </w:trPr>
        <w:tc>
          <w:tcPr>
            <w:tcW w:w="1667" w:type="pct"/>
            <w:tcBorders>
              <w:top w:val="single" w:sz="12" w:space="0" w:color="auto"/>
              <w:left w:val="nil"/>
              <w:bottom w:val="single" w:sz="12" w:space="0" w:color="auto"/>
              <w:right w:val="nil"/>
            </w:tcBorders>
            <w:hideMark/>
          </w:tcPr>
          <w:p w14:paraId="2C854887" w14:textId="77777777" w:rsidR="00A92C81" w:rsidRPr="008B1975" w:rsidRDefault="00A92C81" w:rsidP="001715D4">
            <w:pPr>
              <w:pStyle w:val="Tabletext"/>
            </w:pPr>
            <w:r w:rsidRPr="008B1975">
              <w:t>All</w:t>
            </w:r>
          </w:p>
        </w:tc>
        <w:tc>
          <w:tcPr>
            <w:tcW w:w="1667" w:type="pct"/>
            <w:tcBorders>
              <w:top w:val="single" w:sz="12" w:space="0" w:color="auto"/>
              <w:left w:val="nil"/>
              <w:bottom w:val="single" w:sz="12" w:space="0" w:color="auto"/>
              <w:right w:val="nil"/>
            </w:tcBorders>
            <w:hideMark/>
          </w:tcPr>
          <w:p w14:paraId="103C3278" w14:textId="77777777" w:rsidR="00A92C81" w:rsidRPr="008B1975" w:rsidRDefault="00A92C81"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7068EDBF" w14:textId="77777777" w:rsidR="00A92C81" w:rsidRPr="008B1975" w:rsidRDefault="00A92C81" w:rsidP="001715D4">
            <w:pPr>
              <w:pStyle w:val="Tabletext"/>
            </w:pPr>
            <w:r w:rsidRPr="008B1975">
              <w:t>None</w:t>
            </w:r>
          </w:p>
        </w:tc>
      </w:tr>
    </w:tbl>
    <w:p w14:paraId="32C16FFB" w14:textId="77777777" w:rsidR="009C7D5F" w:rsidRPr="008B1975" w:rsidRDefault="00946DEA" w:rsidP="00946DEA">
      <w:pPr>
        <w:pStyle w:val="ItemHead"/>
      </w:pPr>
      <w:bookmarkStart w:id="325" w:name="_Ref185280150"/>
      <w:r w:rsidRPr="008B1975">
        <w:t xml:space="preserve">13  </w:t>
      </w:r>
      <w:r w:rsidR="009C7D5F" w:rsidRPr="008B1975">
        <w:t>At the end of Part 27</w:t>
      </w:r>
      <w:bookmarkEnd w:id="325"/>
    </w:p>
    <w:p w14:paraId="41F1C0A8" w14:textId="77777777" w:rsidR="009C7D5F" w:rsidRPr="008B1975" w:rsidRDefault="009C7D5F" w:rsidP="001715D4">
      <w:pPr>
        <w:pStyle w:val="Item"/>
      </w:pPr>
      <w:r w:rsidRPr="008B1975">
        <w:t>Add:</w:t>
      </w:r>
    </w:p>
    <w:p w14:paraId="7278CA04" w14:textId="77777777" w:rsidR="0047304D" w:rsidRPr="008B1975" w:rsidRDefault="0047304D" w:rsidP="0047304D">
      <w:pPr>
        <w:pStyle w:val="ActHead5"/>
        <w:outlineLvl w:val="9"/>
      </w:pPr>
      <w:r w:rsidRPr="008B1975">
        <w:t>27.</w:t>
      </w:r>
      <w:r w:rsidR="005418AC" w:rsidRPr="008B1975">
        <w:t>5</w:t>
      </w:r>
      <w:r w:rsidRPr="008B1975">
        <w:t xml:space="preserve">  Braille in embossed print format</w:t>
      </w:r>
    </w:p>
    <w:p w14:paraId="1EEAE541" w14:textId="77777777" w:rsidR="001740AB" w:rsidRPr="008B1975" w:rsidRDefault="001740AB" w:rsidP="001740AB">
      <w:pPr>
        <w:pStyle w:val="subsection"/>
        <w:rPr>
          <w:color w:val="000000" w:themeColor="text1"/>
        </w:rPr>
      </w:pPr>
      <w:r w:rsidRPr="008B1975">
        <w:rPr>
          <w:color w:val="000000" w:themeColor="text1"/>
        </w:rPr>
        <w:tab/>
        <w:t>(1)</w:t>
      </w:r>
      <w:r w:rsidRPr="008B1975">
        <w:rPr>
          <w:color w:val="000000" w:themeColor="text1"/>
        </w:rPr>
        <w:tab/>
        <w:t>If a passenger requests information in braille in a printed format, an operator or provider must provide that information in Grade 2 braille (contracted) unless the passenger specifically requests that the information be provided in Grade 1 braille (uncontracted).</w:t>
      </w:r>
    </w:p>
    <w:p w14:paraId="3469B45F" w14:textId="77777777" w:rsidR="001740AB" w:rsidRPr="008B1975" w:rsidRDefault="001740AB" w:rsidP="001740AB">
      <w:pPr>
        <w:pStyle w:val="subsection"/>
        <w:rPr>
          <w:color w:val="000000" w:themeColor="text1"/>
        </w:rPr>
      </w:pPr>
      <w:r w:rsidRPr="008B1975">
        <w:rPr>
          <w:color w:val="000000" w:themeColor="text1"/>
        </w:rPr>
        <w:tab/>
        <w:t>(2)</w:t>
      </w:r>
      <w:r w:rsidRPr="008B1975">
        <w:rPr>
          <w:color w:val="000000" w:themeColor="text1"/>
        </w:rPr>
        <w:tab/>
        <w:t>If an operator or provider</w:t>
      </w:r>
      <w:r w:rsidR="009E5226" w:rsidRPr="008B1975">
        <w:rPr>
          <w:color w:val="000000" w:themeColor="text1"/>
        </w:rPr>
        <w:t xml:space="preserve"> provides information in braille in a printed form otherwise than in response to a request from a passenger, that information must be provided in both Grade 1 braille (uncontracted) and Grade 2 braille (contracted), in separate volumes.</w:t>
      </w:r>
    </w:p>
    <w:p w14:paraId="56397E79" w14:textId="77777777" w:rsidR="009E5226" w:rsidRPr="008B1975" w:rsidRDefault="009E5226" w:rsidP="001740AB">
      <w:pPr>
        <w:pStyle w:val="subsection"/>
        <w:rPr>
          <w:color w:val="000000" w:themeColor="text1"/>
        </w:rPr>
      </w:pPr>
      <w:r w:rsidRPr="008B1975">
        <w:rPr>
          <w:color w:val="000000" w:themeColor="text1"/>
        </w:rPr>
        <w:tab/>
        <w:t>(3)</w:t>
      </w:r>
      <w:r w:rsidRPr="008B1975">
        <w:rPr>
          <w:color w:val="000000" w:themeColor="text1"/>
        </w:rPr>
        <w:tab/>
        <w:t>Information in braille in a printed format must otherwise be provided in accordance with the Rules of Unified English Braille.</w:t>
      </w:r>
    </w:p>
    <w:p w14:paraId="76B5B940" w14:textId="77777777" w:rsidR="001740AB" w:rsidRPr="008B1975" w:rsidRDefault="009E5226" w:rsidP="001740AB">
      <w:pPr>
        <w:pStyle w:val="subsection"/>
        <w:rPr>
          <w:color w:val="000000" w:themeColor="text1"/>
        </w:rPr>
      </w:pPr>
      <w:r w:rsidRPr="008B1975">
        <w:rPr>
          <w:color w:val="000000" w:themeColor="text1"/>
        </w:rPr>
        <w:tab/>
        <w:t>(4)</w:t>
      </w:r>
      <w:r w:rsidRPr="008B1975">
        <w:rPr>
          <w:color w:val="000000" w:themeColor="text1"/>
        </w:rPr>
        <w:tab/>
        <w:t xml:space="preserve">In this section, </w:t>
      </w:r>
      <w:r w:rsidRPr="008B1975">
        <w:rPr>
          <w:b/>
          <w:i/>
          <w:color w:val="000000" w:themeColor="text1"/>
        </w:rPr>
        <w:t>Grade 1 braille (uncontracted)</w:t>
      </w:r>
      <w:r w:rsidRPr="008B1975">
        <w:rPr>
          <w:color w:val="000000" w:themeColor="text1"/>
        </w:rPr>
        <w:t xml:space="preserve"> and </w:t>
      </w:r>
      <w:r w:rsidRPr="008B1975">
        <w:rPr>
          <w:b/>
          <w:i/>
          <w:color w:val="000000" w:themeColor="text1"/>
        </w:rPr>
        <w:t>Grade 2 braille (contracted)</w:t>
      </w:r>
      <w:r w:rsidRPr="008B1975">
        <w:rPr>
          <w:color w:val="000000" w:themeColor="text1"/>
        </w:rPr>
        <w:t xml:space="preserve"> have the same meaning as in the Rules of Unified English Braille.</w:t>
      </w:r>
    </w:p>
    <w:p w14:paraId="3490CF86" w14:textId="77777777" w:rsidR="0047304D" w:rsidRPr="008B1975" w:rsidRDefault="001740AB" w:rsidP="0047304D">
      <w:pPr>
        <w:pStyle w:val="subsection"/>
        <w:rPr>
          <w:color w:val="000000" w:themeColor="text1"/>
        </w:rPr>
      </w:pPr>
      <w:r w:rsidRPr="008B1975">
        <w:rPr>
          <w:color w:val="000000" w:themeColor="text1"/>
        </w:rPr>
        <w:tab/>
      </w:r>
      <w:r w:rsidR="0047304D" w:rsidRPr="008B1975">
        <w:rPr>
          <w:color w:val="000000" w:themeColor="text1"/>
        </w:rPr>
        <w:t>(</w:t>
      </w:r>
      <w:r w:rsidR="009E5226" w:rsidRPr="008B1975">
        <w:rPr>
          <w:color w:val="000000" w:themeColor="text1"/>
        </w:rPr>
        <w:t>5</w:t>
      </w:r>
      <w:r w:rsidR="0047304D" w:rsidRPr="008B1975">
        <w:rPr>
          <w:color w:val="000000" w:themeColor="text1"/>
        </w:rPr>
        <w:t>)</w:t>
      </w:r>
      <w:r w:rsidR="0047304D" w:rsidRPr="008B1975">
        <w:rPr>
          <w:color w:val="000000" w:themeColor="text1"/>
        </w:rPr>
        <w:tab/>
        <w:t>The following table specifies which conveyances, premises and infrastructure this section applies to.</w:t>
      </w:r>
    </w:p>
    <w:p w14:paraId="32762A83" w14:textId="77777777" w:rsidR="0047304D" w:rsidRPr="008B1975" w:rsidRDefault="0047304D" w:rsidP="0047304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7304D" w:rsidRPr="008B1975" w14:paraId="7790B22D" w14:textId="77777777" w:rsidTr="00AB53F1">
        <w:trPr>
          <w:trHeight w:val="300"/>
          <w:tblHeader/>
        </w:trPr>
        <w:tc>
          <w:tcPr>
            <w:tcW w:w="5000" w:type="pct"/>
            <w:gridSpan w:val="3"/>
            <w:tcBorders>
              <w:top w:val="single" w:sz="12" w:space="0" w:color="auto"/>
              <w:left w:val="nil"/>
              <w:bottom w:val="single" w:sz="6" w:space="0" w:color="auto"/>
              <w:right w:val="nil"/>
            </w:tcBorders>
            <w:hideMark/>
          </w:tcPr>
          <w:p w14:paraId="7A49AD77" w14:textId="77777777" w:rsidR="0047304D" w:rsidRPr="008B1975" w:rsidRDefault="0047304D" w:rsidP="00AB53F1">
            <w:pPr>
              <w:pStyle w:val="TableHeading"/>
            </w:pPr>
            <w:r w:rsidRPr="008B1975">
              <w:t>Application of this section</w:t>
            </w:r>
          </w:p>
        </w:tc>
      </w:tr>
      <w:tr w:rsidR="0047304D" w:rsidRPr="008B1975" w14:paraId="1DFE2ADD" w14:textId="77777777" w:rsidTr="00CC36E0">
        <w:trPr>
          <w:trHeight w:val="300"/>
          <w:tblHeader/>
        </w:trPr>
        <w:tc>
          <w:tcPr>
            <w:tcW w:w="1667" w:type="pct"/>
            <w:tcBorders>
              <w:top w:val="single" w:sz="6" w:space="0" w:color="auto"/>
              <w:left w:val="nil"/>
              <w:bottom w:val="single" w:sz="12" w:space="0" w:color="auto"/>
              <w:right w:val="nil"/>
            </w:tcBorders>
            <w:hideMark/>
          </w:tcPr>
          <w:p w14:paraId="0510639C" w14:textId="77777777" w:rsidR="0047304D" w:rsidRPr="008B1975" w:rsidRDefault="0047304D" w:rsidP="00AB53F1">
            <w:pPr>
              <w:pStyle w:val="TableHeading"/>
            </w:pPr>
            <w:r w:rsidRPr="008B1975">
              <w:t>Conveyances</w:t>
            </w:r>
          </w:p>
        </w:tc>
        <w:tc>
          <w:tcPr>
            <w:tcW w:w="1667" w:type="pct"/>
            <w:tcBorders>
              <w:top w:val="single" w:sz="6" w:space="0" w:color="auto"/>
              <w:left w:val="nil"/>
              <w:bottom w:val="single" w:sz="12" w:space="0" w:color="auto"/>
              <w:right w:val="nil"/>
            </w:tcBorders>
            <w:hideMark/>
          </w:tcPr>
          <w:p w14:paraId="60CA0381" w14:textId="77777777" w:rsidR="0047304D" w:rsidRPr="008B1975" w:rsidRDefault="0047304D" w:rsidP="00AB53F1">
            <w:pPr>
              <w:pStyle w:val="TableHeading"/>
            </w:pPr>
            <w:r w:rsidRPr="008B1975">
              <w:t>Premises</w:t>
            </w:r>
          </w:p>
        </w:tc>
        <w:tc>
          <w:tcPr>
            <w:tcW w:w="1667" w:type="pct"/>
            <w:tcBorders>
              <w:top w:val="single" w:sz="6" w:space="0" w:color="auto"/>
              <w:left w:val="nil"/>
              <w:bottom w:val="single" w:sz="12" w:space="0" w:color="auto"/>
              <w:right w:val="nil"/>
            </w:tcBorders>
            <w:hideMark/>
          </w:tcPr>
          <w:p w14:paraId="40F54FAB" w14:textId="77777777" w:rsidR="0047304D" w:rsidRPr="008B1975" w:rsidRDefault="0047304D" w:rsidP="00AB53F1">
            <w:pPr>
              <w:pStyle w:val="TableHeading"/>
            </w:pPr>
            <w:r w:rsidRPr="008B1975">
              <w:t>Infrastructure</w:t>
            </w:r>
          </w:p>
        </w:tc>
      </w:tr>
      <w:tr w:rsidR="0047304D" w:rsidRPr="008B1975" w14:paraId="51166F33" w14:textId="77777777" w:rsidTr="00CC36E0">
        <w:trPr>
          <w:trHeight w:val="219"/>
        </w:trPr>
        <w:tc>
          <w:tcPr>
            <w:tcW w:w="1667" w:type="pct"/>
            <w:tcBorders>
              <w:top w:val="single" w:sz="12" w:space="0" w:color="auto"/>
              <w:left w:val="nil"/>
              <w:bottom w:val="single" w:sz="12" w:space="0" w:color="auto"/>
              <w:right w:val="nil"/>
            </w:tcBorders>
            <w:hideMark/>
          </w:tcPr>
          <w:p w14:paraId="3ABF2EA9" w14:textId="77777777" w:rsidR="0047304D" w:rsidRPr="008B1975" w:rsidRDefault="0047304D" w:rsidP="00AB53F1">
            <w:pPr>
              <w:pStyle w:val="Tabletext"/>
            </w:pPr>
            <w:r w:rsidRPr="008B1975">
              <w:t>All</w:t>
            </w:r>
          </w:p>
        </w:tc>
        <w:tc>
          <w:tcPr>
            <w:tcW w:w="1667" w:type="pct"/>
            <w:tcBorders>
              <w:top w:val="single" w:sz="12" w:space="0" w:color="auto"/>
              <w:left w:val="nil"/>
              <w:bottom w:val="single" w:sz="12" w:space="0" w:color="auto"/>
              <w:right w:val="nil"/>
            </w:tcBorders>
            <w:hideMark/>
          </w:tcPr>
          <w:p w14:paraId="536DE315" w14:textId="77777777" w:rsidR="0047304D" w:rsidRPr="008B1975" w:rsidRDefault="0047304D" w:rsidP="00AB53F1">
            <w:pPr>
              <w:pStyle w:val="Tabletext"/>
            </w:pPr>
            <w:r w:rsidRPr="008B1975">
              <w:t>All</w:t>
            </w:r>
          </w:p>
        </w:tc>
        <w:tc>
          <w:tcPr>
            <w:tcW w:w="1667" w:type="pct"/>
            <w:tcBorders>
              <w:top w:val="single" w:sz="12" w:space="0" w:color="auto"/>
              <w:left w:val="nil"/>
              <w:bottom w:val="single" w:sz="12" w:space="0" w:color="auto"/>
              <w:right w:val="nil"/>
            </w:tcBorders>
            <w:hideMark/>
          </w:tcPr>
          <w:p w14:paraId="39AD86BA" w14:textId="77777777" w:rsidR="0047304D" w:rsidRPr="008B1975" w:rsidRDefault="0047304D" w:rsidP="00AB53F1">
            <w:pPr>
              <w:pStyle w:val="Tabletext"/>
            </w:pPr>
            <w:r w:rsidRPr="008B1975">
              <w:t>All</w:t>
            </w:r>
          </w:p>
        </w:tc>
      </w:tr>
    </w:tbl>
    <w:p w14:paraId="64B4EB5D" w14:textId="77777777" w:rsidR="00913074" w:rsidRPr="008B1975" w:rsidRDefault="00913074" w:rsidP="00913074">
      <w:pPr>
        <w:pStyle w:val="notetext"/>
      </w:pPr>
      <w:r w:rsidRPr="008B1975">
        <w:t>Note:</w:t>
      </w:r>
      <w:r w:rsidRPr="008B1975">
        <w:tab/>
        <w:t>This section applies after the end of the 5-year transitional period: see section 35.24.</w:t>
      </w:r>
    </w:p>
    <w:p w14:paraId="0BB647F3" w14:textId="77777777" w:rsidR="009C7D5F" w:rsidRPr="008B1975" w:rsidRDefault="009C7D5F" w:rsidP="001715D4">
      <w:pPr>
        <w:pStyle w:val="ActHead5"/>
        <w:outlineLvl w:val="9"/>
      </w:pPr>
      <w:r w:rsidRPr="008B1975">
        <w:t>27.</w:t>
      </w:r>
      <w:r w:rsidR="005418AC" w:rsidRPr="008B1975">
        <w:t>6</w:t>
      </w:r>
      <w:r w:rsidRPr="008B1975">
        <w:t xml:space="preserve">  Information about stops should be given during public transport journey</w:t>
      </w:r>
    </w:p>
    <w:p w14:paraId="6AF2DDBD" w14:textId="77777777" w:rsidR="009C7D5F" w:rsidRPr="008B1975" w:rsidRDefault="009C7D5F" w:rsidP="001715D4">
      <w:pPr>
        <w:pStyle w:val="subsection"/>
      </w:pPr>
      <w:r w:rsidRPr="008B1975">
        <w:tab/>
        <w:t>(1)</w:t>
      </w:r>
      <w:r w:rsidRPr="008B1975">
        <w:tab/>
        <w:t>The following must be provided in a conveyance providing a public transport service with multiple stops:</w:t>
      </w:r>
    </w:p>
    <w:p w14:paraId="023178CD" w14:textId="77777777" w:rsidR="009C7D5F" w:rsidRPr="008B1975" w:rsidRDefault="009C7D5F" w:rsidP="001715D4">
      <w:pPr>
        <w:pStyle w:val="paragraph"/>
      </w:pPr>
      <w:r w:rsidRPr="008B1975">
        <w:tab/>
        <w:t>(a)</w:t>
      </w:r>
      <w:r w:rsidRPr="008B1975">
        <w:tab/>
        <w:t>information displaying the next stop of the service</w:t>
      </w:r>
      <w:r w:rsidR="003D769C" w:rsidRPr="008B1975">
        <w:t xml:space="preserve"> that</w:t>
      </w:r>
      <w:r w:rsidRPr="008B1975">
        <w:t xml:space="preserve"> is visible </w:t>
      </w:r>
      <w:r w:rsidR="003D769C" w:rsidRPr="008B1975">
        <w:t xml:space="preserve">from </w:t>
      </w:r>
      <w:r w:rsidRPr="008B1975">
        <w:t>priority seats and allocated spaces;</w:t>
      </w:r>
    </w:p>
    <w:p w14:paraId="3EF3FB8F" w14:textId="77777777" w:rsidR="009C7D5F" w:rsidRPr="008B1975" w:rsidRDefault="009C7D5F" w:rsidP="001715D4">
      <w:pPr>
        <w:pStyle w:val="paragraph"/>
      </w:pPr>
      <w:r w:rsidRPr="008B1975">
        <w:tab/>
        <w:t>(b)</w:t>
      </w:r>
      <w:r w:rsidRPr="008B1975">
        <w:tab/>
        <w:t xml:space="preserve">announcements of the next stop </w:t>
      </w:r>
      <w:r w:rsidR="003D769C" w:rsidRPr="008B1975">
        <w:t xml:space="preserve">that </w:t>
      </w:r>
      <w:r w:rsidRPr="008B1975">
        <w:t>are able to be heard using a hearing augmentation system;</w:t>
      </w:r>
    </w:p>
    <w:p w14:paraId="31066170" w14:textId="77777777" w:rsidR="009C7D5F" w:rsidRPr="008B1975" w:rsidRDefault="009C7D5F" w:rsidP="001715D4">
      <w:pPr>
        <w:pStyle w:val="paragraph"/>
      </w:pPr>
      <w:r w:rsidRPr="008B1975">
        <w:tab/>
        <w:t>(c)</w:t>
      </w:r>
      <w:r w:rsidRPr="008B1975">
        <w:tab/>
        <w:t>announcements of the side, door or gate of the conveyance through which a person must alight if the side, door or gate may vary during the course of the service provided.</w:t>
      </w:r>
    </w:p>
    <w:p w14:paraId="5CD4D0EA" w14:textId="77777777" w:rsidR="009C7D5F" w:rsidRPr="008B1975" w:rsidRDefault="009C7D5F" w:rsidP="001715D4">
      <w:pPr>
        <w:pStyle w:val="subsection"/>
      </w:pPr>
      <w:r w:rsidRPr="008B1975">
        <w:tab/>
        <w:t>(2)</w:t>
      </w:r>
      <w:r w:rsidRPr="008B1975">
        <w:tab/>
        <w:t>The following table specifies conveyances, premises and infrastructure this section applies to.</w:t>
      </w:r>
    </w:p>
    <w:p w14:paraId="6B5F88EE" w14:textId="77777777" w:rsidR="009C7D5F" w:rsidRPr="008B1975" w:rsidRDefault="009C7D5F"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C7D5F" w:rsidRPr="008B1975" w14:paraId="021AF9DA"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4B151031" w14:textId="77777777" w:rsidR="009C7D5F" w:rsidRPr="008B1975" w:rsidRDefault="009C7D5F" w:rsidP="001715D4">
            <w:pPr>
              <w:pStyle w:val="TableHeading"/>
            </w:pPr>
            <w:r w:rsidRPr="008B1975">
              <w:lastRenderedPageBreak/>
              <w:t>Application of this section</w:t>
            </w:r>
          </w:p>
        </w:tc>
      </w:tr>
      <w:tr w:rsidR="009C7D5F" w:rsidRPr="008B1975" w14:paraId="6EA49B82" w14:textId="77777777" w:rsidTr="00CC36E0">
        <w:trPr>
          <w:trHeight w:val="300"/>
          <w:tblHeader/>
        </w:trPr>
        <w:tc>
          <w:tcPr>
            <w:tcW w:w="1667" w:type="pct"/>
            <w:tcBorders>
              <w:top w:val="single" w:sz="6" w:space="0" w:color="auto"/>
              <w:bottom w:val="single" w:sz="12" w:space="0" w:color="auto"/>
            </w:tcBorders>
            <w:shd w:val="clear" w:color="auto" w:fill="auto"/>
            <w:hideMark/>
          </w:tcPr>
          <w:p w14:paraId="5FEFCFB3" w14:textId="77777777" w:rsidR="009C7D5F" w:rsidRPr="008B1975" w:rsidRDefault="009C7D5F"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0DFFE604" w14:textId="77777777" w:rsidR="009C7D5F" w:rsidRPr="008B1975" w:rsidRDefault="009C7D5F"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2D27E5B8" w14:textId="77777777" w:rsidR="009C7D5F" w:rsidRPr="008B1975" w:rsidRDefault="009C7D5F" w:rsidP="001715D4">
            <w:pPr>
              <w:pStyle w:val="TableHeading"/>
            </w:pPr>
            <w:r w:rsidRPr="008B1975">
              <w:t>Infrastructure</w:t>
            </w:r>
          </w:p>
        </w:tc>
      </w:tr>
      <w:tr w:rsidR="009C7D5F" w:rsidRPr="008B1975" w14:paraId="2F36B13A" w14:textId="77777777" w:rsidTr="00CC36E0">
        <w:trPr>
          <w:trHeight w:val="232"/>
        </w:trPr>
        <w:tc>
          <w:tcPr>
            <w:tcW w:w="1667" w:type="pct"/>
            <w:tcBorders>
              <w:top w:val="single" w:sz="12" w:space="0" w:color="auto"/>
              <w:bottom w:val="single" w:sz="12" w:space="0" w:color="auto"/>
            </w:tcBorders>
            <w:shd w:val="clear" w:color="auto" w:fill="auto"/>
            <w:hideMark/>
          </w:tcPr>
          <w:p w14:paraId="3BEEB7FF" w14:textId="77777777" w:rsidR="009C7D5F" w:rsidRPr="008B1975" w:rsidRDefault="009C7D5F" w:rsidP="001715D4">
            <w:pPr>
              <w:pStyle w:val="Tabletext"/>
            </w:pPr>
            <w:r w:rsidRPr="008B1975">
              <w:t>All, except:</w:t>
            </w:r>
          </w:p>
          <w:p w14:paraId="50158F85" w14:textId="77777777" w:rsidR="009C7D5F" w:rsidRPr="008B1975" w:rsidRDefault="009C7D5F" w:rsidP="001715D4">
            <w:pPr>
              <w:pStyle w:val="Tablea"/>
            </w:pPr>
            <w:r w:rsidRPr="008B1975">
              <w:t>(a) taxis;</w:t>
            </w:r>
          </w:p>
          <w:p w14:paraId="662FD202" w14:textId="77777777" w:rsidR="009C7D5F" w:rsidRPr="008B1975" w:rsidRDefault="009C7D5F" w:rsidP="001715D4">
            <w:pPr>
              <w:pStyle w:val="Tablea"/>
            </w:pPr>
            <w:r w:rsidRPr="008B1975">
              <w:t>(</w:t>
            </w:r>
            <w:r w:rsidR="003D769C" w:rsidRPr="008B1975">
              <w:t>b</w:t>
            </w:r>
            <w:r w:rsidRPr="008B1975">
              <w:t>) aircraft</w:t>
            </w:r>
          </w:p>
        </w:tc>
        <w:tc>
          <w:tcPr>
            <w:tcW w:w="1667" w:type="pct"/>
            <w:tcBorders>
              <w:top w:val="single" w:sz="12" w:space="0" w:color="auto"/>
              <w:bottom w:val="single" w:sz="12" w:space="0" w:color="auto"/>
            </w:tcBorders>
            <w:shd w:val="clear" w:color="auto" w:fill="auto"/>
          </w:tcPr>
          <w:p w14:paraId="539877C2" w14:textId="77777777" w:rsidR="009C7D5F" w:rsidRPr="008B1975" w:rsidRDefault="009C7D5F" w:rsidP="001715D4">
            <w:pPr>
              <w:pStyle w:val="Tabletext"/>
            </w:pPr>
            <w:r w:rsidRPr="008B1975">
              <w:t>None</w:t>
            </w:r>
          </w:p>
        </w:tc>
        <w:tc>
          <w:tcPr>
            <w:tcW w:w="1667" w:type="pct"/>
            <w:tcBorders>
              <w:top w:val="single" w:sz="12" w:space="0" w:color="auto"/>
              <w:bottom w:val="single" w:sz="12" w:space="0" w:color="auto"/>
            </w:tcBorders>
            <w:shd w:val="clear" w:color="auto" w:fill="auto"/>
          </w:tcPr>
          <w:p w14:paraId="1B372FEF" w14:textId="77777777" w:rsidR="009C7D5F" w:rsidRPr="008B1975" w:rsidRDefault="009C7D5F" w:rsidP="001715D4">
            <w:pPr>
              <w:pStyle w:val="Tabletext"/>
            </w:pPr>
            <w:r w:rsidRPr="008B1975">
              <w:t>None</w:t>
            </w:r>
          </w:p>
        </w:tc>
      </w:tr>
    </w:tbl>
    <w:p w14:paraId="6039C9E5" w14:textId="77777777" w:rsidR="009C7D5F" w:rsidRPr="008B1975" w:rsidRDefault="009C7D5F" w:rsidP="001715D4">
      <w:pPr>
        <w:pStyle w:val="ActHead5"/>
        <w:outlineLvl w:val="9"/>
      </w:pPr>
      <w:r w:rsidRPr="008B1975">
        <w:t>27.</w:t>
      </w:r>
      <w:r w:rsidR="003F5691" w:rsidRPr="008B1975">
        <w:t>7</w:t>
      </w:r>
      <w:r w:rsidRPr="008B1975">
        <w:t xml:space="preserve">  </w:t>
      </w:r>
      <w:r w:rsidR="0068253F" w:rsidRPr="008B1975">
        <w:t>Online i</w:t>
      </w:r>
      <w:r w:rsidRPr="008B1975">
        <w:t xml:space="preserve">nformation about </w:t>
      </w:r>
      <w:r w:rsidR="0068253F" w:rsidRPr="008B1975">
        <w:t xml:space="preserve">public transport services </w:t>
      </w:r>
      <w:r w:rsidRPr="008B1975">
        <w:t>must be accessible</w:t>
      </w:r>
    </w:p>
    <w:p w14:paraId="24034F81" w14:textId="77777777" w:rsidR="000D08F2" w:rsidRPr="008B1975" w:rsidRDefault="000D08F2" w:rsidP="001715D4">
      <w:pPr>
        <w:pStyle w:val="subsection"/>
      </w:pPr>
      <w:r w:rsidRPr="008B1975">
        <w:tab/>
        <w:t>(1)</w:t>
      </w:r>
      <w:r w:rsidRPr="008B1975">
        <w:tab/>
      </w:r>
      <w:r w:rsidR="0068253F" w:rsidRPr="008B1975">
        <w:t>Information about public transport services provided by an operator or provider in an online format (such as a website or mobile web system) must at least meet Level AA conformance as provided by section 5.2.1 of WCAG.</w:t>
      </w:r>
    </w:p>
    <w:p w14:paraId="6048E53B" w14:textId="77777777" w:rsidR="009C7D5F" w:rsidRPr="008B1975" w:rsidRDefault="009C7D5F" w:rsidP="001715D4">
      <w:pPr>
        <w:pStyle w:val="subsection"/>
      </w:pPr>
      <w:r w:rsidRPr="008B1975">
        <w:tab/>
        <w:t>(</w:t>
      </w:r>
      <w:r w:rsidR="0068253F" w:rsidRPr="008B1975">
        <w:t>2</w:t>
      </w:r>
      <w:r w:rsidRPr="008B1975">
        <w:t>)</w:t>
      </w:r>
      <w:r w:rsidRPr="008B1975">
        <w:tab/>
        <w:t>The following table specifies conveyances, premises and infrastructure this section applies to.</w:t>
      </w:r>
    </w:p>
    <w:p w14:paraId="678F00EB" w14:textId="77777777" w:rsidR="009C7D5F" w:rsidRPr="008B1975" w:rsidRDefault="009C7D5F"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C7D5F" w:rsidRPr="008B1975" w14:paraId="00CB111F"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74231434" w14:textId="77777777" w:rsidR="009C7D5F" w:rsidRPr="008B1975" w:rsidRDefault="009C7D5F" w:rsidP="001715D4">
            <w:pPr>
              <w:pStyle w:val="TableHeading"/>
            </w:pPr>
            <w:r w:rsidRPr="008B1975">
              <w:t>Application of this section</w:t>
            </w:r>
          </w:p>
        </w:tc>
      </w:tr>
      <w:tr w:rsidR="009C7D5F" w:rsidRPr="008B1975" w14:paraId="6376DCD8" w14:textId="77777777" w:rsidTr="00CC36E0">
        <w:trPr>
          <w:trHeight w:val="300"/>
          <w:tblHeader/>
        </w:trPr>
        <w:tc>
          <w:tcPr>
            <w:tcW w:w="1667" w:type="pct"/>
            <w:tcBorders>
              <w:top w:val="single" w:sz="6" w:space="0" w:color="auto"/>
              <w:bottom w:val="single" w:sz="12" w:space="0" w:color="auto"/>
            </w:tcBorders>
            <w:shd w:val="clear" w:color="auto" w:fill="auto"/>
            <w:hideMark/>
          </w:tcPr>
          <w:p w14:paraId="095C7A0D" w14:textId="77777777" w:rsidR="009C7D5F" w:rsidRPr="008B1975" w:rsidRDefault="009C7D5F"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3BC30982" w14:textId="77777777" w:rsidR="009C7D5F" w:rsidRPr="008B1975" w:rsidRDefault="009C7D5F"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4509BD4" w14:textId="77777777" w:rsidR="009C7D5F" w:rsidRPr="008B1975" w:rsidRDefault="009C7D5F" w:rsidP="001715D4">
            <w:pPr>
              <w:pStyle w:val="TableHeading"/>
            </w:pPr>
            <w:r w:rsidRPr="008B1975">
              <w:t>Infrastructure</w:t>
            </w:r>
          </w:p>
        </w:tc>
      </w:tr>
      <w:tr w:rsidR="009C7D5F" w:rsidRPr="008B1975" w14:paraId="7E60A2BA" w14:textId="77777777" w:rsidTr="00CC36E0">
        <w:trPr>
          <w:trHeight w:val="232"/>
        </w:trPr>
        <w:tc>
          <w:tcPr>
            <w:tcW w:w="1667" w:type="pct"/>
            <w:tcBorders>
              <w:top w:val="single" w:sz="12" w:space="0" w:color="auto"/>
              <w:bottom w:val="single" w:sz="12" w:space="0" w:color="auto"/>
            </w:tcBorders>
            <w:shd w:val="clear" w:color="auto" w:fill="auto"/>
            <w:hideMark/>
          </w:tcPr>
          <w:p w14:paraId="62033996"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30C517A5" w14:textId="77777777" w:rsidR="009C7D5F" w:rsidRPr="008B1975" w:rsidRDefault="009E5226" w:rsidP="001715D4">
            <w:pPr>
              <w:pStyle w:val="Tabletext"/>
              <w:rPr>
                <w:color w:val="000000" w:themeColor="text1"/>
              </w:rPr>
            </w:pPr>
            <w:r w:rsidRPr="008B1975">
              <w:rPr>
                <w:color w:val="000000" w:themeColor="text1"/>
              </w:rPr>
              <w:t>All</w:t>
            </w:r>
          </w:p>
        </w:tc>
        <w:tc>
          <w:tcPr>
            <w:tcW w:w="1667" w:type="pct"/>
            <w:tcBorders>
              <w:top w:val="single" w:sz="12" w:space="0" w:color="auto"/>
              <w:bottom w:val="single" w:sz="12" w:space="0" w:color="auto"/>
            </w:tcBorders>
            <w:shd w:val="clear" w:color="auto" w:fill="auto"/>
          </w:tcPr>
          <w:p w14:paraId="1428DADA" w14:textId="77777777" w:rsidR="009C7D5F" w:rsidRPr="008B1975" w:rsidRDefault="009E5226" w:rsidP="001715D4">
            <w:pPr>
              <w:pStyle w:val="Tabletext"/>
              <w:rPr>
                <w:color w:val="000000" w:themeColor="text1"/>
              </w:rPr>
            </w:pPr>
            <w:r w:rsidRPr="008B1975">
              <w:rPr>
                <w:color w:val="000000" w:themeColor="text1"/>
              </w:rPr>
              <w:t>All</w:t>
            </w:r>
          </w:p>
        </w:tc>
      </w:tr>
    </w:tbl>
    <w:p w14:paraId="5C4FA8FD" w14:textId="77777777" w:rsidR="009C7D5F" w:rsidRPr="008B1975" w:rsidRDefault="009C7D5F" w:rsidP="001715D4">
      <w:pPr>
        <w:pStyle w:val="ActHead5"/>
        <w:outlineLvl w:val="9"/>
      </w:pPr>
      <w:r w:rsidRPr="008B1975">
        <w:t>27.</w:t>
      </w:r>
      <w:r w:rsidR="003F5691" w:rsidRPr="008B1975">
        <w:t>8</w:t>
      </w:r>
      <w:r w:rsidRPr="008B1975">
        <w:t xml:space="preserve">  Information provided during disruptions</w:t>
      </w:r>
    </w:p>
    <w:p w14:paraId="7712CFA4" w14:textId="77777777" w:rsidR="009C7D5F" w:rsidRPr="008B1975" w:rsidRDefault="009C7D5F" w:rsidP="001715D4">
      <w:pPr>
        <w:pStyle w:val="subsection"/>
      </w:pPr>
      <w:r w:rsidRPr="008B1975">
        <w:tab/>
        <w:t>(1)</w:t>
      </w:r>
      <w:r w:rsidRPr="008B1975">
        <w:tab/>
        <w:t xml:space="preserve">If a public transport service is disrupted </w:t>
      </w:r>
      <w:r w:rsidR="00AF6747" w:rsidRPr="008B1975">
        <w:t>as part of a planned disruption</w:t>
      </w:r>
      <w:r w:rsidRPr="008B1975">
        <w:t>, an operator or provider must be able to provide information about the disruption and (if possible) alternative travel options:</w:t>
      </w:r>
    </w:p>
    <w:p w14:paraId="27B4CFB3" w14:textId="77777777" w:rsidR="009C7D5F" w:rsidRPr="008B1975" w:rsidRDefault="009C7D5F" w:rsidP="001715D4">
      <w:pPr>
        <w:pStyle w:val="paragraph"/>
      </w:pPr>
      <w:r w:rsidRPr="008B1975">
        <w:tab/>
        <w:t>(a)</w:t>
      </w:r>
      <w:r w:rsidRPr="008B1975">
        <w:tab/>
        <w:t>in a variety of formats; and</w:t>
      </w:r>
    </w:p>
    <w:p w14:paraId="5E90C916" w14:textId="77777777" w:rsidR="009C7D5F" w:rsidRPr="008B1975" w:rsidRDefault="009C7D5F" w:rsidP="001715D4">
      <w:pPr>
        <w:pStyle w:val="paragraph"/>
      </w:pPr>
      <w:r w:rsidRPr="008B1975">
        <w:tab/>
        <w:t>(b)</w:t>
      </w:r>
      <w:r w:rsidRPr="008B1975">
        <w:tab/>
        <w:t>with as much notice as can be reasonably provided in the circumstances.</w:t>
      </w:r>
    </w:p>
    <w:p w14:paraId="737F40A2" w14:textId="77777777" w:rsidR="009C7D5F" w:rsidRPr="008B1975" w:rsidRDefault="009C7D5F" w:rsidP="001715D4">
      <w:pPr>
        <w:pStyle w:val="subsection"/>
      </w:pPr>
      <w:r w:rsidRPr="008B1975">
        <w:tab/>
        <w:t>(2)</w:t>
      </w:r>
      <w:r w:rsidRPr="008B1975">
        <w:tab/>
        <w:t xml:space="preserve">However, if the operator or provider is unable to comply with subsection (1), the operator or provider </w:t>
      </w:r>
      <w:r w:rsidR="00AF6747" w:rsidRPr="008B1975">
        <w:t xml:space="preserve">must </w:t>
      </w:r>
      <w:r w:rsidRPr="008B1975">
        <w:t>provide the information by direct assistance.</w:t>
      </w:r>
    </w:p>
    <w:p w14:paraId="73DF796A" w14:textId="77777777" w:rsidR="009C7D5F" w:rsidRPr="008B1975" w:rsidRDefault="009C7D5F" w:rsidP="001715D4">
      <w:pPr>
        <w:pStyle w:val="subsection"/>
      </w:pPr>
      <w:r w:rsidRPr="008B1975">
        <w:tab/>
        <w:t>(3)</w:t>
      </w:r>
      <w:r w:rsidRPr="008B1975">
        <w:tab/>
        <w:t>Subsection (1) does not apply if the disruption’s nature is such that the operator or the provider no longer has control of the conveyance, premises or infrastructure (as the case may be).</w:t>
      </w:r>
    </w:p>
    <w:p w14:paraId="5F41CD5E" w14:textId="77777777" w:rsidR="004C2EBA" w:rsidRPr="008B1975" w:rsidRDefault="004C2EBA" w:rsidP="004C2EBA">
      <w:pPr>
        <w:pStyle w:val="notetext"/>
      </w:pPr>
      <w:r w:rsidRPr="008B1975">
        <w:t>Example:</w:t>
      </w:r>
      <w:r w:rsidRPr="008B1975">
        <w:tab/>
        <w:t>A fire evacuation or police operation.</w:t>
      </w:r>
    </w:p>
    <w:p w14:paraId="7A7084B5" w14:textId="77777777" w:rsidR="009C7D5F" w:rsidRPr="008B1975" w:rsidRDefault="009C7D5F" w:rsidP="001715D4">
      <w:pPr>
        <w:pStyle w:val="subsection"/>
      </w:pPr>
      <w:r w:rsidRPr="008B1975">
        <w:tab/>
        <w:t>(4)</w:t>
      </w:r>
      <w:r w:rsidRPr="008B1975">
        <w:tab/>
        <w:t>The following table specifies conveyances, premises and infrastructure this section applies to.</w:t>
      </w:r>
    </w:p>
    <w:p w14:paraId="49A013BB" w14:textId="77777777" w:rsidR="009C7D5F" w:rsidRPr="008B1975" w:rsidRDefault="009C7D5F"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C7D5F" w:rsidRPr="008B1975" w14:paraId="3537DB91"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1D21D011" w14:textId="77777777" w:rsidR="009C7D5F" w:rsidRPr="008B1975" w:rsidRDefault="009C7D5F" w:rsidP="001715D4">
            <w:pPr>
              <w:pStyle w:val="TableHeading"/>
            </w:pPr>
            <w:r w:rsidRPr="008B1975">
              <w:t>Application of this section</w:t>
            </w:r>
          </w:p>
        </w:tc>
      </w:tr>
      <w:tr w:rsidR="009C7D5F" w:rsidRPr="008B1975" w14:paraId="15B6CAB6" w14:textId="77777777" w:rsidTr="00CC36E0">
        <w:trPr>
          <w:trHeight w:val="300"/>
          <w:tblHeader/>
        </w:trPr>
        <w:tc>
          <w:tcPr>
            <w:tcW w:w="1667" w:type="pct"/>
            <w:tcBorders>
              <w:top w:val="single" w:sz="6" w:space="0" w:color="auto"/>
              <w:bottom w:val="single" w:sz="12" w:space="0" w:color="auto"/>
            </w:tcBorders>
            <w:shd w:val="clear" w:color="auto" w:fill="auto"/>
            <w:hideMark/>
          </w:tcPr>
          <w:p w14:paraId="3AEF16C7" w14:textId="77777777" w:rsidR="009C7D5F" w:rsidRPr="008B1975" w:rsidRDefault="009C7D5F"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0149A69D" w14:textId="77777777" w:rsidR="009C7D5F" w:rsidRPr="008B1975" w:rsidRDefault="009C7D5F"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0189921B" w14:textId="77777777" w:rsidR="009C7D5F" w:rsidRPr="008B1975" w:rsidRDefault="009C7D5F" w:rsidP="001715D4">
            <w:pPr>
              <w:pStyle w:val="TableHeading"/>
            </w:pPr>
            <w:r w:rsidRPr="008B1975">
              <w:t>Infrastructure</w:t>
            </w:r>
          </w:p>
        </w:tc>
      </w:tr>
      <w:tr w:rsidR="009C7D5F" w:rsidRPr="008B1975" w14:paraId="04EC1900" w14:textId="77777777" w:rsidTr="00CC36E0">
        <w:trPr>
          <w:trHeight w:val="232"/>
        </w:trPr>
        <w:tc>
          <w:tcPr>
            <w:tcW w:w="1667" w:type="pct"/>
            <w:tcBorders>
              <w:top w:val="single" w:sz="12" w:space="0" w:color="auto"/>
              <w:bottom w:val="single" w:sz="12" w:space="0" w:color="auto"/>
            </w:tcBorders>
            <w:shd w:val="clear" w:color="auto" w:fill="auto"/>
            <w:hideMark/>
          </w:tcPr>
          <w:p w14:paraId="208B703C"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205D7D43"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3D9B2BCC" w14:textId="77777777" w:rsidR="009C7D5F" w:rsidRPr="008B1975" w:rsidRDefault="009C7D5F" w:rsidP="001715D4">
            <w:pPr>
              <w:pStyle w:val="Tabletext"/>
            </w:pPr>
            <w:r w:rsidRPr="008B1975">
              <w:t>All</w:t>
            </w:r>
          </w:p>
        </w:tc>
      </w:tr>
    </w:tbl>
    <w:p w14:paraId="7087D5BC" w14:textId="77777777" w:rsidR="00913074" w:rsidRPr="008B1975" w:rsidRDefault="00913074" w:rsidP="00913074">
      <w:pPr>
        <w:pStyle w:val="notetext"/>
      </w:pPr>
      <w:r w:rsidRPr="008B1975">
        <w:t>Note:</w:t>
      </w:r>
      <w:r w:rsidRPr="008B1975">
        <w:tab/>
        <w:t>This section applies after the end of the 5-year transitional period: see section 35.24.</w:t>
      </w:r>
    </w:p>
    <w:p w14:paraId="261F8B1A" w14:textId="77777777" w:rsidR="009C7D5F" w:rsidRPr="008B1975" w:rsidRDefault="009C7D5F" w:rsidP="001715D4">
      <w:pPr>
        <w:pStyle w:val="ActHead5"/>
        <w:outlineLvl w:val="9"/>
      </w:pPr>
      <w:r w:rsidRPr="008B1975">
        <w:t>27.</w:t>
      </w:r>
      <w:r w:rsidR="003F5691" w:rsidRPr="008B1975">
        <w:t>9</w:t>
      </w:r>
      <w:r w:rsidRPr="008B1975">
        <w:t xml:space="preserve">  Communicating accessibility features of conveyances, premises and infrastructure</w:t>
      </w:r>
    </w:p>
    <w:p w14:paraId="23283D63" w14:textId="77777777" w:rsidR="009C7D5F" w:rsidRPr="008B1975" w:rsidRDefault="009C7D5F" w:rsidP="001715D4">
      <w:pPr>
        <w:pStyle w:val="subsection"/>
      </w:pPr>
      <w:r w:rsidRPr="008B1975">
        <w:tab/>
        <w:t>(1)</w:t>
      </w:r>
      <w:r w:rsidRPr="008B1975">
        <w:tab/>
        <w:t>An operator or provider must do all of the following:</w:t>
      </w:r>
    </w:p>
    <w:p w14:paraId="59C7C9BE" w14:textId="77777777" w:rsidR="009C7D5F" w:rsidRPr="008B1975" w:rsidRDefault="009C7D5F" w:rsidP="001715D4">
      <w:pPr>
        <w:pStyle w:val="paragraph"/>
      </w:pPr>
      <w:r w:rsidRPr="008B1975">
        <w:lastRenderedPageBreak/>
        <w:tab/>
        <w:t>(a)</w:t>
      </w:r>
      <w:r w:rsidRPr="008B1975">
        <w:tab/>
      </w:r>
      <w:r w:rsidR="00F358BE" w:rsidRPr="008B1975">
        <w:t>identify access barriers within the transport network and publish information about solutions to those barriers</w:t>
      </w:r>
      <w:r w:rsidR="00A37AE2" w:rsidRPr="008B1975">
        <w:t>;</w:t>
      </w:r>
    </w:p>
    <w:p w14:paraId="60936280" w14:textId="77777777" w:rsidR="00F358BE" w:rsidRPr="008B1975" w:rsidRDefault="00F358BE" w:rsidP="001715D4">
      <w:pPr>
        <w:pStyle w:val="paragraph"/>
      </w:pPr>
      <w:r w:rsidRPr="008B1975">
        <w:tab/>
        <w:t>(b)</w:t>
      </w:r>
      <w:r w:rsidRPr="008B1975">
        <w:tab/>
        <w:t>publish information</w:t>
      </w:r>
      <w:r w:rsidR="00C30DA3" w:rsidRPr="008B1975">
        <w:t xml:space="preserve"> </w:t>
      </w:r>
      <w:r w:rsidRPr="008B1975">
        <w:t>about the features of the conveyance, premises or infrastructure (whichever is applicable) that are to ensure accessibility for persons with disabilities</w:t>
      </w:r>
      <w:r w:rsidR="00C30DA3" w:rsidRPr="008B1975">
        <w:t xml:space="preserve"> in a way that:</w:t>
      </w:r>
    </w:p>
    <w:p w14:paraId="1136B899" w14:textId="77777777" w:rsidR="00C30DA3" w:rsidRPr="008B1975" w:rsidRDefault="00C30DA3" w:rsidP="00C30DA3">
      <w:pPr>
        <w:pStyle w:val="paragraphsub"/>
      </w:pPr>
      <w:r w:rsidRPr="008B1975">
        <w:tab/>
        <w:t>(i)</w:t>
      </w:r>
      <w:r w:rsidRPr="008B1975">
        <w:tab/>
        <w:t>is consistent and easy to understand; and</w:t>
      </w:r>
    </w:p>
    <w:p w14:paraId="7B546EDD" w14:textId="77777777" w:rsidR="00C30DA3" w:rsidRPr="008B1975" w:rsidRDefault="00C30DA3" w:rsidP="00C30DA3">
      <w:pPr>
        <w:pStyle w:val="paragraphsub"/>
      </w:pPr>
      <w:r w:rsidRPr="008B1975">
        <w:tab/>
        <w:t>(ii)</w:t>
      </w:r>
      <w:r w:rsidRPr="008B1975">
        <w:tab/>
        <w:t>conveys the level of access available at or on the conveyance, premises or infrastructure (whichever is applicable).</w:t>
      </w:r>
    </w:p>
    <w:p w14:paraId="712E17B5" w14:textId="77777777" w:rsidR="009C7D5F" w:rsidRPr="008B1975" w:rsidRDefault="009C7D5F" w:rsidP="001715D4">
      <w:pPr>
        <w:pStyle w:val="subsection"/>
      </w:pPr>
      <w:r w:rsidRPr="008B1975">
        <w:tab/>
        <w:t>(2)</w:t>
      </w:r>
      <w:r w:rsidRPr="008B1975">
        <w:tab/>
        <w:t>The following table specifies conveyances, premises and infrastructure this section applies to.</w:t>
      </w:r>
    </w:p>
    <w:p w14:paraId="10506BAD" w14:textId="77777777" w:rsidR="009C7D5F" w:rsidRPr="008B1975" w:rsidRDefault="009C7D5F"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C7D5F" w:rsidRPr="008B1975" w14:paraId="357D766A"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783F7521" w14:textId="77777777" w:rsidR="009C7D5F" w:rsidRPr="008B1975" w:rsidRDefault="009C7D5F" w:rsidP="001715D4">
            <w:pPr>
              <w:pStyle w:val="TableHeading"/>
            </w:pPr>
            <w:r w:rsidRPr="008B1975">
              <w:t>Application of this section</w:t>
            </w:r>
          </w:p>
        </w:tc>
      </w:tr>
      <w:tr w:rsidR="009C7D5F" w:rsidRPr="008B1975" w14:paraId="7F54DDF8" w14:textId="77777777" w:rsidTr="00CC36E0">
        <w:trPr>
          <w:trHeight w:val="300"/>
          <w:tblHeader/>
        </w:trPr>
        <w:tc>
          <w:tcPr>
            <w:tcW w:w="1667" w:type="pct"/>
            <w:tcBorders>
              <w:top w:val="single" w:sz="6" w:space="0" w:color="auto"/>
              <w:bottom w:val="single" w:sz="12" w:space="0" w:color="auto"/>
            </w:tcBorders>
            <w:shd w:val="clear" w:color="auto" w:fill="auto"/>
            <w:hideMark/>
          </w:tcPr>
          <w:p w14:paraId="29348B10" w14:textId="77777777" w:rsidR="009C7D5F" w:rsidRPr="008B1975" w:rsidRDefault="009C7D5F"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FC7B462" w14:textId="77777777" w:rsidR="009C7D5F" w:rsidRPr="008B1975" w:rsidRDefault="009C7D5F"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0B601010" w14:textId="77777777" w:rsidR="009C7D5F" w:rsidRPr="008B1975" w:rsidRDefault="009C7D5F" w:rsidP="001715D4">
            <w:pPr>
              <w:pStyle w:val="TableHeading"/>
            </w:pPr>
            <w:r w:rsidRPr="008B1975">
              <w:t>Infrastructure</w:t>
            </w:r>
          </w:p>
        </w:tc>
      </w:tr>
      <w:tr w:rsidR="009C7D5F" w:rsidRPr="008B1975" w14:paraId="022DCB3C" w14:textId="77777777" w:rsidTr="00CC36E0">
        <w:trPr>
          <w:trHeight w:val="232"/>
        </w:trPr>
        <w:tc>
          <w:tcPr>
            <w:tcW w:w="1667" w:type="pct"/>
            <w:tcBorders>
              <w:top w:val="single" w:sz="12" w:space="0" w:color="auto"/>
              <w:bottom w:val="single" w:sz="12" w:space="0" w:color="auto"/>
            </w:tcBorders>
            <w:shd w:val="clear" w:color="auto" w:fill="auto"/>
            <w:hideMark/>
          </w:tcPr>
          <w:p w14:paraId="75D48114"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7468E48F"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77152B5F" w14:textId="77777777" w:rsidR="009C7D5F" w:rsidRPr="008B1975" w:rsidRDefault="009C7D5F" w:rsidP="001715D4">
            <w:pPr>
              <w:pStyle w:val="Tabletext"/>
            </w:pPr>
            <w:r w:rsidRPr="008B1975">
              <w:t>All</w:t>
            </w:r>
          </w:p>
        </w:tc>
      </w:tr>
    </w:tbl>
    <w:p w14:paraId="31DA69AE" w14:textId="7AB62D6A" w:rsidR="00913074" w:rsidRPr="008B1975" w:rsidRDefault="00913074" w:rsidP="00913074">
      <w:pPr>
        <w:pStyle w:val="notetext"/>
      </w:pPr>
      <w:r w:rsidRPr="008B1975">
        <w:t>Note:</w:t>
      </w:r>
      <w:r w:rsidRPr="008B1975">
        <w:tab/>
        <w:t>This section applies after the end of the 5-year transitional period: see section 35.24.</w:t>
      </w:r>
    </w:p>
    <w:p w14:paraId="23150A7D" w14:textId="77777777" w:rsidR="009C7D5F" w:rsidRPr="008B1975" w:rsidRDefault="009C7D5F" w:rsidP="001715D4">
      <w:pPr>
        <w:pStyle w:val="ActHead5"/>
        <w:outlineLvl w:val="9"/>
      </w:pPr>
      <w:r w:rsidRPr="008B1975">
        <w:t>27.</w:t>
      </w:r>
      <w:r w:rsidR="003F5691" w:rsidRPr="008B1975">
        <w:t>10</w:t>
      </w:r>
      <w:r w:rsidRPr="008B1975">
        <w:t xml:space="preserve">  Information and communication technology must be accessible</w:t>
      </w:r>
    </w:p>
    <w:p w14:paraId="79401275" w14:textId="77777777" w:rsidR="009C7D5F" w:rsidRPr="008B1975" w:rsidRDefault="009C7D5F" w:rsidP="001715D4">
      <w:pPr>
        <w:pStyle w:val="subsection"/>
      </w:pPr>
      <w:r w:rsidRPr="008B1975">
        <w:tab/>
        <w:t>(1)</w:t>
      </w:r>
      <w:r w:rsidRPr="008B1975">
        <w:tab/>
        <w:t>Any information and communication technology that an operator or provider intends for public use must be accessible to persons with disabilities.</w:t>
      </w:r>
    </w:p>
    <w:p w14:paraId="2A11036C" w14:textId="77777777" w:rsidR="009C7D5F" w:rsidRPr="008B1975" w:rsidRDefault="009C7D5F" w:rsidP="001715D4">
      <w:pPr>
        <w:pStyle w:val="subsection"/>
      </w:pPr>
      <w:r w:rsidRPr="008B1975">
        <w:tab/>
        <w:t>(2)</w:t>
      </w:r>
      <w:r w:rsidRPr="008B1975">
        <w:tab/>
        <w:t>The following table specifies conveyances, premises and infrastructure this section applies to.</w:t>
      </w:r>
    </w:p>
    <w:p w14:paraId="69BD15E2" w14:textId="77777777" w:rsidR="009C7D5F" w:rsidRPr="008B1975" w:rsidRDefault="009C7D5F"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9C7D5F" w:rsidRPr="008B1975" w14:paraId="33C581AA" w14:textId="77777777" w:rsidTr="00790930">
        <w:trPr>
          <w:trHeight w:val="300"/>
          <w:tblHeader/>
        </w:trPr>
        <w:tc>
          <w:tcPr>
            <w:tcW w:w="5000" w:type="pct"/>
            <w:gridSpan w:val="3"/>
            <w:tcBorders>
              <w:top w:val="single" w:sz="12" w:space="0" w:color="auto"/>
              <w:bottom w:val="single" w:sz="6" w:space="0" w:color="auto"/>
            </w:tcBorders>
            <w:shd w:val="clear" w:color="auto" w:fill="auto"/>
            <w:hideMark/>
          </w:tcPr>
          <w:p w14:paraId="15FD5C2A" w14:textId="77777777" w:rsidR="009C7D5F" w:rsidRPr="008B1975" w:rsidRDefault="009C7D5F" w:rsidP="001715D4">
            <w:pPr>
              <w:pStyle w:val="TableHeading"/>
            </w:pPr>
            <w:r w:rsidRPr="008B1975">
              <w:t>Application of this section</w:t>
            </w:r>
          </w:p>
        </w:tc>
      </w:tr>
      <w:tr w:rsidR="009C7D5F" w:rsidRPr="008B1975" w14:paraId="14338519" w14:textId="77777777" w:rsidTr="00CC36E0">
        <w:trPr>
          <w:trHeight w:val="300"/>
          <w:tblHeader/>
        </w:trPr>
        <w:tc>
          <w:tcPr>
            <w:tcW w:w="1667" w:type="pct"/>
            <w:tcBorders>
              <w:top w:val="single" w:sz="6" w:space="0" w:color="auto"/>
              <w:bottom w:val="single" w:sz="12" w:space="0" w:color="auto"/>
            </w:tcBorders>
            <w:shd w:val="clear" w:color="auto" w:fill="auto"/>
            <w:hideMark/>
          </w:tcPr>
          <w:p w14:paraId="3B0C1865" w14:textId="77777777" w:rsidR="009C7D5F" w:rsidRPr="008B1975" w:rsidRDefault="009C7D5F"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5A10B906" w14:textId="77777777" w:rsidR="009C7D5F" w:rsidRPr="008B1975" w:rsidRDefault="009C7D5F"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E970F51" w14:textId="77777777" w:rsidR="009C7D5F" w:rsidRPr="008B1975" w:rsidRDefault="009C7D5F" w:rsidP="001715D4">
            <w:pPr>
              <w:pStyle w:val="TableHeading"/>
            </w:pPr>
            <w:r w:rsidRPr="008B1975">
              <w:t>Infrastructure</w:t>
            </w:r>
          </w:p>
        </w:tc>
      </w:tr>
      <w:tr w:rsidR="009C7D5F" w:rsidRPr="008B1975" w14:paraId="0DA832CD" w14:textId="77777777" w:rsidTr="00CC36E0">
        <w:trPr>
          <w:trHeight w:val="232"/>
        </w:trPr>
        <w:tc>
          <w:tcPr>
            <w:tcW w:w="1667" w:type="pct"/>
            <w:tcBorders>
              <w:top w:val="single" w:sz="12" w:space="0" w:color="auto"/>
              <w:bottom w:val="single" w:sz="12" w:space="0" w:color="auto"/>
            </w:tcBorders>
            <w:shd w:val="clear" w:color="auto" w:fill="auto"/>
            <w:hideMark/>
          </w:tcPr>
          <w:p w14:paraId="1785CE6D"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034CE3DF" w14:textId="77777777" w:rsidR="009C7D5F" w:rsidRPr="008B1975" w:rsidRDefault="009C7D5F" w:rsidP="001715D4">
            <w:pPr>
              <w:pStyle w:val="Tabletext"/>
            </w:pPr>
            <w:r w:rsidRPr="008B1975">
              <w:t>All</w:t>
            </w:r>
          </w:p>
        </w:tc>
        <w:tc>
          <w:tcPr>
            <w:tcW w:w="1667" w:type="pct"/>
            <w:tcBorders>
              <w:top w:val="single" w:sz="12" w:space="0" w:color="auto"/>
              <w:bottom w:val="single" w:sz="12" w:space="0" w:color="auto"/>
            </w:tcBorders>
            <w:shd w:val="clear" w:color="auto" w:fill="auto"/>
          </w:tcPr>
          <w:p w14:paraId="37CEA54C" w14:textId="77777777" w:rsidR="009C7D5F" w:rsidRPr="008B1975" w:rsidRDefault="009C7D5F" w:rsidP="001715D4">
            <w:pPr>
              <w:pStyle w:val="Tabletext"/>
            </w:pPr>
            <w:r w:rsidRPr="008B1975">
              <w:t>All</w:t>
            </w:r>
          </w:p>
        </w:tc>
      </w:tr>
    </w:tbl>
    <w:p w14:paraId="08B192F4" w14:textId="77777777" w:rsidR="00824838" w:rsidRPr="008B1975" w:rsidRDefault="00824838" w:rsidP="00824838">
      <w:pPr>
        <w:pStyle w:val="ActHead6"/>
        <w:pageBreakBefore/>
        <w:rPr>
          <w:rStyle w:val="CharAmSchText"/>
        </w:rPr>
      </w:pPr>
      <w:bookmarkStart w:id="326" w:name="_Toc197178984"/>
      <w:r w:rsidRPr="008B1975">
        <w:lastRenderedPageBreak/>
        <w:t>Schedule 28—Part 28 (Booked services) Amendments</w:t>
      </w:r>
      <w:bookmarkEnd w:id="326"/>
    </w:p>
    <w:p w14:paraId="1F5F6220" w14:textId="77777777" w:rsidR="00824838" w:rsidRPr="008B1975" w:rsidRDefault="00824838" w:rsidP="00824838">
      <w:pPr>
        <w:pStyle w:val="ActHead9"/>
      </w:pPr>
      <w:bookmarkStart w:id="327" w:name="_Toc197178985"/>
      <w:r w:rsidRPr="008B1975">
        <w:t>Disability Standards for Accessible Public Transport 2002</w:t>
      </w:r>
      <w:bookmarkEnd w:id="327"/>
    </w:p>
    <w:p w14:paraId="2944240B" w14:textId="77777777" w:rsidR="00A92C81" w:rsidRPr="008B1975" w:rsidRDefault="00946DEA" w:rsidP="00946DEA">
      <w:pPr>
        <w:pStyle w:val="ItemHead"/>
      </w:pPr>
      <w:bookmarkStart w:id="328" w:name="_Ref185341241"/>
      <w:bookmarkStart w:id="329" w:name="_Ref180419637"/>
      <w:r w:rsidRPr="008B1975">
        <w:t xml:space="preserve">1  </w:t>
      </w:r>
      <w:r w:rsidR="00A92C81" w:rsidRPr="008B1975">
        <w:t>Section 28.1</w:t>
      </w:r>
      <w:bookmarkEnd w:id="328"/>
    </w:p>
    <w:p w14:paraId="3627793D" w14:textId="77777777" w:rsidR="00A92C81" w:rsidRPr="008B1975" w:rsidRDefault="00A92C81" w:rsidP="00A92C81">
      <w:pPr>
        <w:pStyle w:val="Item"/>
      </w:pPr>
      <w:r w:rsidRPr="008B1975">
        <w:t>Before “Operators”, insert “(1)”.</w:t>
      </w:r>
    </w:p>
    <w:p w14:paraId="2362D854" w14:textId="77777777" w:rsidR="00A92C81" w:rsidRPr="008B1975" w:rsidRDefault="00946DEA" w:rsidP="00946DEA">
      <w:pPr>
        <w:pStyle w:val="ItemHead"/>
      </w:pPr>
      <w:bookmarkStart w:id="330" w:name="_Ref185341242"/>
      <w:r w:rsidRPr="008B1975">
        <w:t xml:space="preserve">2  </w:t>
      </w:r>
      <w:r w:rsidR="00A92C81" w:rsidRPr="008B1975">
        <w:t>Section 28.1 (table)</w:t>
      </w:r>
      <w:bookmarkEnd w:id="330"/>
    </w:p>
    <w:p w14:paraId="2211C6B7" w14:textId="77777777" w:rsidR="00A92C81" w:rsidRPr="008B1975" w:rsidRDefault="00A92C81" w:rsidP="00A92C81">
      <w:pPr>
        <w:pStyle w:val="Item"/>
      </w:pPr>
      <w:r w:rsidRPr="008B1975">
        <w:t>Repeal the table, substitute:</w:t>
      </w:r>
    </w:p>
    <w:p w14:paraId="1F0116CD" w14:textId="77777777" w:rsidR="00A92C81" w:rsidRPr="008B1975" w:rsidRDefault="00A92C81" w:rsidP="00A92C81">
      <w:pPr>
        <w:pStyle w:val="subsection"/>
      </w:pPr>
      <w:r w:rsidRPr="008B1975">
        <w:tab/>
        <w:t>(2)</w:t>
      </w:r>
      <w:r w:rsidRPr="008B1975">
        <w:tab/>
        <w:t>The following table specifies which conveyances, premises and infrastructure this section applies to.</w:t>
      </w:r>
    </w:p>
    <w:p w14:paraId="07D4726B" w14:textId="77777777" w:rsidR="00A92C81" w:rsidRPr="008B1975" w:rsidRDefault="00A92C81" w:rsidP="00A92C8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92C81" w:rsidRPr="008B1975" w14:paraId="4635E150"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7C363255" w14:textId="77777777" w:rsidR="00A92C81" w:rsidRPr="008B1975" w:rsidRDefault="00A92C81" w:rsidP="00DA74A5">
            <w:pPr>
              <w:pStyle w:val="TableHeading"/>
            </w:pPr>
            <w:r w:rsidRPr="008B1975">
              <w:t>Application of this section</w:t>
            </w:r>
          </w:p>
        </w:tc>
      </w:tr>
      <w:tr w:rsidR="00A92C81" w:rsidRPr="008B1975" w14:paraId="0FA742D7" w14:textId="77777777" w:rsidTr="00CC36E0">
        <w:trPr>
          <w:trHeight w:val="300"/>
          <w:tblHeader/>
        </w:trPr>
        <w:tc>
          <w:tcPr>
            <w:tcW w:w="1667" w:type="pct"/>
            <w:tcBorders>
              <w:top w:val="single" w:sz="6" w:space="0" w:color="auto"/>
              <w:left w:val="nil"/>
              <w:bottom w:val="single" w:sz="12" w:space="0" w:color="auto"/>
              <w:right w:val="nil"/>
            </w:tcBorders>
            <w:hideMark/>
          </w:tcPr>
          <w:p w14:paraId="1C118C69" w14:textId="77777777" w:rsidR="00A92C81" w:rsidRPr="008B1975" w:rsidRDefault="00A92C81"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68446385" w14:textId="77777777" w:rsidR="00A92C81" w:rsidRPr="008B1975" w:rsidRDefault="00A92C81"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22AADB2E" w14:textId="77777777" w:rsidR="00A92C81" w:rsidRPr="008B1975" w:rsidRDefault="00A92C81" w:rsidP="00DA74A5">
            <w:pPr>
              <w:pStyle w:val="TableHeading"/>
            </w:pPr>
            <w:r w:rsidRPr="008B1975">
              <w:t>Infrastructure</w:t>
            </w:r>
          </w:p>
        </w:tc>
      </w:tr>
      <w:tr w:rsidR="00A92C81" w:rsidRPr="008B1975" w14:paraId="04E2B28B" w14:textId="77777777" w:rsidTr="00CC36E0">
        <w:trPr>
          <w:trHeight w:val="300"/>
        </w:trPr>
        <w:tc>
          <w:tcPr>
            <w:tcW w:w="1667" w:type="pct"/>
            <w:tcBorders>
              <w:top w:val="single" w:sz="12" w:space="0" w:color="auto"/>
              <w:left w:val="nil"/>
              <w:bottom w:val="single" w:sz="12" w:space="0" w:color="auto"/>
              <w:right w:val="nil"/>
            </w:tcBorders>
            <w:hideMark/>
          </w:tcPr>
          <w:p w14:paraId="1EBBDE64" w14:textId="77777777" w:rsidR="00A92C81" w:rsidRPr="008B1975" w:rsidRDefault="00A92C81" w:rsidP="00DA74A5">
            <w:pPr>
              <w:pStyle w:val="Tabletext"/>
            </w:pPr>
            <w:r w:rsidRPr="008B1975">
              <w:t>The following:</w:t>
            </w:r>
          </w:p>
          <w:p w14:paraId="284F6338" w14:textId="77777777" w:rsidR="00A92C81" w:rsidRPr="008B1975" w:rsidRDefault="00A92C81" w:rsidP="00DA74A5">
            <w:pPr>
              <w:pStyle w:val="Tabletext"/>
            </w:pPr>
            <w:r w:rsidRPr="008B1975">
              <w:t>(a) aircraft</w:t>
            </w:r>
            <w:r w:rsidR="00B579CD" w:rsidRPr="008B1975">
              <w:t>;</w:t>
            </w:r>
          </w:p>
          <w:p w14:paraId="089E1A5D" w14:textId="77777777" w:rsidR="00A92C81" w:rsidRPr="008B1975" w:rsidRDefault="00A92C81" w:rsidP="00DA74A5">
            <w:pPr>
              <w:pStyle w:val="Tabletext"/>
            </w:pPr>
            <w:r w:rsidRPr="008B1975">
              <w:t>(b) coaches</w:t>
            </w:r>
            <w:r w:rsidR="00B579CD" w:rsidRPr="008B1975">
              <w:t>;</w:t>
            </w:r>
          </w:p>
          <w:p w14:paraId="34660C0C" w14:textId="77777777" w:rsidR="00A92C81" w:rsidRPr="008B1975" w:rsidRDefault="00A92C81" w:rsidP="00DA74A5">
            <w:pPr>
              <w:pStyle w:val="Tabletext"/>
            </w:pPr>
            <w:r w:rsidRPr="008B1975">
              <w:t>(c) ferries</w:t>
            </w:r>
            <w:r w:rsidR="00B579CD" w:rsidRPr="008B1975">
              <w:t>;</w:t>
            </w:r>
          </w:p>
          <w:p w14:paraId="49E8ECEB" w14:textId="77777777" w:rsidR="00A92C81" w:rsidRPr="008B1975" w:rsidRDefault="00A92C81" w:rsidP="00DA74A5">
            <w:pPr>
              <w:pStyle w:val="Tabletext"/>
            </w:pPr>
            <w:r w:rsidRPr="008B1975">
              <w:t>(d) dial-a-ride services</w:t>
            </w:r>
            <w:r w:rsidR="00B579CD" w:rsidRPr="008B1975">
              <w:t>;</w:t>
            </w:r>
          </w:p>
          <w:p w14:paraId="07D5D4EE" w14:textId="77777777" w:rsidR="00A92C81" w:rsidRPr="008B1975" w:rsidRDefault="00A92C81" w:rsidP="00DA74A5">
            <w:pPr>
              <w:pStyle w:val="Tabletext"/>
            </w:pPr>
            <w:r w:rsidRPr="008B1975">
              <w:t>(e) trains</w:t>
            </w:r>
          </w:p>
        </w:tc>
        <w:tc>
          <w:tcPr>
            <w:tcW w:w="1667" w:type="pct"/>
            <w:tcBorders>
              <w:top w:val="single" w:sz="12" w:space="0" w:color="auto"/>
              <w:left w:val="nil"/>
              <w:bottom w:val="single" w:sz="12" w:space="0" w:color="auto"/>
              <w:right w:val="nil"/>
            </w:tcBorders>
            <w:hideMark/>
          </w:tcPr>
          <w:p w14:paraId="315674F8" w14:textId="77777777" w:rsidR="00A92C81" w:rsidRPr="008B1975" w:rsidRDefault="00A92C81"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5CD22502" w14:textId="77777777" w:rsidR="00A92C81" w:rsidRPr="008B1975" w:rsidRDefault="00A92C81" w:rsidP="00DA74A5">
            <w:pPr>
              <w:pStyle w:val="Tabletext"/>
            </w:pPr>
            <w:r w:rsidRPr="008B1975">
              <w:t>None</w:t>
            </w:r>
          </w:p>
        </w:tc>
      </w:tr>
    </w:tbl>
    <w:p w14:paraId="07E838CB" w14:textId="77777777" w:rsidR="00A92C81" w:rsidRPr="008B1975" w:rsidRDefault="00946DEA" w:rsidP="00946DEA">
      <w:pPr>
        <w:pStyle w:val="ItemHead"/>
      </w:pPr>
      <w:bookmarkStart w:id="331" w:name="_Ref185341243"/>
      <w:r w:rsidRPr="008B1975">
        <w:t xml:space="preserve">3  </w:t>
      </w:r>
      <w:r w:rsidR="00A92C81" w:rsidRPr="008B1975">
        <w:t>Section 28.2</w:t>
      </w:r>
      <w:bookmarkEnd w:id="331"/>
    </w:p>
    <w:p w14:paraId="72D7835C" w14:textId="77777777" w:rsidR="00E763F3" w:rsidRPr="008B1975" w:rsidRDefault="00E763F3" w:rsidP="00E763F3">
      <w:pPr>
        <w:pStyle w:val="Item"/>
      </w:pPr>
      <w:r w:rsidRPr="008B1975">
        <w:t>Before “Any”, insert “(1)”.</w:t>
      </w:r>
    </w:p>
    <w:p w14:paraId="50D7426D" w14:textId="77777777" w:rsidR="00E763F3" w:rsidRPr="008B1975" w:rsidRDefault="00946DEA" w:rsidP="00946DEA">
      <w:pPr>
        <w:pStyle w:val="ItemHead"/>
      </w:pPr>
      <w:bookmarkStart w:id="332" w:name="_Ref185341247"/>
      <w:r w:rsidRPr="008B1975">
        <w:t xml:space="preserve">4  </w:t>
      </w:r>
      <w:r w:rsidR="00E763F3" w:rsidRPr="008B1975">
        <w:t>Section 28.2 (table)</w:t>
      </w:r>
      <w:bookmarkEnd w:id="332"/>
    </w:p>
    <w:p w14:paraId="6D1C3FEA" w14:textId="77777777" w:rsidR="00E763F3" w:rsidRPr="008B1975" w:rsidRDefault="00E763F3" w:rsidP="00E763F3">
      <w:pPr>
        <w:pStyle w:val="Item"/>
      </w:pPr>
      <w:r w:rsidRPr="008B1975">
        <w:t>Repeal the table, substitute:</w:t>
      </w:r>
    </w:p>
    <w:p w14:paraId="6FCCD88F" w14:textId="77777777" w:rsidR="00E763F3" w:rsidRPr="008B1975" w:rsidRDefault="00E763F3" w:rsidP="00E763F3">
      <w:pPr>
        <w:pStyle w:val="subsection"/>
      </w:pPr>
      <w:r w:rsidRPr="008B1975">
        <w:tab/>
        <w:t>(2)</w:t>
      </w:r>
      <w:r w:rsidRPr="008B1975">
        <w:tab/>
        <w:t>The following table specifies which conveyances, premises and infrastructure this section applies to.</w:t>
      </w:r>
    </w:p>
    <w:p w14:paraId="209CDD2A"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100A497D"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3CDD476F" w14:textId="77777777" w:rsidR="00E763F3" w:rsidRPr="008B1975" w:rsidRDefault="00E763F3" w:rsidP="00DA74A5">
            <w:pPr>
              <w:pStyle w:val="TableHeading"/>
            </w:pPr>
            <w:r w:rsidRPr="008B1975">
              <w:t>Application of this section</w:t>
            </w:r>
          </w:p>
        </w:tc>
      </w:tr>
      <w:tr w:rsidR="00E763F3" w:rsidRPr="008B1975" w14:paraId="1314626E" w14:textId="77777777" w:rsidTr="00CC36E0">
        <w:trPr>
          <w:trHeight w:val="300"/>
          <w:tblHeader/>
        </w:trPr>
        <w:tc>
          <w:tcPr>
            <w:tcW w:w="1667" w:type="pct"/>
            <w:tcBorders>
              <w:top w:val="single" w:sz="6" w:space="0" w:color="auto"/>
              <w:left w:val="nil"/>
              <w:bottom w:val="single" w:sz="12" w:space="0" w:color="auto"/>
              <w:right w:val="nil"/>
            </w:tcBorders>
            <w:hideMark/>
          </w:tcPr>
          <w:p w14:paraId="75B203EB"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494D4176"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33D525B5" w14:textId="77777777" w:rsidR="00E763F3" w:rsidRPr="008B1975" w:rsidRDefault="00E763F3" w:rsidP="00DA74A5">
            <w:pPr>
              <w:pStyle w:val="TableHeading"/>
            </w:pPr>
            <w:r w:rsidRPr="008B1975">
              <w:t>Infrastructure</w:t>
            </w:r>
          </w:p>
        </w:tc>
      </w:tr>
      <w:tr w:rsidR="00E763F3" w:rsidRPr="008B1975" w14:paraId="2249E135" w14:textId="77777777" w:rsidTr="00CC36E0">
        <w:trPr>
          <w:trHeight w:val="300"/>
        </w:trPr>
        <w:tc>
          <w:tcPr>
            <w:tcW w:w="1667" w:type="pct"/>
            <w:tcBorders>
              <w:top w:val="single" w:sz="12" w:space="0" w:color="auto"/>
              <w:left w:val="nil"/>
              <w:bottom w:val="single" w:sz="12" w:space="0" w:color="auto"/>
              <w:right w:val="nil"/>
            </w:tcBorders>
            <w:hideMark/>
          </w:tcPr>
          <w:p w14:paraId="1010C8FE" w14:textId="77777777" w:rsidR="00E763F3" w:rsidRPr="008B1975" w:rsidRDefault="00E763F3" w:rsidP="00DA74A5">
            <w:pPr>
              <w:pStyle w:val="Tabletext"/>
            </w:pPr>
            <w:r w:rsidRPr="008B1975">
              <w:t>The following:</w:t>
            </w:r>
          </w:p>
          <w:p w14:paraId="6EFB6022" w14:textId="77777777" w:rsidR="00E763F3" w:rsidRPr="008B1975" w:rsidRDefault="00E763F3" w:rsidP="00DA74A5">
            <w:pPr>
              <w:pStyle w:val="Tabletext"/>
            </w:pPr>
            <w:r w:rsidRPr="008B1975">
              <w:t>(a) coaches</w:t>
            </w:r>
            <w:r w:rsidR="00750FB1" w:rsidRPr="008B1975">
              <w:t>;</w:t>
            </w:r>
          </w:p>
          <w:p w14:paraId="3CA3EA78" w14:textId="77777777" w:rsidR="00E763F3" w:rsidRPr="008B1975" w:rsidRDefault="00E763F3" w:rsidP="00DA74A5">
            <w:pPr>
              <w:pStyle w:val="Tabletext"/>
            </w:pPr>
            <w:r w:rsidRPr="008B1975">
              <w:t>(b) ferries</w:t>
            </w:r>
            <w:r w:rsidR="00750FB1" w:rsidRPr="008B1975">
              <w:t>;</w:t>
            </w:r>
          </w:p>
          <w:p w14:paraId="7766C9A5" w14:textId="77777777" w:rsidR="00E763F3" w:rsidRPr="008B1975" w:rsidRDefault="00E763F3" w:rsidP="00DA74A5">
            <w:pPr>
              <w:pStyle w:val="Tabletext"/>
            </w:pPr>
            <w:r w:rsidRPr="008B1975">
              <w:t>(c) dial-a-ride services</w:t>
            </w:r>
            <w:r w:rsidR="00750FB1" w:rsidRPr="008B1975">
              <w:t>;</w:t>
            </w:r>
          </w:p>
          <w:p w14:paraId="3D52A6CB" w14:textId="77777777" w:rsidR="00E763F3" w:rsidRPr="008B1975" w:rsidRDefault="00E763F3" w:rsidP="00E763F3">
            <w:pPr>
              <w:pStyle w:val="Tabletext"/>
            </w:pPr>
            <w:r w:rsidRPr="008B1975">
              <w:t>(d) trains</w:t>
            </w:r>
          </w:p>
        </w:tc>
        <w:tc>
          <w:tcPr>
            <w:tcW w:w="1667" w:type="pct"/>
            <w:tcBorders>
              <w:top w:val="single" w:sz="12" w:space="0" w:color="auto"/>
              <w:left w:val="nil"/>
              <w:bottom w:val="single" w:sz="12" w:space="0" w:color="auto"/>
              <w:right w:val="nil"/>
            </w:tcBorders>
            <w:hideMark/>
          </w:tcPr>
          <w:p w14:paraId="26D58A4C" w14:textId="77777777" w:rsidR="00E763F3" w:rsidRPr="008B1975" w:rsidRDefault="00E763F3"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69274333" w14:textId="77777777" w:rsidR="00E763F3" w:rsidRPr="008B1975" w:rsidRDefault="00E763F3" w:rsidP="00DA74A5">
            <w:pPr>
              <w:pStyle w:val="Tabletext"/>
            </w:pPr>
            <w:r w:rsidRPr="008B1975">
              <w:t>None</w:t>
            </w:r>
          </w:p>
        </w:tc>
      </w:tr>
    </w:tbl>
    <w:p w14:paraId="07517464" w14:textId="77777777" w:rsidR="00FB42CC" w:rsidRPr="008B1975" w:rsidRDefault="00946DEA" w:rsidP="00946DEA">
      <w:pPr>
        <w:pStyle w:val="ItemHead"/>
      </w:pPr>
      <w:bookmarkStart w:id="333" w:name="_Ref185280291"/>
      <w:bookmarkStart w:id="334" w:name="_Ref190269881"/>
      <w:r w:rsidRPr="008B1975">
        <w:t xml:space="preserve">5  </w:t>
      </w:r>
      <w:r w:rsidR="00FB42CC" w:rsidRPr="008B1975">
        <w:t>Section 28.3 (heading)</w:t>
      </w:r>
      <w:bookmarkEnd w:id="329"/>
      <w:bookmarkEnd w:id="333"/>
      <w:bookmarkEnd w:id="334"/>
    </w:p>
    <w:p w14:paraId="5AEAD467" w14:textId="77777777" w:rsidR="00FB42CC" w:rsidRPr="008B1975" w:rsidRDefault="00FB42CC" w:rsidP="00FB42CC">
      <w:pPr>
        <w:pStyle w:val="Item"/>
      </w:pPr>
      <w:r w:rsidRPr="008B1975">
        <w:t>Omit “</w:t>
      </w:r>
      <w:r w:rsidRPr="008B1975">
        <w:rPr>
          <w:b/>
        </w:rPr>
        <w:t>service</w:t>
      </w:r>
      <w:r w:rsidRPr="008B1975">
        <w:t>”, substitute “</w:t>
      </w:r>
      <w:r w:rsidRPr="008B1975">
        <w:rPr>
          <w:b/>
        </w:rPr>
        <w:t>assistance</w:t>
      </w:r>
      <w:r w:rsidRPr="008B1975">
        <w:t>”.</w:t>
      </w:r>
    </w:p>
    <w:p w14:paraId="7DE35678" w14:textId="77777777" w:rsidR="00FB42CC" w:rsidRPr="008B1975" w:rsidRDefault="00946DEA" w:rsidP="00946DEA">
      <w:pPr>
        <w:pStyle w:val="ItemHead"/>
      </w:pPr>
      <w:bookmarkStart w:id="335" w:name="_Ref180419667"/>
      <w:r w:rsidRPr="008B1975">
        <w:t xml:space="preserve">6  </w:t>
      </w:r>
      <w:r w:rsidR="00FB42CC" w:rsidRPr="008B1975">
        <w:t>Subsection 28.3(1)</w:t>
      </w:r>
      <w:bookmarkEnd w:id="335"/>
    </w:p>
    <w:p w14:paraId="15793EBF" w14:textId="77777777" w:rsidR="00FB42CC" w:rsidRPr="008B1975" w:rsidRDefault="00FB42CC" w:rsidP="00FB42CC">
      <w:pPr>
        <w:pStyle w:val="Item"/>
      </w:pPr>
      <w:r w:rsidRPr="008B1975">
        <w:t>Omit “service”, substitute “assistance”.</w:t>
      </w:r>
    </w:p>
    <w:p w14:paraId="6768D052" w14:textId="77777777" w:rsidR="00FB42CC" w:rsidRPr="008B1975" w:rsidRDefault="00946DEA" w:rsidP="00946DEA">
      <w:pPr>
        <w:pStyle w:val="ItemHead"/>
      </w:pPr>
      <w:bookmarkStart w:id="336" w:name="_Ref180419677"/>
      <w:r w:rsidRPr="008B1975">
        <w:lastRenderedPageBreak/>
        <w:t xml:space="preserve">7  </w:t>
      </w:r>
      <w:r w:rsidR="00FB42CC" w:rsidRPr="008B1975">
        <w:t>Subsection 28.3(3)</w:t>
      </w:r>
      <w:bookmarkEnd w:id="336"/>
    </w:p>
    <w:p w14:paraId="3B0CB6B3" w14:textId="77777777" w:rsidR="00FB42CC" w:rsidRPr="008B1975" w:rsidRDefault="00FB42CC" w:rsidP="00FB42CC">
      <w:pPr>
        <w:pStyle w:val="Item"/>
      </w:pPr>
      <w:r w:rsidRPr="008B1975">
        <w:t>Omit “a service”, substitute “an assistance”.</w:t>
      </w:r>
    </w:p>
    <w:p w14:paraId="71C9D3DB" w14:textId="77777777" w:rsidR="00E763F3" w:rsidRPr="008B1975" w:rsidRDefault="00946DEA" w:rsidP="00946DEA">
      <w:pPr>
        <w:pStyle w:val="ItemHead"/>
      </w:pPr>
      <w:bookmarkStart w:id="337" w:name="_Ref185280372"/>
      <w:r w:rsidRPr="008B1975">
        <w:t xml:space="preserve">8  </w:t>
      </w:r>
      <w:r w:rsidR="00E763F3" w:rsidRPr="008B1975">
        <w:t>Section 28.3 (table)</w:t>
      </w:r>
      <w:bookmarkEnd w:id="337"/>
    </w:p>
    <w:p w14:paraId="66D168CD" w14:textId="77777777" w:rsidR="00E763F3" w:rsidRPr="008B1975" w:rsidRDefault="00E763F3" w:rsidP="00E763F3">
      <w:pPr>
        <w:pStyle w:val="Item"/>
      </w:pPr>
      <w:r w:rsidRPr="008B1975">
        <w:t>Repeal the table, substitute:</w:t>
      </w:r>
    </w:p>
    <w:p w14:paraId="0AAE5E36" w14:textId="77777777" w:rsidR="00E763F3" w:rsidRPr="008B1975" w:rsidRDefault="00E763F3" w:rsidP="00E763F3">
      <w:pPr>
        <w:pStyle w:val="subsection"/>
      </w:pPr>
      <w:r w:rsidRPr="008B1975">
        <w:tab/>
        <w:t>(4)</w:t>
      </w:r>
      <w:r w:rsidRPr="008B1975">
        <w:tab/>
        <w:t>The following table specifies which conveyances, premises and infrastructure this section applies to.</w:t>
      </w:r>
    </w:p>
    <w:p w14:paraId="5E60FA02"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1D93C9B5"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49640800" w14:textId="77777777" w:rsidR="00E763F3" w:rsidRPr="008B1975" w:rsidRDefault="00E763F3" w:rsidP="00DA74A5">
            <w:pPr>
              <w:pStyle w:val="TableHeading"/>
            </w:pPr>
            <w:r w:rsidRPr="008B1975">
              <w:t>Application of this section</w:t>
            </w:r>
          </w:p>
        </w:tc>
      </w:tr>
      <w:tr w:rsidR="00E763F3" w:rsidRPr="008B1975" w14:paraId="3F4B65F8" w14:textId="77777777" w:rsidTr="00CC36E0">
        <w:trPr>
          <w:trHeight w:val="300"/>
          <w:tblHeader/>
        </w:trPr>
        <w:tc>
          <w:tcPr>
            <w:tcW w:w="1667" w:type="pct"/>
            <w:tcBorders>
              <w:top w:val="single" w:sz="6" w:space="0" w:color="auto"/>
              <w:left w:val="nil"/>
              <w:bottom w:val="single" w:sz="12" w:space="0" w:color="auto"/>
              <w:right w:val="nil"/>
            </w:tcBorders>
            <w:hideMark/>
          </w:tcPr>
          <w:p w14:paraId="49ADF933"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323DE834"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0C01E218" w14:textId="77777777" w:rsidR="00E763F3" w:rsidRPr="008B1975" w:rsidRDefault="00E763F3" w:rsidP="00DA74A5">
            <w:pPr>
              <w:pStyle w:val="TableHeading"/>
            </w:pPr>
            <w:r w:rsidRPr="008B1975">
              <w:t>Infrastructure</w:t>
            </w:r>
          </w:p>
        </w:tc>
      </w:tr>
      <w:tr w:rsidR="00E763F3" w:rsidRPr="008B1975" w14:paraId="1AAF85AB" w14:textId="77777777" w:rsidTr="00CC36E0">
        <w:trPr>
          <w:trHeight w:val="300"/>
        </w:trPr>
        <w:tc>
          <w:tcPr>
            <w:tcW w:w="1667" w:type="pct"/>
            <w:tcBorders>
              <w:top w:val="single" w:sz="12" w:space="0" w:color="auto"/>
              <w:left w:val="nil"/>
              <w:bottom w:val="single" w:sz="12" w:space="0" w:color="auto"/>
              <w:right w:val="nil"/>
            </w:tcBorders>
            <w:hideMark/>
          </w:tcPr>
          <w:p w14:paraId="4A93BE39" w14:textId="77777777" w:rsidR="00E763F3" w:rsidRPr="008B1975" w:rsidRDefault="00E763F3" w:rsidP="00DA74A5">
            <w:pPr>
              <w:pStyle w:val="Tabletext"/>
            </w:pPr>
            <w:r w:rsidRPr="008B1975">
              <w:t>The following:</w:t>
            </w:r>
          </w:p>
          <w:p w14:paraId="20F57676" w14:textId="77777777" w:rsidR="00E763F3" w:rsidRPr="008B1975" w:rsidRDefault="00E763F3" w:rsidP="00DA74A5">
            <w:pPr>
              <w:pStyle w:val="Tabletext"/>
            </w:pPr>
            <w:r w:rsidRPr="008B1975">
              <w:t>(a) aircraft</w:t>
            </w:r>
            <w:r w:rsidR="00AB0FE1" w:rsidRPr="008B1975">
              <w:t>;</w:t>
            </w:r>
          </w:p>
          <w:p w14:paraId="03CE59F9" w14:textId="77777777" w:rsidR="00E763F3" w:rsidRPr="008B1975" w:rsidRDefault="00E763F3" w:rsidP="00DA74A5">
            <w:pPr>
              <w:pStyle w:val="Tabletext"/>
            </w:pPr>
            <w:r w:rsidRPr="008B1975">
              <w:t>(b) coaches</w:t>
            </w:r>
            <w:r w:rsidR="00AB0FE1" w:rsidRPr="008B1975">
              <w:t>;</w:t>
            </w:r>
          </w:p>
          <w:p w14:paraId="1E5E556A" w14:textId="77777777" w:rsidR="00E763F3" w:rsidRPr="008B1975" w:rsidRDefault="00E763F3" w:rsidP="00DA74A5">
            <w:pPr>
              <w:pStyle w:val="Tabletext"/>
            </w:pPr>
            <w:r w:rsidRPr="008B1975">
              <w:t>(c) ferries</w:t>
            </w:r>
            <w:r w:rsidR="00AB0FE1" w:rsidRPr="008B1975">
              <w:t>;</w:t>
            </w:r>
          </w:p>
          <w:p w14:paraId="23FF8094" w14:textId="77777777" w:rsidR="00E763F3" w:rsidRPr="008B1975" w:rsidRDefault="00E763F3" w:rsidP="00DA74A5">
            <w:pPr>
              <w:pStyle w:val="Tabletext"/>
            </w:pPr>
            <w:r w:rsidRPr="008B1975">
              <w:t>(d) dial-a-ride services</w:t>
            </w:r>
            <w:r w:rsidR="00AB0FE1" w:rsidRPr="008B1975">
              <w:t>;</w:t>
            </w:r>
          </w:p>
          <w:p w14:paraId="1BF462AB" w14:textId="77777777" w:rsidR="00E763F3" w:rsidRPr="008B1975" w:rsidRDefault="00E763F3" w:rsidP="00DA74A5">
            <w:pPr>
              <w:pStyle w:val="Tabletext"/>
            </w:pPr>
            <w:r w:rsidRPr="008B1975">
              <w:t>(e) trains</w:t>
            </w:r>
          </w:p>
        </w:tc>
        <w:tc>
          <w:tcPr>
            <w:tcW w:w="1667" w:type="pct"/>
            <w:tcBorders>
              <w:top w:val="single" w:sz="12" w:space="0" w:color="auto"/>
              <w:left w:val="nil"/>
              <w:bottom w:val="single" w:sz="12" w:space="0" w:color="auto"/>
              <w:right w:val="nil"/>
            </w:tcBorders>
            <w:hideMark/>
          </w:tcPr>
          <w:p w14:paraId="0979F6BE" w14:textId="77777777" w:rsidR="00E763F3" w:rsidRPr="008B1975" w:rsidRDefault="00E763F3"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26FB887A" w14:textId="77777777" w:rsidR="00E763F3" w:rsidRPr="008B1975" w:rsidRDefault="00E763F3" w:rsidP="00DA74A5">
            <w:pPr>
              <w:pStyle w:val="Tabletext"/>
            </w:pPr>
            <w:r w:rsidRPr="008B1975">
              <w:t>None</w:t>
            </w:r>
          </w:p>
        </w:tc>
      </w:tr>
    </w:tbl>
    <w:p w14:paraId="5AA7A053" w14:textId="77777777" w:rsidR="008D0C53" w:rsidRPr="008B1975" w:rsidRDefault="00946DEA" w:rsidP="00946DEA">
      <w:pPr>
        <w:pStyle w:val="ItemHead"/>
      </w:pPr>
      <w:bookmarkStart w:id="338" w:name="_Ref185280435"/>
      <w:r w:rsidRPr="008B1975">
        <w:t xml:space="preserve">9  </w:t>
      </w:r>
      <w:r w:rsidR="008D0C53" w:rsidRPr="008B1975">
        <w:t>After subsection 28.4(2)</w:t>
      </w:r>
      <w:bookmarkEnd w:id="338"/>
    </w:p>
    <w:p w14:paraId="6BBE7AA0" w14:textId="77777777" w:rsidR="008D0C53" w:rsidRPr="008B1975" w:rsidRDefault="008D0C53" w:rsidP="008D0C53">
      <w:pPr>
        <w:pStyle w:val="Item"/>
      </w:pPr>
      <w:r w:rsidRPr="008B1975">
        <w:t>Insert:</w:t>
      </w:r>
    </w:p>
    <w:p w14:paraId="05732A3D" w14:textId="77777777" w:rsidR="008D0C53" w:rsidRPr="008B1975" w:rsidRDefault="008D0C53" w:rsidP="00E97D71">
      <w:pPr>
        <w:pStyle w:val="subsection"/>
        <w:numPr>
          <w:ilvl w:val="0"/>
          <w:numId w:val="4"/>
        </w:numPr>
      </w:pPr>
      <w:r w:rsidRPr="008B1975">
        <w:t>Passengers with disabilities must be able to book seats that are located in parts of the conveyance that are appropriate for their travelling needs</w:t>
      </w:r>
      <w:r w:rsidR="009A257E" w:rsidRPr="008B1975">
        <w:t xml:space="preserve"> (unless such seats have already been booked)</w:t>
      </w:r>
      <w:r w:rsidRPr="008B1975">
        <w:t>.</w:t>
      </w:r>
    </w:p>
    <w:p w14:paraId="2E281F08" w14:textId="77777777" w:rsidR="008D0C53" w:rsidRPr="008B1975" w:rsidRDefault="008D0C53" w:rsidP="008D0C53">
      <w:pPr>
        <w:pStyle w:val="subsection"/>
      </w:pPr>
      <w:r w:rsidRPr="008B1975">
        <w:tab/>
      </w:r>
      <w:r w:rsidR="00AB0FE1" w:rsidRPr="008B1975">
        <w:t>(4)</w:t>
      </w:r>
      <w:r w:rsidRPr="008B1975">
        <w:tab/>
        <w:t>If different classes of travel are provided by a service, seats appropriate to the travelling needs of people with disability must be available in each class.</w:t>
      </w:r>
    </w:p>
    <w:p w14:paraId="543B4A93" w14:textId="3B1871A3" w:rsidR="00913074" w:rsidRPr="008B1975" w:rsidRDefault="00913074" w:rsidP="00913074">
      <w:pPr>
        <w:pStyle w:val="notetext"/>
      </w:pPr>
      <w:r w:rsidRPr="008B1975">
        <w:t>Note:</w:t>
      </w:r>
      <w:r w:rsidRPr="008B1975">
        <w:tab/>
        <w:t>Subsections (3) and (4) apply after the end of the 5-year transitional period: see section</w:t>
      </w:r>
      <w:r w:rsidR="00A32ED1" w:rsidRPr="008B1975">
        <w:t> </w:t>
      </w:r>
      <w:r w:rsidRPr="008B1975">
        <w:t>35.25.</w:t>
      </w:r>
    </w:p>
    <w:p w14:paraId="01A8CCFC" w14:textId="77777777" w:rsidR="00E763F3" w:rsidRPr="008B1975" w:rsidRDefault="00946DEA" w:rsidP="00946DEA">
      <w:pPr>
        <w:pStyle w:val="ItemHead"/>
      </w:pPr>
      <w:bookmarkStart w:id="339" w:name="_Ref185280480"/>
      <w:r w:rsidRPr="008B1975">
        <w:t xml:space="preserve">10  </w:t>
      </w:r>
      <w:r w:rsidR="00E763F3" w:rsidRPr="008B1975">
        <w:t>Section 28.4 (table)</w:t>
      </w:r>
      <w:bookmarkEnd w:id="339"/>
    </w:p>
    <w:p w14:paraId="43CCA262" w14:textId="77777777" w:rsidR="00E763F3" w:rsidRPr="008B1975" w:rsidRDefault="00E763F3" w:rsidP="00E763F3">
      <w:pPr>
        <w:pStyle w:val="Item"/>
      </w:pPr>
      <w:r w:rsidRPr="008B1975">
        <w:t>Repeal the table, substitute:</w:t>
      </w:r>
    </w:p>
    <w:p w14:paraId="1C7E6458" w14:textId="77777777" w:rsidR="00E763F3" w:rsidRPr="008B1975" w:rsidRDefault="00E763F3" w:rsidP="00E763F3">
      <w:pPr>
        <w:pStyle w:val="subsection"/>
      </w:pPr>
      <w:r w:rsidRPr="008B1975">
        <w:tab/>
        <w:t>(</w:t>
      </w:r>
      <w:r w:rsidR="00AB0FE1" w:rsidRPr="008B1975">
        <w:t>5</w:t>
      </w:r>
      <w:r w:rsidRPr="008B1975">
        <w:t>)</w:t>
      </w:r>
      <w:r w:rsidRPr="008B1975">
        <w:tab/>
        <w:t>The following table specifies which conveyances, premises and infrastructure this section applies to.</w:t>
      </w:r>
    </w:p>
    <w:p w14:paraId="37DC41A3"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74218082"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17CED080" w14:textId="77777777" w:rsidR="00E763F3" w:rsidRPr="008B1975" w:rsidRDefault="00E763F3" w:rsidP="00DA74A5">
            <w:pPr>
              <w:pStyle w:val="TableHeading"/>
            </w:pPr>
            <w:r w:rsidRPr="008B1975">
              <w:t>Application of this section</w:t>
            </w:r>
          </w:p>
        </w:tc>
      </w:tr>
      <w:tr w:rsidR="00E763F3" w:rsidRPr="008B1975" w14:paraId="16A12763" w14:textId="77777777" w:rsidTr="00CC36E0">
        <w:trPr>
          <w:trHeight w:val="300"/>
          <w:tblHeader/>
        </w:trPr>
        <w:tc>
          <w:tcPr>
            <w:tcW w:w="1667" w:type="pct"/>
            <w:tcBorders>
              <w:top w:val="single" w:sz="6" w:space="0" w:color="auto"/>
              <w:left w:val="nil"/>
              <w:bottom w:val="single" w:sz="12" w:space="0" w:color="auto"/>
              <w:right w:val="nil"/>
            </w:tcBorders>
            <w:hideMark/>
          </w:tcPr>
          <w:p w14:paraId="444BFC67"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321EDAF4"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64C28CD1" w14:textId="77777777" w:rsidR="00E763F3" w:rsidRPr="008B1975" w:rsidRDefault="00E763F3" w:rsidP="00DA74A5">
            <w:pPr>
              <w:pStyle w:val="TableHeading"/>
            </w:pPr>
            <w:r w:rsidRPr="008B1975">
              <w:t>Infrastructure</w:t>
            </w:r>
          </w:p>
        </w:tc>
      </w:tr>
      <w:tr w:rsidR="00E763F3" w:rsidRPr="008B1975" w14:paraId="2E60F9E5" w14:textId="77777777" w:rsidTr="00CC36E0">
        <w:trPr>
          <w:trHeight w:val="300"/>
        </w:trPr>
        <w:tc>
          <w:tcPr>
            <w:tcW w:w="1667" w:type="pct"/>
            <w:tcBorders>
              <w:top w:val="single" w:sz="12" w:space="0" w:color="auto"/>
              <w:left w:val="nil"/>
              <w:bottom w:val="single" w:sz="12" w:space="0" w:color="auto"/>
              <w:right w:val="nil"/>
            </w:tcBorders>
            <w:hideMark/>
          </w:tcPr>
          <w:p w14:paraId="3F70C54D" w14:textId="77777777" w:rsidR="00E763F3" w:rsidRPr="008B1975" w:rsidRDefault="00E763F3" w:rsidP="00DA74A5">
            <w:pPr>
              <w:pStyle w:val="Tabletext"/>
            </w:pPr>
            <w:r w:rsidRPr="008B1975">
              <w:t>The following:</w:t>
            </w:r>
          </w:p>
          <w:p w14:paraId="644DE79F" w14:textId="77777777" w:rsidR="00E763F3" w:rsidRPr="008B1975" w:rsidRDefault="00E763F3" w:rsidP="00DA74A5">
            <w:pPr>
              <w:pStyle w:val="Tabletext"/>
            </w:pPr>
            <w:r w:rsidRPr="008B1975">
              <w:t>(a) aircraft</w:t>
            </w:r>
            <w:r w:rsidR="00AB0FE1" w:rsidRPr="008B1975">
              <w:t>;</w:t>
            </w:r>
          </w:p>
          <w:p w14:paraId="1BBBB800" w14:textId="77777777" w:rsidR="00E763F3" w:rsidRPr="008B1975" w:rsidRDefault="00E763F3" w:rsidP="00DA74A5">
            <w:pPr>
              <w:pStyle w:val="Tabletext"/>
            </w:pPr>
            <w:r w:rsidRPr="008B1975">
              <w:t>(b) coaches</w:t>
            </w:r>
            <w:r w:rsidR="00750FB1" w:rsidRPr="008B1975">
              <w:t>;</w:t>
            </w:r>
          </w:p>
          <w:p w14:paraId="0B8E876F" w14:textId="77777777" w:rsidR="00E763F3" w:rsidRPr="008B1975" w:rsidRDefault="00E763F3" w:rsidP="00DA74A5">
            <w:pPr>
              <w:pStyle w:val="Tabletext"/>
            </w:pPr>
            <w:r w:rsidRPr="008B1975">
              <w:t>(c) ferries</w:t>
            </w:r>
            <w:r w:rsidR="00750FB1" w:rsidRPr="008B1975">
              <w:t>;</w:t>
            </w:r>
          </w:p>
          <w:p w14:paraId="75EE5FF9" w14:textId="77777777" w:rsidR="00E763F3" w:rsidRPr="008B1975" w:rsidRDefault="00E763F3" w:rsidP="00DA74A5">
            <w:pPr>
              <w:pStyle w:val="Tabletext"/>
            </w:pPr>
            <w:r w:rsidRPr="008B1975">
              <w:t>(d) dial-a-ride services</w:t>
            </w:r>
            <w:r w:rsidR="00AB0FE1" w:rsidRPr="008B1975">
              <w:t>;</w:t>
            </w:r>
          </w:p>
          <w:p w14:paraId="54E4CB91" w14:textId="77777777" w:rsidR="00E763F3" w:rsidRPr="008B1975" w:rsidRDefault="00E763F3" w:rsidP="00DA74A5">
            <w:pPr>
              <w:pStyle w:val="Tabletext"/>
            </w:pPr>
            <w:r w:rsidRPr="008B1975">
              <w:t>(e) trains</w:t>
            </w:r>
          </w:p>
        </w:tc>
        <w:tc>
          <w:tcPr>
            <w:tcW w:w="1667" w:type="pct"/>
            <w:tcBorders>
              <w:top w:val="single" w:sz="12" w:space="0" w:color="auto"/>
              <w:left w:val="nil"/>
              <w:bottom w:val="single" w:sz="12" w:space="0" w:color="auto"/>
              <w:right w:val="nil"/>
            </w:tcBorders>
            <w:hideMark/>
          </w:tcPr>
          <w:p w14:paraId="68625A1B" w14:textId="77777777" w:rsidR="00E763F3" w:rsidRPr="008B1975" w:rsidRDefault="00E763F3"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2027B53F" w14:textId="77777777" w:rsidR="00E763F3" w:rsidRPr="008B1975" w:rsidRDefault="00E763F3" w:rsidP="00DA74A5">
            <w:pPr>
              <w:pStyle w:val="Tabletext"/>
            </w:pPr>
            <w:r w:rsidRPr="008B1975">
              <w:t>None</w:t>
            </w:r>
          </w:p>
        </w:tc>
      </w:tr>
    </w:tbl>
    <w:p w14:paraId="595F8F05" w14:textId="77777777" w:rsidR="00824838" w:rsidRPr="008B1975" w:rsidRDefault="00824838" w:rsidP="00824838">
      <w:pPr>
        <w:pStyle w:val="ActHead6"/>
        <w:pageBreakBefore/>
        <w:rPr>
          <w:rStyle w:val="CharAmSchText"/>
        </w:rPr>
      </w:pPr>
      <w:bookmarkStart w:id="340" w:name="_Toc197178986"/>
      <w:r w:rsidRPr="008B1975">
        <w:lastRenderedPageBreak/>
        <w:t>Schedule 29—Part 29 (Food and drink services) Amendments</w:t>
      </w:r>
      <w:bookmarkEnd w:id="340"/>
    </w:p>
    <w:p w14:paraId="41FEA1EF" w14:textId="77777777" w:rsidR="00824838" w:rsidRPr="008B1975" w:rsidRDefault="00824838" w:rsidP="00824838">
      <w:pPr>
        <w:pStyle w:val="ActHead9"/>
      </w:pPr>
      <w:bookmarkStart w:id="341" w:name="_Toc197178987"/>
      <w:r w:rsidRPr="008B1975">
        <w:t>Disability Standards for Accessible Public Transport 2002</w:t>
      </w:r>
      <w:bookmarkEnd w:id="341"/>
    </w:p>
    <w:p w14:paraId="609735F9" w14:textId="77777777" w:rsidR="00E763F3" w:rsidRPr="008B1975" w:rsidRDefault="00946DEA" w:rsidP="00946DEA">
      <w:pPr>
        <w:pStyle w:val="ItemHead"/>
      </w:pPr>
      <w:bookmarkStart w:id="342" w:name="_Ref185341550"/>
      <w:r w:rsidRPr="008B1975">
        <w:t xml:space="preserve">1  </w:t>
      </w:r>
      <w:r w:rsidR="00E763F3" w:rsidRPr="008B1975">
        <w:t>Section 29.1</w:t>
      </w:r>
      <w:bookmarkEnd w:id="342"/>
    </w:p>
    <w:p w14:paraId="23FE7DBB" w14:textId="77777777" w:rsidR="00E763F3" w:rsidRPr="008B1975" w:rsidRDefault="00E763F3" w:rsidP="00E763F3">
      <w:pPr>
        <w:pStyle w:val="Item"/>
      </w:pPr>
      <w:r w:rsidRPr="008B1975">
        <w:t>Before “Operators”, insert “(1)”.</w:t>
      </w:r>
    </w:p>
    <w:p w14:paraId="752A3477" w14:textId="77777777" w:rsidR="00E763F3" w:rsidRPr="008B1975" w:rsidRDefault="00946DEA" w:rsidP="00946DEA">
      <w:pPr>
        <w:pStyle w:val="ItemHead"/>
      </w:pPr>
      <w:bookmarkStart w:id="343" w:name="_Ref185341551"/>
      <w:r w:rsidRPr="008B1975">
        <w:t xml:space="preserve">2  </w:t>
      </w:r>
      <w:r w:rsidR="00E763F3" w:rsidRPr="008B1975">
        <w:t>Section 29.1 (table)</w:t>
      </w:r>
      <w:bookmarkEnd w:id="343"/>
    </w:p>
    <w:p w14:paraId="6F2BA8A5" w14:textId="77777777" w:rsidR="00E763F3" w:rsidRPr="008B1975" w:rsidRDefault="00E763F3" w:rsidP="00E763F3">
      <w:pPr>
        <w:pStyle w:val="Item"/>
      </w:pPr>
      <w:r w:rsidRPr="008B1975">
        <w:t>Repeal the table, substitute:</w:t>
      </w:r>
    </w:p>
    <w:p w14:paraId="78F1C609" w14:textId="77777777" w:rsidR="00E763F3" w:rsidRPr="008B1975" w:rsidRDefault="00E763F3" w:rsidP="00E763F3">
      <w:pPr>
        <w:pStyle w:val="subsection"/>
      </w:pPr>
      <w:r w:rsidRPr="008B1975">
        <w:tab/>
        <w:t>(2)</w:t>
      </w:r>
      <w:r w:rsidRPr="008B1975">
        <w:tab/>
        <w:t>The following table specifies which conveyances, premises and infrastructure this section applies to.</w:t>
      </w:r>
    </w:p>
    <w:p w14:paraId="6E475076"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6CDB82B3"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40E6AF2F" w14:textId="77777777" w:rsidR="00E763F3" w:rsidRPr="008B1975" w:rsidRDefault="00E763F3" w:rsidP="00DA74A5">
            <w:pPr>
              <w:pStyle w:val="TableHeading"/>
            </w:pPr>
            <w:r w:rsidRPr="008B1975">
              <w:t>Application of this section</w:t>
            </w:r>
          </w:p>
        </w:tc>
      </w:tr>
      <w:tr w:rsidR="00E763F3" w:rsidRPr="008B1975" w14:paraId="460653A7" w14:textId="77777777" w:rsidTr="00CC36E0">
        <w:trPr>
          <w:trHeight w:val="300"/>
          <w:tblHeader/>
        </w:trPr>
        <w:tc>
          <w:tcPr>
            <w:tcW w:w="1667" w:type="pct"/>
            <w:tcBorders>
              <w:top w:val="single" w:sz="6" w:space="0" w:color="auto"/>
              <w:left w:val="nil"/>
              <w:bottom w:val="single" w:sz="12" w:space="0" w:color="auto"/>
              <w:right w:val="nil"/>
            </w:tcBorders>
            <w:hideMark/>
          </w:tcPr>
          <w:p w14:paraId="3C320B0F"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66DF0601"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14F6401D" w14:textId="77777777" w:rsidR="00E763F3" w:rsidRPr="008B1975" w:rsidRDefault="00E763F3" w:rsidP="00DA74A5">
            <w:pPr>
              <w:pStyle w:val="TableHeading"/>
            </w:pPr>
            <w:r w:rsidRPr="008B1975">
              <w:t>Infrastructure</w:t>
            </w:r>
          </w:p>
        </w:tc>
      </w:tr>
      <w:tr w:rsidR="00E763F3" w:rsidRPr="008B1975" w14:paraId="420641A8" w14:textId="77777777" w:rsidTr="00CC36E0">
        <w:trPr>
          <w:trHeight w:val="300"/>
        </w:trPr>
        <w:tc>
          <w:tcPr>
            <w:tcW w:w="1667" w:type="pct"/>
            <w:tcBorders>
              <w:top w:val="single" w:sz="12" w:space="0" w:color="auto"/>
              <w:left w:val="nil"/>
              <w:bottom w:val="single" w:sz="12" w:space="0" w:color="auto"/>
              <w:right w:val="nil"/>
            </w:tcBorders>
            <w:hideMark/>
          </w:tcPr>
          <w:p w14:paraId="7BC41391" w14:textId="77777777" w:rsidR="00E763F3" w:rsidRPr="008B1975" w:rsidRDefault="00E763F3" w:rsidP="00DA74A5">
            <w:pPr>
              <w:pStyle w:val="Tabletext"/>
            </w:pPr>
            <w:r w:rsidRPr="008B1975">
              <w:t>All</w:t>
            </w:r>
          </w:p>
        </w:tc>
        <w:tc>
          <w:tcPr>
            <w:tcW w:w="1667" w:type="pct"/>
            <w:tcBorders>
              <w:top w:val="single" w:sz="12" w:space="0" w:color="auto"/>
              <w:left w:val="nil"/>
              <w:bottom w:val="single" w:sz="12" w:space="0" w:color="auto"/>
              <w:right w:val="nil"/>
            </w:tcBorders>
            <w:hideMark/>
          </w:tcPr>
          <w:p w14:paraId="2C2FA314" w14:textId="77777777" w:rsidR="00E763F3" w:rsidRPr="008B1975" w:rsidRDefault="00E763F3" w:rsidP="00DA74A5">
            <w:pPr>
              <w:pStyle w:val="Tabletext"/>
            </w:pPr>
            <w:r w:rsidRPr="008B1975">
              <w:t>All</w:t>
            </w:r>
          </w:p>
        </w:tc>
        <w:tc>
          <w:tcPr>
            <w:tcW w:w="1667" w:type="pct"/>
            <w:tcBorders>
              <w:top w:val="single" w:sz="12" w:space="0" w:color="auto"/>
              <w:left w:val="nil"/>
              <w:bottom w:val="single" w:sz="12" w:space="0" w:color="auto"/>
              <w:right w:val="nil"/>
            </w:tcBorders>
            <w:hideMark/>
          </w:tcPr>
          <w:p w14:paraId="3A90046B" w14:textId="77777777" w:rsidR="00E763F3" w:rsidRPr="008B1975" w:rsidRDefault="00E763F3" w:rsidP="00DA74A5">
            <w:pPr>
              <w:pStyle w:val="Tabletext"/>
            </w:pPr>
            <w:r w:rsidRPr="008B1975">
              <w:t>All</w:t>
            </w:r>
          </w:p>
        </w:tc>
      </w:tr>
    </w:tbl>
    <w:p w14:paraId="05119A22" w14:textId="77777777" w:rsidR="00E763F3" w:rsidRPr="008B1975" w:rsidRDefault="00946DEA" w:rsidP="00946DEA">
      <w:pPr>
        <w:pStyle w:val="ItemHead"/>
      </w:pPr>
      <w:bookmarkStart w:id="344" w:name="_Ref185341566"/>
      <w:r w:rsidRPr="008B1975">
        <w:t xml:space="preserve">3  </w:t>
      </w:r>
      <w:r w:rsidR="00E763F3" w:rsidRPr="008B1975">
        <w:t>Section 29.2</w:t>
      </w:r>
      <w:bookmarkEnd w:id="344"/>
    </w:p>
    <w:p w14:paraId="0F52C480" w14:textId="77777777" w:rsidR="00E763F3" w:rsidRPr="008B1975" w:rsidRDefault="00E763F3" w:rsidP="00E763F3">
      <w:pPr>
        <w:pStyle w:val="Item"/>
      </w:pPr>
      <w:r w:rsidRPr="008B1975">
        <w:t>Before “The”, insert “(1)”.</w:t>
      </w:r>
    </w:p>
    <w:p w14:paraId="7549142D" w14:textId="77777777" w:rsidR="00E763F3" w:rsidRPr="008B1975" w:rsidRDefault="00946DEA" w:rsidP="00946DEA">
      <w:pPr>
        <w:pStyle w:val="ItemHead"/>
      </w:pPr>
      <w:bookmarkStart w:id="345" w:name="_Ref185341568"/>
      <w:r w:rsidRPr="008B1975">
        <w:t xml:space="preserve">4  </w:t>
      </w:r>
      <w:r w:rsidR="00E763F3" w:rsidRPr="008B1975">
        <w:t>Section 29.2 (table)</w:t>
      </w:r>
      <w:bookmarkEnd w:id="345"/>
    </w:p>
    <w:p w14:paraId="0F97EC99" w14:textId="77777777" w:rsidR="00E763F3" w:rsidRPr="008B1975" w:rsidRDefault="00E763F3" w:rsidP="00E763F3">
      <w:pPr>
        <w:pStyle w:val="Item"/>
      </w:pPr>
      <w:r w:rsidRPr="008B1975">
        <w:t>Repeal the table, substitute:</w:t>
      </w:r>
    </w:p>
    <w:p w14:paraId="525C72F0" w14:textId="77777777" w:rsidR="00E763F3" w:rsidRPr="008B1975" w:rsidRDefault="00E763F3" w:rsidP="00E763F3">
      <w:pPr>
        <w:pStyle w:val="subsection"/>
      </w:pPr>
      <w:r w:rsidRPr="008B1975">
        <w:tab/>
        <w:t>(2)</w:t>
      </w:r>
      <w:r w:rsidRPr="008B1975">
        <w:tab/>
        <w:t>The following table specifies which conveyances, premises and infrastructure this section applies to.</w:t>
      </w:r>
    </w:p>
    <w:p w14:paraId="3FB2345C"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4517401A"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328F78BA" w14:textId="77777777" w:rsidR="00E763F3" w:rsidRPr="008B1975" w:rsidRDefault="00E763F3" w:rsidP="00DA74A5">
            <w:pPr>
              <w:pStyle w:val="TableHeading"/>
            </w:pPr>
            <w:r w:rsidRPr="008B1975">
              <w:t>Application of this section</w:t>
            </w:r>
          </w:p>
        </w:tc>
      </w:tr>
      <w:tr w:rsidR="00E763F3" w:rsidRPr="008B1975" w14:paraId="289CAE2F" w14:textId="77777777" w:rsidTr="00C36D75">
        <w:trPr>
          <w:trHeight w:val="300"/>
          <w:tblHeader/>
        </w:trPr>
        <w:tc>
          <w:tcPr>
            <w:tcW w:w="1667" w:type="pct"/>
            <w:tcBorders>
              <w:top w:val="single" w:sz="6" w:space="0" w:color="auto"/>
              <w:left w:val="nil"/>
              <w:bottom w:val="single" w:sz="12" w:space="0" w:color="auto"/>
              <w:right w:val="nil"/>
            </w:tcBorders>
            <w:hideMark/>
          </w:tcPr>
          <w:p w14:paraId="2802F8B1"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150B7093"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72EA7BCF" w14:textId="77777777" w:rsidR="00E763F3" w:rsidRPr="008B1975" w:rsidRDefault="00E763F3" w:rsidP="00DA74A5">
            <w:pPr>
              <w:pStyle w:val="TableHeading"/>
            </w:pPr>
            <w:r w:rsidRPr="008B1975">
              <w:t>Infrastructure</w:t>
            </w:r>
          </w:p>
        </w:tc>
      </w:tr>
      <w:tr w:rsidR="00E763F3" w:rsidRPr="008B1975" w14:paraId="1713342A" w14:textId="77777777" w:rsidTr="00C36D75">
        <w:trPr>
          <w:trHeight w:val="300"/>
        </w:trPr>
        <w:tc>
          <w:tcPr>
            <w:tcW w:w="1667" w:type="pct"/>
            <w:tcBorders>
              <w:top w:val="single" w:sz="12" w:space="0" w:color="auto"/>
              <w:left w:val="nil"/>
              <w:bottom w:val="single" w:sz="12" w:space="0" w:color="auto"/>
              <w:right w:val="nil"/>
            </w:tcBorders>
            <w:hideMark/>
          </w:tcPr>
          <w:p w14:paraId="1DD30FD4" w14:textId="77777777" w:rsidR="00E763F3" w:rsidRPr="008B1975" w:rsidRDefault="00E763F3"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4512E7D2" w14:textId="77777777" w:rsidR="00E763F3" w:rsidRPr="008B1975" w:rsidRDefault="00E763F3" w:rsidP="00DA74A5">
            <w:pPr>
              <w:pStyle w:val="Tabletext"/>
            </w:pPr>
            <w:r w:rsidRPr="008B1975">
              <w:t>All</w:t>
            </w:r>
          </w:p>
        </w:tc>
        <w:tc>
          <w:tcPr>
            <w:tcW w:w="1667" w:type="pct"/>
            <w:tcBorders>
              <w:top w:val="single" w:sz="12" w:space="0" w:color="auto"/>
              <w:left w:val="nil"/>
              <w:bottom w:val="single" w:sz="12" w:space="0" w:color="auto"/>
              <w:right w:val="nil"/>
            </w:tcBorders>
            <w:hideMark/>
          </w:tcPr>
          <w:p w14:paraId="015438C9" w14:textId="77777777" w:rsidR="00E763F3" w:rsidRPr="008B1975" w:rsidRDefault="00E763F3" w:rsidP="00DA74A5">
            <w:pPr>
              <w:pStyle w:val="Tabletext"/>
            </w:pPr>
            <w:r w:rsidRPr="008B1975">
              <w:t>All</w:t>
            </w:r>
          </w:p>
        </w:tc>
      </w:tr>
    </w:tbl>
    <w:p w14:paraId="56C4EB20" w14:textId="77777777" w:rsidR="00E763F3" w:rsidRPr="008B1975" w:rsidRDefault="00946DEA" w:rsidP="00946DEA">
      <w:pPr>
        <w:pStyle w:val="ItemHead"/>
      </w:pPr>
      <w:bookmarkStart w:id="346" w:name="_Ref185341570"/>
      <w:r w:rsidRPr="008B1975">
        <w:t xml:space="preserve">5  </w:t>
      </w:r>
      <w:r w:rsidR="00E763F3" w:rsidRPr="008B1975">
        <w:t>Section 29.3</w:t>
      </w:r>
      <w:bookmarkEnd w:id="346"/>
    </w:p>
    <w:p w14:paraId="5B7D14FC" w14:textId="77777777" w:rsidR="00E763F3" w:rsidRPr="008B1975" w:rsidRDefault="00E763F3" w:rsidP="00E763F3">
      <w:pPr>
        <w:pStyle w:val="Item"/>
      </w:pPr>
      <w:r w:rsidRPr="008B1975">
        <w:t>Before “Operators”, insert “(1)”.</w:t>
      </w:r>
    </w:p>
    <w:p w14:paraId="689AEE59" w14:textId="77777777" w:rsidR="00E763F3" w:rsidRPr="008B1975" w:rsidRDefault="00946DEA" w:rsidP="00946DEA">
      <w:pPr>
        <w:pStyle w:val="ItemHead"/>
      </w:pPr>
      <w:bookmarkStart w:id="347" w:name="_Ref185341574"/>
      <w:r w:rsidRPr="008B1975">
        <w:t xml:space="preserve">6  </w:t>
      </w:r>
      <w:r w:rsidR="00E763F3" w:rsidRPr="008B1975">
        <w:t>Section 29.3 (table)</w:t>
      </w:r>
      <w:bookmarkEnd w:id="347"/>
    </w:p>
    <w:p w14:paraId="1AB6AE44" w14:textId="77777777" w:rsidR="00E763F3" w:rsidRPr="008B1975" w:rsidRDefault="00E763F3" w:rsidP="00E763F3">
      <w:pPr>
        <w:pStyle w:val="Item"/>
      </w:pPr>
      <w:r w:rsidRPr="008B1975">
        <w:t>Repeal the table, substitute:</w:t>
      </w:r>
    </w:p>
    <w:p w14:paraId="6D4829B0" w14:textId="77777777" w:rsidR="00E763F3" w:rsidRPr="008B1975" w:rsidRDefault="00E763F3" w:rsidP="00E763F3">
      <w:pPr>
        <w:pStyle w:val="subsection"/>
      </w:pPr>
      <w:r w:rsidRPr="008B1975">
        <w:tab/>
        <w:t>(2)</w:t>
      </w:r>
      <w:r w:rsidRPr="008B1975">
        <w:tab/>
        <w:t>The following table specifies which conveyances, premises and infrastructure this section applies to.</w:t>
      </w:r>
    </w:p>
    <w:p w14:paraId="04742D9E" w14:textId="77777777" w:rsidR="00E763F3" w:rsidRPr="008B1975" w:rsidRDefault="00E763F3" w:rsidP="00E763F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763F3" w:rsidRPr="008B1975" w14:paraId="33AB6858"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7806B06E" w14:textId="77777777" w:rsidR="00E763F3" w:rsidRPr="008B1975" w:rsidRDefault="00E763F3" w:rsidP="00DA74A5">
            <w:pPr>
              <w:pStyle w:val="TableHeading"/>
            </w:pPr>
            <w:r w:rsidRPr="008B1975">
              <w:t>Application of this section</w:t>
            </w:r>
          </w:p>
        </w:tc>
      </w:tr>
      <w:tr w:rsidR="00E763F3" w:rsidRPr="008B1975" w14:paraId="00019B2C" w14:textId="77777777" w:rsidTr="00C36D75">
        <w:trPr>
          <w:trHeight w:val="300"/>
          <w:tblHeader/>
        </w:trPr>
        <w:tc>
          <w:tcPr>
            <w:tcW w:w="1667" w:type="pct"/>
            <w:tcBorders>
              <w:top w:val="single" w:sz="6" w:space="0" w:color="auto"/>
              <w:left w:val="nil"/>
              <w:bottom w:val="single" w:sz="12" w:space="0" w:color="auto"/>
              <w:right w:val="nil"/>
            </w:tcBorders>
            <w:hideMark/>
          </w:tcPr>
          <w:p w14:paraId="51CEBF86" w14:textId="77777777" w:rsidR="00E763F3" w:rsidRPr="008B1975" w:rsidRDefault="00E763F3"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0396636E" w14:textId="77777777" w:rsidR="00E763F3" w:rsidRPr="008B1975" w:rsidRDefault="00E763F3"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3B712E14" w14:textId="77777777" w:rsidR="00E763F3" w:rsidRPr="008B1975" w:rsidRDefault="00E763F3" w:rsidP="00DA74A5">
            <w:pPr>
              <w:pStyle w:val="TableHeading"/>
            </w:pPr>
            <w:r w:rsidRPr="008B1975">
              <w:t>Infrastructure</w:t>
            </w:r>
          </w:p>
        </w:tc>
      </w:tr>
      <w:tr w:rsidR="00E763F3" w:rsidRPr="008B1975" w14:paraId="1779C044" w14:textId="77777777" w:rsidTr="00C36D75">
        <w:trPr>
          <w:trHeight w:val="47"/>
        </w:trPr>
        <w:tc>
          <w:tcPr>
            <w:tcW w:w="1667" w:type="pct"/>
            <w:tcBorders>
              <w:top w:val="single" w:sz="12" w:space="0" w:color="auto"/>
              <w:left w:val="nil"/>
              <w:bottom w:val="single" w:sz="12" w:space="0" w:color="auto"/>
              <w:right w:val="nil"/>
            </w:tcBorders>
            <w:hideMark/>
          </w:tcPr>
          <w:p w14:paraId="58AA9BA8" w14:textId="77777777" w:rsidR="00E763F3" w:rsidRPr="008B1975" w:rsidRDefault="00E763F3" w:rsidP="00DA74A5">
            <w:pPr>
              <w:pStyle w:val="Tabletext"/>
            </w:pPr>
            <w:r w:rsidRPr="008B1975">
              <w:t>The following:</w:t>
            </w:r>
          </w:p>
          <w:p w14:paraId="24227079" w14:textId="77777777" w:rsidR="00E763F3" w:rsidRPr="008B1975" w:rsidRDefault="00DA74A5" w:rsidP="00DA74A5">
            <w:pPr>
              <w:pStyle w:val="Tabletext"/>
            </w:pPr>
            <w:r w:rsidRPr="008B1975">
              <w:t>(a) ferries</w:t>
            </w:r>
            <w:r w:rsidR="00750FB1" w:rsidRPr="008B1975">
              <w:t>;</w:t>
            </w:r>
          </w:p>
          <w:p w14:paraId="58419DA2" w14:textId="77777777" w:rsidR="00DA74A5" w:rsidRPr="008B1975" w:rsidRDefault="00DA74A5" w:rsidP="00DA74A5">
            <w:pPr>
              <w:pStyle w:val="Tabletext"/>
            </w:pPr>
            <w:r w:rsidRPr="008B1975">
              <w:t>(b) trains</w:t>
            </w:r>
          </w:p>
        </w:tc>
        <w:tc>
          <w:tcPr>
            <w:tcW w:w="1667" w:type="pct"/>
            <w:tcBorders>
              <w:top w:val="single" w:sz="12" w:space="0" w:color="auto"/>
              <w:left w:val="nil"/>
              <w:bottom w:val="single" w:sz="12" w:space="0" w:color="auto"/>
              <w:right w:val="nil"/>
            </w:tcBorders>
            <w:hideMark/>
          </w:tcPr>
          <w:p w14:paraId="68493B39" w14:textId="77777777" w:rsidR="00E763F3" w:rsidRPr="008B1975" w:rsidRDefault="00DA74A5"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5C71DEB5" w14:textId="77777777" w:rsidR="00E763F3" w:rsidRPr="008B1975" w:rsidRDefault="00DA74A5" w:rsidP="00DA74A5">
            <w:pPr>
              <w:pStyle w:val="Tabletext"/>
            </w:pPr>
            <w:r w:rsidRPr="008B1975">
              <w:t>None</w:t>
            </w:r>
          </w:p>
        </w:tc>
      </w:tr>
    </w:tbl>
    <w:p w14:paraId="34D1A381" w14:textId="77777777" w:rsidR="00824838" w:rsidRPr="008B1975" w:rsidRDefault="00824838" w:rsidP="00824838">
      <w:pPr>
        <w:pStyle w:val="ActHead6"/>
        <w:pageBreakBefore/>
        <w:rPr>
          <w:rStyle w:val="CharAmSchText"/>
        </w:rPr>
      </w:pPr>
      <w:bookmarkStart w:id="348" w:name="_Toc197178988"/>
      <w:r w:rsidRPr="008B1975">
        <w:lastRenderedPageBreak/>
        <w:t>Schedule 30—Part 30 (Belongings) Amendment</w:t>
      </w:r>
      <w:r w:rsidRPr="008B1975">
        <w:rPr>
          <w:rStyle w:val="CharAmSchText"/>
        </w:rPr>
        <w:t>s</w:t>
      </w:r>
      <w:bookmarkEnd w:id="348"/>
    </w:p>
    <w:p w14:paraId="697A6B8B" w14:textId="77777777" w:rsidR="00824838" w:rsidRPr="008B1975" w:rsidRDefault="00824838" w:rsidP="00824838">
      <w:pPr>
        <w:pStyle w:val="ActHead9"/>
      </w:pPr>
      <w:bookmarkStart w:id="349" w:name="_Toc197178989"/>
      <w:r w:rsidRPr="008B1975">
        <w:t>Disability Standards for Accessible Public Transport 2002</w:t>
      </w:r>
      <w:bookmarkEnd w:id="349"/>
    </w:p>
    <w:p w14:paraId="187CB1FA" w14:textId="77777777" w:rsidR="00DA74A5" w:rsidRPr="008B1975" w:rsidRDefault="00946DEA" w:rsidP="00946DEA">
      <w:pPr>
        <w:pStyle w:val="ItemHead"/>
      </w:pPr>
      <w:bookmarkStart w:id="350" w:name="_Ref185341618"/>
      <w:r w:rsidRPr="008B1975">
        <w:t xml:space="preserve">1  </w:t>
      </w:r>
      <w:r w:rsidR="00DA74A5" w:rsidRPr="008B1975">
        <w:t>Section 30.1 (table)</w:t>
      </w:r>
      <w:bookmarkEnd w:id="350"/>
    </w:p>
    <w:p w14:paraId="02C48EAE" w14:textId="77777777" w:rsidR="00DA74A5" w:rsidRPr="008B1975" w:rsidRDefault="00DA74A5" w:rsidP="00DA74A5">
      <w:pPr>
        <w:pStyle w:val="Item"/>
      </w:pPr>
      <w:r w:rsidRPr="008B1975">
        <w:t>Repeal the table, substitute:</w:t>
      </w:r>
    </w:p>
    <w:p w14:paraId="49A247EE" w14:textId="77777777" w:rsidR="00DA74A5" w:rsidRPr="008B1975" w:rsidRDefault="00DA74A5" w:rsidP="00DA74A5">
      <w:pPr>
        <w:pStyle w:val="subsection"/>
      </w:pPr>
      <w:r w:rsidRPr="008B1975">
        <w:tab/>
        <w:t>(3)</w:t>
      </w:r>
      <w:r w:rsidRPr="008B1975">
        <w:tab/>
        <w:t>The following table specifies which conveyances, premises and infrastructure this section applies to.</w:t>
      </w:r>
    </w:p>
    <w:p w14:paraId="71AE616F" w14:textId="77777777" w:rsidR="00DA74A5" w:rsidRPr="008B1975" w:rsidRDefault="00DA74A5" w:rsidP="00DA74A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A74A5" w:rsidRPr="008B1975" w14:paraId="35B23B3F"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49DCC65A" w14:textId="77777777" w:rsidR="00DA74A5" w:rsidRPr="008B1975" w:rsidRDefault="00DA74A5" w:rsidP="00DA74A5">
            <w:pPr>
              <w:pStyle w:val="TableHeading"/>
            </w:pPr>
            <w:r w:rsidRPr="008B1975">
              <w:t>Application of this section</w:t>
            </w:r>
          </w:p>
        </w:tc>
      </w:tr>
      <w:tr w:rsidR="00DA74A5" w:rsidRPr="008B1975" w14:paraId="28290FCB" w14:textId="77777777" w:rsidTr="00CC36E0">
        <w:trPr>
          <w:trHeight w:val="300"/>
          <w:tblHeader/>
        </w:trPr>
        <w:tc>
          <w:tcPr>
            <w:tcW w:w="1667" w:type="pct"/>
            <w:tcBorders>
              <w:top w:val="single" w:sz="6" w:space="0" w:color="auto"/>
              <w:left w:val="nil"/>
              <w:bottom w:val="single" w:sz="12" w:space="0" w:color="auto"/>
              <w:right w:val="nil"/>
            </w:tcBorders>
            <w:hideMark/>
          </w:tcPr>
          <w:p w14:paraId="11979D7B" w14:textId="77777777" w:rsidR="00DA74A5" w:rsidRPr="008B1975" w:rsidRDefault="00DA74A5" w:rsidP="00DA74A5">
            <w:pPr>
              <w:pStyle w:val="TableHeading"/>
            </w:pPr>
            <w:r w:rsidRPr="008B1975">
              <w:t>Conveyances</w:t>
            </w:r>
          </w:p>
        </w:tc>
        <w:tc>
          <w:tcPr>
            <w:tcW w:w="1667" w:type="pct"/>
            <w:tcBorders>
              <w:top w:val="single" w:sz="6" w:space="0" w:color="auto"/>
              <w:left w:val="nil"/>
              <w:bottom w:val="single" w:sz="12" w:space="0" w:color="auto"/>
              <w:right w:val="nil"/>
            </w:tcBorders>
            <w:hideMark/>
          </w:tcPr>
          <w:p w14:paraId="00813701" w14:textId="77777777" w:rsidR="00DA74A5" w:rsidRPr="008B1975" w:rsidRDefault="00DA74A5" w:rsidP="00DA74A5">
            <w:pPr>
              <w:pStyle w:val="TableHeading"/>
            </w:pPr>
            <w:r w:rsidRPr="008B1975">
              <w:t>Premises</w:t>
            </w:r>
          </w:p>
        </w:tc>
        <w:tc>
          <w:tcPr>
            <w:tcW w:w="1667" w:type="pct"/>
            <w:tcBorders>
              <w:top w:val="single" w:sz="6" w:space="0" w:color="auto"/>
              <w:left w:val="nil"/>
              <w:bottom w:val="single" w:sz="12" w:space="0" w:color="auto"/>
              <w:right w:val="nil"/>
            </w:tcBorders>
            <w:hideMark/>
          </w:tcPr>
          <w:p w14:paraId="7827C121" w14:textId="77777777" w:rsidR="00DA74A5" w:rsidRPr="008B1975" w:rsidRDefault="00DA74A5" w:rsidP="00DA74A5">
            <w:pPr>
              <w:pStyle w:val="TableHeading"/>
            </w:pPr>
            <w:r w:rsidRPr="008B1975">
              <w:t>Infrastructure</w:t>
            </w:r>
          </w:p>
        </w:tc>
      </w:tr>
      <w:tr w:rsidR="00DA74A5" w:rsidRPr="008B1975" w14:paraId="47BD6313" w14:textId="77777777" w:rsidTr="00CC36E0">
        <w:trPr>
          <w:trHeight w:val="300"/>
        </w:trPr>
        <w:tc>
          <w:tcPr>
            <w:tcW w:w="1667" w:type="pct"/>
            <w:tcBorders>
              <w:top w:val="single" w:sz="12" w:space="0" w:color="auto"/>
              <w:left w:val="nil"/>
              <w:bottom w:val="single" w:sz="12" w:space="0" w:color="auto"/>
              <w:right w:val="nil"/>
            </w:tcBorders>
            <w:hideMark/>
          </w:tcPr>
          <w:p w14:paraId="4A4FA70D" w14:textId="77777777" w:rsidR="00DA74A5" w:rsidRPr="008B1975" w:rsidRDefault="00DA74A5" w:rsidP="00DA74A5">
            <w:pPr>
              <w:pStyle w:val="Tabletext"/>
            </w:pPr>
            <w:r w:rsidRPr="008B1975">
              <w:t>The following:</w:t>
            </w:r>
          </w:p>
          <w:p w14:paraId="6CC8826D" w14:textId="77777777" w:rsidR="00DA74A5" w:rsidRPr="008B1975" w:rsidRDefault="00DA74A5" w:rsidP="00DA74A5">
            <w:pPr>
              <w:pStyle w:val="Tabletext"/>
            </w:pPr>
            <w:r w:rsidRPr="008B1975">
              <w:t>(a) aircraft</w:t>
            </w:r>
            <w:r w:rsidR="00AB0FE1" w:rsidRPr="008B1975">
              <w:t>;</w:t>
            </w:r>
          </w:p>
          <w:p w14:paraId="63406E3B" w14:textId="77777777" w:rsidR="00DA74A5" w:rsidRPr="008B1975" w:rsidRDefault="00DA74A5" w:rsidP="00DA74A5">
            <w:pPr>
              <w:pStyle w:val="Tabletext"/>
            </w:pPr>
            <w:r w:rsidRPr="008B1975">
              <w:t>(b) coaches</w:t>
            </w:r>
            <w:r w:rsidR="00AB0FE1" w:rsidRPr="008B1975">
              <w:t>;</w:t>
            </w:r>
          </w:p>
          <w:p w14:paraId="39D1B728" w14:textId="77777777" w:rsidR="00DA74A5" w:rsidRPr="008B1975" w:rsidRDefault="00DA74A5" w:rsidP="00DA74A5">
            <w:pPr>
              <w:pStyle w:val="Tabletext"/>
            </w:pPr>
            <w:r w:rsidRPr="008B1975">
              <w:t>(c) ferries</w:t>
            </w:r>
            <w:r w:rsidR="00AB0FE1" w:rsidRPr="008B1975">
              <w:t>;</w:t>
            </w:r>
          </w:p>
          <w:p w14:paraId="3D6C5EAF" w14:textId="77777777" w:rsidR="00DA74A5" w:rsidRPr="008B1975" w:rsidRDefault="00DA74A5" w:rsidP="00DA74A5">
            <w:pPr>
              <w:pStyle w:val="Tabletext"/>
            </w:pPr>
            <w:r w:rsidRPr="008B1975">
              <w:t>(d) trains</w:t>
            </w:r>
          </w:p>
        </w:tc>
        <w:tc>
          <w:tcPr>
            <w:tcW w:w="1667" w:type="pct"/>
            <w:tcBorders>
              <w:top w:val="single" w:sz="12" w:space="0" w:color="auto"/>
              <w:left w:val="nil"/>
              <w:bottom w:val="single" w:sz="12" w:space="0" w:color="auto"/>
              <w:right w:val="nil"/>
            </w:tcBorders>
            <w:hideMark/>
          </w:tcPr>
          <w:p w14:paraId="017941A9" w14:textId="77777777" w:rsidR="00DA74A5" w:rsidRPr="008B1975" w:rsidRDefault="00DA74A5" w:rsidP="00DA74A5">
            <w:pPr>
              <w:pStyle w:val="Tabletext"/>
            </w:pPr>
            <w:r w:rsidRPr="008B1975">
              <w:t>None</w:t>
            </w:r>
          </w:p>
        </w:tc>
        <w:tc>
          <w:tcPr>
            <w:tcW w:w="1667" w:type="pct"/>
            <w:tcBorders>
              <w:top w:val="single" w:sz="12" w:space="0" w:color="auto"/>
              <w:left w:val="nil"/>
              <w:bottom w:val="single" w:sz="12" w:space="0" w:color="auto"/>
              <w:right w:val="nil"/>
            </w:tcBorders>
            <w:hideMark/>
          </w:tcPr>
          <w:p w14:paraId="23D89AF5" w14:textId="77777777" w:rsidR="00DA74A5" w:rsidRPr="008B1975" w:rsidRDefault="00DA74A5" w:rsidP="00DA74A5">
            <w:pPr>
              <w:pStyle w:val="Tabletext"/>
            </w:pPr>
            <w:r w:rsidRPr="008B1975">
              <w:t>None</w:t>
            </w:r>
          </w:p>
        </w:tc>
      </w:tr>
    </w:tbl>
    <w:p w14:paraId="478EAC7A" w14:textId="77777777" w:rsidR="00824838" w:rsidRPr="008B1975" w:rsidRDefault="00824838" w:rsidP="00824838">
      <w:pPr>
        <w:pStyle w:val="ActHead6"/>
        <w:pageBreakBefore/>
        <w:rPr>
          <w:rStyle w:val="CharAmSchText"/>
        </w:rPr>
      </w:pPr>
      <w:bookmarkStart w:id="351" w:name="_Toc197178990"/>
      <w:r w:rsidRPr="008B1975">
        <w:lastRenderedPageBreak/>
        <w:t>Schedule </w:t>
      </w:r>
      <w:r w:rsidR="002531AC" w:rsidRPr="008B1975">
        <w:t>31</w:t>
      </w:r>
      <w:r w:rsidRPr="008B1975">
        <w:t xml:space="preserve">—Part </w:t>
      </w:r>
      <w:r w:rsidR="002531AC" w:rsidRPr="008B1975">
        <w:t>31</w:t>
      </w:r>
      <w:r w:rsidRPr="008B1975">
        <w:t xml:space="preserve"> (</w:t>
      </w:r>
      <w:r w:rsidR="002531AC" w:rsidRPr="008B1975">
        <w:t>Priority</w:t>
      </w:r>
      <w:r w:rsidRPr="008B1975">
        <w:t>) Amendments</w:t>
      </w:r>
      <w:bookmarkEnd w:id="351"/>
    </w:p>
    <w:p w14:paraId="477B9AF0" w14:textId="77777777" w:rsidR="00824838" w:rsidRPr="008B1975" w:rsidRDefault="00824838" w:rsidP="00824838">
      <w:pPr>
        <w:pStyle w:val="ActHead9"/>
      </w:pPr>
      <w:bookmarkStart w:id="352" w:name="_Toc197178991"/>
      <w:r w:rsidRPr="008B1975">
        <w:t>Disability Standards for Accessible Public Transport 2002</w:t>
      </w:r>
      <w:bookmarkEnd w:id="352"/>
    </w:p>
    <w:p w14:paraId="6BF3C220" w14:textId="77777777" w:rsidR="00FB42CC" w:rsidRPr="008B1975" w:rsidRDefault="00946DEA" w:rsidP="008E097B">
      <w:pPr>
        <w:pStyle w:val="ItemHead"/>
      </w:pPr>
      <w:bookmarkStart w:id="353" w:name="_Ref185341629"/>
      <w:r w:rsidRPr="008B1975">
        <w:t xml:space="preserve">1  </w:t>
      </w:r>
      <w:r w:rsidR="00FB42CC" w:rsidRPr="008B1975">
        <w:t>Part 31 (at the end of the heading)</w:t>
      </w:r>
      <w:bookmarkEnd w:id="353"/>
    </w:p>
    <w:p w14:paraId="016B36C5" w14:textId="77777777" w:rsidR="00FB42CC" w:rsidRPr="008B1975" w:rsidRDefault="00FB42CC" w:rsidP="001715D4">
      <w:pPr>
        <w:pStyle w:val="Item"/>
      </w:pPr>
      <w:r w:rsidRPr="008B1975">
        <w:t>Add “</w:t>
      </w:r>
      <w:r w:rsidRPr="008B1975">
        <w:rPr>
          <w:b/>
        </w:rPr>
        <w:t>seating</w:t>
      </w:r>
      <w:r w:rsidRPr="008B1975">
        <w:t>”.</w:t>
      </w:r>
    </w:p>
    <w:p w14:paraId="0920E1D6" w14:textId="77777777" w:rsidR="00DA74A5" w:rsidRPr="008B1975" w:rsidRDefault="00946DEA" w:rsidP="008E097B">
      <w:pPr>
        <w:pStyle w:val="ItemHead"/>
      </w:pPr>
      <w:bookmarkStart w:id="354" w:name="_Ref185341665"/>
      <w:r w:rsidRPr="008B1975">
        <w:t xml:space="preserve">2  </w:t>
      </w:r>
      <w:r w:rsidR="00DA74A5" w:rsidRPr="008B1975">
        <w:t>Section 31.1</w:t>
      </w:r>
      <w:bookmarkEnd w:id="354"/>
    </w:p>
    <w:p w14:paraId="4D84800C" w14:textId="77777777" w:rsidR="00DA74A5" w:rsidRPr="008B1975" w:rsidRDefault="00E7798F" w:rsidP="001715D4">
      <w:pPr>
        <w:pStyle w:val="Item"/>
      </w:pPr>
      <w:r w:rsidRPr="008B1975">
        <w:t>Repeal the section, substitute:</w:t>
      </w:r>
    </w:p>
    <w:p w14:paraId="6F311F44" w14:textId="77777777" w:rsidR="00E7798F" w:rsidRPr="008B1975" w:rsidRDefault="00E7798F" w:rsidP="004E7772">
      <w:pPr>
        <w:pStyle w:val="ActHead5"/>
        <w:outlineLvl w:val="9"/>
      </w:pPr>
      <w:r w:rsidRPr="008B1975">
        <w:t xml:space="preserve">31.1  Allocation of priority seating </w:t>
      </w:r>
    </w:p>
    <w:p w14:paraId="4A896033" w14:textId="77777777" w:rsidR="00E7798F" w:rsidRPr="008B1975" w:rsidRDefault="00E7798F" w:rsidP="00E7798F">
      <w:pPr>
        <w:pStyle w:val="subsection"/>
      </w:pPr>
      <w:r w:rsidRPr="008B1975">
        <w:tab/>
        <w:t>(1)</w:t>
      </w:r>
      <w:r w:rsidRPr="008B1975">
        <w:tab/>
        <w:t>A minimum of 2 priority seats must be provided.</w:t>
      </w:r>
    </w:p>
    <w:p w14:paraId="133C5EF8" w14:textId="77777777" w:rsidR="00BE0BFE" w:rsidRPr="008B1975" w:rsidRDefault="00E7798F" w:rsidP="00BE0BFE">
      <w:pPr>
        <w:pStyle w:val="subsection"/>
      </w:pPr>
      <w:r w:rsidRPr="008B1975">
        <w:tab/>
        <w:t>(2)</w:t>
      </w:r>
      <w:r w:rsidRPr="008B1975">
        <w:tab/>
      </w:r>
      <w:r w:rsidR="00BE0BFE" w:rsidRPr="008B1975">
        <w:t xml:space="preserve">If there are 41 </w:t>
      </w:r>
      <w:bookmarkStart w:id="355" w:name="_Hlk190270638"/>
      <w:r w:rsidR="00BE0BFE" w:rsidRPr="008B1975">
        <w:t>non-priority</w:t>
      </w:r>
      <w:bookmarkEnd w:id="355"/>
      <w:r w:rsidR="00BE0BFE" w:rsidRPr="008B1975">
        <w:rPr>
          <w:i/>
        </w:rPr>
        <w:t xml:space="preserve"> </w:t>
      </w:r>
      <w:r w:rsidR="00BE0BFE" w:rsidRPr="008B1975">
        <w:t>seats or more</w:t>
      </w:r>
      <w:r w:rsidR="00751A8A" w:rsidRPr="008B1975">
        <w:t xml:space="preserve"> provided</w:t>
      </w:r>
      <w:r w:rsidR="00BE0BFE" w:rsidRPr="008B1975">
        <w:t>, the following must occur:</w:t>
      </w:r>
    </w:p>
    <w:p w14:paraId="0E140CCA" w14:textId="77777777" w:rsidR="00BE0BFE" w:rsidRPr="008B1975" w:rsidRDefault="00BE0BFE" w:rsidP="00BE0BFE">
      <w:pPr>
        <w:pStyle w:val="paragraph"/>
      </w:pPr>
      <w:r w:rsidRPr="008B1975">
        <w:tab/>
        <w:t>(a)</w:t>
      </w:r>
      <w:r w:rsidRPr="008B1975">
        <w:tab/>
        <w:t>an additional priority seat beyond what is required by subsection (1) must be provided;</w:t>
      </w:r>
    </w:p>
    <w:p w14:paraId="323B59CE" w14:textId="77777777" w:rsidR="00BE0BFE" w:rsidRPr="008B1975" w:rsidRDefault="00BE0BFE" w:rsidP="00BE0BFE">
      <w:pPr>
        <w:pStyle w:val="paragraph"/>
      </w:pPr>
      <w:r w:rsidRPr="008B1975">
        <w:tab/>
        <w:t>(b)</w:t>
      </w:r>
      <w:r w:rsidRPr="008B1975">
        <w:tab/>
        <w:t>for every 2</w:t>
      </w:r>
      <w:r w:rsidR="003051F5" w:rsidRPr="008B1975">
        <w:t>0</w:t>
      </w:r>
      <w:r w:rsidRPr="008B1975">
        <w:t xml:space="preserve"> seat</w:t>
      </w:r>
      <w:r w:rsidR="003051F5" w:rsidRPr="008B1975">
        <w:t>s</w:t>
      </w:r>
      <w:r w:rsidRPr="008B1975">
        <w:t xml:space="preserve"> after the 41</w:t>
      </w:r>
      <w:r w:rsidRPr="008B1975">
        <w:rPr>
          <w:vertAlign w:val="superscript"/>
        </w:rPr>
        <w:t>st</w:t>
      </w:r>
      <w:r w:rsidRPr="008B1975">
        <w:t xml:space="preserve"> seat—a further priority seat must be provided.</w:t>
      </w:r>
    </w:p>
    <w:p w14:paraId="29F1050F" w14:textId="77777777" w:rsidR="00CF51CD" w:rsidRPr="008B1975" w:rsidRDefault="00BE0BFE" w:rsidP="00CF51CD">
      <w:pPr>
        <w:pStyle w:val="notetext"/>
      </w:pPr>
      <w:r w:rsidRPr="008B1975">
        <w:t>Note:</w:t>
      </w:r>
      <w:r w:rsidRPr="008B1975">
        <w:tab/>
      </w:r>
      <w:r w:rsidR="00751A8A" w:rsidRPr="008B1975">
        <w:t xml:space="preserve">If there are between 41 to 60 </w:t>
      </w:r>
      <w:r w:rsidR="00FF07A0" w:rsidRPr="008B1975">
        <w:t>non-priority</w:t>
      </w:r>
      <w:r w:rsidR="00751A8A" w:rsidRPr="008B1975">
        <w:rPr>
          <w:i/>
        </w:rPr>
        <w:t xml:space="preserve"> </w:t>
      </w:r>
      <w:r w:rsidR="00751A8A" w:rsidRPr="008B1975">
        <w:t>seats, there must be 3 priority seats. If there are between 61 to 80</w:t>
      </w:r>
      <w:r w:rsidR="00FF07A0" w:rsidRPr="008B1975">
        <w:t xml:space="preserve"> non-priority</w:t>
      </w:r>
      <w:r w:rsidR="00751A8A" w:rsidRPr="008B1975">
        <w:rPr>
          <w:i/>
        </w:rPr>
        <w:t xml:space="preserve"> </w:t>
      </w:r>
      <w:r w:rsidR="00751A8A" w:rsidRPr="008B1975">
        <w:t xml:space="preserve">seats, there must be 4 priority seats. If there are between 81 to 99 </w:t>
      </w:r>
      <w:r w:rsidR="00FF07A0" w:rsidRPr="008B1975">
        <w:t>non-priority</w:t>
      </w:r>
      <w:r w:rsidR="00751A8A" w:rsidRPr="008B1975">
        <w:rPr>
          <w:i/>
        </w:rPr>
        <w:t xml:space="preserve"> </w:t>
      </w:r>
      <w:r w:rsidR="00751A8A" w:rsidRPr="008B1975">
        <w:t xml:space="preserve">seats, there must be 5 priority seats. </w:t>
      </w:r>
    </w:p>
    <w:p w14:paraId="1E5BE665" w14:textId="77777777" w:rsidR="00DA74A5" w:rsidRPr="008B1975" w:rsidRDefault="00DA74A5" w:rsidP="00BE0BFE">
      <w:pPr>
        <w:pStyle w:val="subsection"/>
      </w:pPr>
      <w:r w:rsidRPr="008B1975">
        <w:tab/>
        <w:t>(</w:t>
      </w:r>
      <w:r w:rsidR="00E6701C" w:rsidRPr="008B1975">
        <w:t>3</w:t>
      </w:r>
      <w:r w:rsidRPr="008B1975">
        <w:t>)</w:t>
      </w:r>
      <w:r w:rsidRPr="008B1975">
        <w:tab/>
        <w:t>The following table specifies which conveyances, premises and infrastructure this section applies to.</w:t>
      </w:r>
    </w:p>
    <w:p w14:paraId="46A27148" w14:textId="77777777" w:rsidR="00DA74A5" w:rsidRPr="008B1975" w:rsidRDefault="00DA74A5"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A74A5" w:rsidRPr="008B1975" w14:paraId="24805481" w14:textId="77777777" w:rsidTr="00DA74A5">
        <w:trPr>
          <w:trHeight w:val="300"/>
          <w:tblHeader/>
        </w:trPr>
        <w:tc>
          <w:tcPr>
            <w:tcW w:w="5000" w:type="pct"/>
            <w:gridSpan w:val="3"/>
            <w:tcBorders>
              <w:top w:val="single" w:sz="12" w:space="0" w:color="auto"/>
              <w:left w:val="nil"/>
              <w:bottom w:val="single" w:sz="6" w:space="0" w:color="auto"/>
              <w:right w:val="nil"/>
            </w:tcBorders>
            <w:hideMark/>
          </w:tcPr>
          <w:p w14:paraId="60E0A0A9" w14:textId="77777777" w:rsidR="00DA74A5" w:rsidRPr="008B1975" w:rsidRDefault="00DA74A5" w:rsidP="001715D4">
            <w:pPr>
              <w:pStyle w:val="TableHeading"/>
            </w:pPr>
            <w:bookmarkStart w:id="356" w:name="_Hlk184543211"/>
            <w:r w:rsidRPr="008B1975">
              <w:t>Application of this section</w:t>
            </w:r>
          </w:p>
        </w:tc>
      </w:tr>
      <w:tr w:rsidR="00DA74A5" w:rsidRPr="008B1975" w14:paraId="74981B79" w14:textId="77777777" w:rsidTr="00CC36E0">
        <w:trPr>
          <w:trHeight w:val="300"/>
          <w:tblHeader/>
        </w:trPr>
        <w:tc>
          <w:tcPr>
            <w:tcW w:w="1667" w:type="pct"/>
            <w:tcBorders>
              <w:top w:val="single" w:sz="6" w:space="0" w:color="auto"/>
              <w:left w:val="nil"/>
              <w:bottom w:val="single" w:sz="12" w:space="0" w:color="auto"/>
              <w:right w:val="nil"/>
            </w:tcBorders>
            <w:hideMark/>
          </w:tcPr>
          <w:p w14:paraId="6A369BEC" w14:textId="77777777" w:rsidR="00DA74A5" w:rsidRPr="008B1975" w:rsidRDefault="00DA74A5"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4C089C61" w14:textId="77777777" w:rsidR="00DA74A5" w:rsidRPr="008B1975" w:rsidRDefault="00DA74A5"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01640172" w14:textId="77777777" w:rsidR="00DA74A5" w:rsidRPr="008B1975" w:rsidRDefault="00DA74A5" w:rsidP="001715D4">
            <w:pPr>
              <w:pStyle w:val="TableHeading"/>
            </w:pPr>
            <w:r w:rsidRPr="008B1975">
              <w:t>Infrastructure</w:t>
            </w:r>
          </w:p>
        </w:tc>
      </w:tr>
      <w:tr w:rsidR="00DA74A5" w:rsidRPr="008B1975" w14:paraId="3CD9E201" w14:textId="77777777" w:rsidTr="00CC36E0">
        <w:trPr>
          <w:trHeight w:val="300"/>
        </w:trPr>
        <w:tc>
          <w:tcPr>
            <w:tcW w:w="1667" w:type="pct"/>
            <w:tcBorders>
              <w:top w:val="single" w:sz="12" w:space="0" w:color="auto"/>
              <w:left w:val="nil"/>
              <w:bottom w:val="single" w:sz="12" w:space="0" w:color="auto"/>
              <w:right w:val="nil"/>
            </w:tcBorders>
            <w:hideMark/>
          </w:tcPr>
          <w:p w14:paraId="0A62DF7B" w14:textId="77777777" w:rsidR="00DA74A5" w:rsidRPr="008B1975" w:rsidRDefault="00DA74A5" w:rsidP="001715D4">
            <w:pPr>
              <w:pStyle w:val="Tabletext"/>
            </w:pPr>
            <w:r w:rsidRPr="008B1975">
              <w:t>The following:</w:t>
            </w:r>
          </w:p>
          <w:p w14:paraId="0E242DB4" w14:textId="77777777" w:rsidR="00DA74A5" w:rsidRPr="008B1975" w:rsidRDefault="00DA74A5" w:rsidP="001715D4">
            <w:pPr>
              <w:pStyle w:val="Tabletext"/>
            </w:pPr>
            <w:r w:rsidRPr="008B1975">
              <w:t>(a) buses</w:t>
            </w:r>
            <w:r w:rsidR="00E542F3" w:rsidRPr="008B1975">
              <w:t>;</w:t>
            </w:r>
          </w:p>
          <w:p w14:paraId="1CFA18D3" w14:textId="77777777" w:rsidR="00DA74A5" w:rsidRPr="008B1975" w:rsidRDefault="00DA74A5" w:rsidP="001715D4">
            <w:pPr>
              <w:pStyle w:val="Tabletext"/>
            </w:pPr>
            <w:r w:rsidRPr="008B1975">
              <w:t>(b) ferries</w:t>
            </w:r>
            <w:r w:rsidR="00E542F3" w:rsidRPr="008B1975">
              <w:t>;</w:t>
            </w:r>
          </w:p>
          <w:p w14:paraId="4197269A" w14:textId="77777777" w:rsidR="00DA74A5" w:rsidRPr="008B1975" w:rsidRDefault="00DA74A5" w:rsidP="001715D4">
            <w:pPr>
              <w:pStyle w:val="Tabletext"/>
            </w:pPr>
            <w:r w:rsidRPr="008B1975">
              <w:t>(c) rail cars</w:t>
            </w:r>
            <w:r w:rsidR="00E542F3" w:rsidRPr="008B1975">
              <w:t>;</w:t>
            </w:r>
          </w:p>
          <w:p w14:paraId="5EB0B484" w14:textId="77777777" w:rsidR="00DA74A5" w:rsidRPr="008B1975" w:rsidRDefault="00DA74A5" w:rsidP="001715D4">
            <w:pPr>
              <w:pStyle w:val="Tabletext"/>
            </w:pPr>
            <w:r w:rsidRPr="008B1975">
              <w:t>(d) trams</w:t>
            </w:r>
            <w:r w:rsidR="00E542F3" w:rsidRPr="008B1975">
              <w:t>;</w:t>
            </w:r>
          </w:p>
          <w:p w14:paraId="3C0A0C3D" w14:textId="77777777" w:rsidR="00DA74A5" w:rsidRPr="008B1975" w:rsidRDefault="00DA74A5" w:rsidP="001715D4">
            <w:pPr>
              <w:pStyle w:val="Tabletext"/>
            </w:pPr>
            <w:r w:rsidRPr="008B1975">
              <w:t>(e) light rail</w:t>
            </w:r>
          </w:p>
        </w:tc>
        <w:tc>
          <w:tcPr>
            <w:tcW w:w="1667" w:type="pct"/>
            <w:tcBorders>
              <w:top w:val="single" w:sz="12" w:space="0" w:color="auto"/>
              <w:left w:val="nil"/>
              <w:bottom w:val="single" w:sz="12" w:space="0" w:color="auto"/>
              <w:right w:val="nil"/>
            </w:tcBorders>
            <w:hideMark/>
          </w:tcPr>
          <w:p w14:paraId="6884434B" w14:textId="77777777" w:rsidR="00DA74A5" w:rsidRPr="008B1975" w:rsidRDefault="00DA74A5"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35168ADC" w14:textId="77777777" w:rsidR="00DA74A5" w:rsidRPr="008B1975" w:rsidRDefault="00DA74A5" w:rsidP="001715D4">
            <w:pPr>
              <w:pStyle w:val="Tabletext"/>
            </w:pPr>
            <w:r w:rsidRPr="008B1975">
              <w:t>None</w:t>
            </w:r>
          </w:p>
        </w:tc>
      </w:tr>
    </w:tbl>
    <w:p w14:paraId="0DC0102A" w14:textId="6252C2C9" w:rsidR="00913074" w:rsidRPr="008B1975" w:rsidRDefault="00913074" w:rsidP="00913074">
      <w:pPr>
        <w:pStyle w:val="notetext"/>
      </w:pPr>
      <w:bookmarkStart w:id="357" w:name="_Ref180767941"/>
      <w:bookmarkStart w:id="358" w:name="_Ref185341802"/>
      <w:bookmarkEnd w:id="356"/>
      <w:r w:rsidRPr="008B1975">
        <w:t>Note:</w:t>
      </w:r>
      <w:r w:rsidRPr="008B1975">
        <w:tab/>
        <w:t>This section applies after the end of the 5-year transitional period to seating in existing conveyances: see section 35.26.</w:t>
      </w:r>
    </w:p>
    <w:p w14:paraId="1C38DFE5" w14:textId="77777777" w:rsidR="00E63D4B" w:rsidRPr="008B1975" w:rsidRDefault="00946DEA" w:rsidP="008E097B">
      <w:pPr>
        <w:pStyle w:val="ItemHead"/>
      </w:pPr>
      <w:r w:rsidRPr="008B1975">
        <w:t xml:space="preserve">3  </w:t>
      </w:r>
      <w:r w:rsidR="00E63D4B" w:rsidRPr="008B1975">
        <w:t>Section 31.2</w:t>
      </w:r>
      <w:bookmarkEnd w:id="357"/>
      <w:bookmarkEnd w:id="358"/>
    </w:p>
    <w:p w14:paraId="4CF2165A" w14:textId="77777777" w:rsidR="00E63D4B" w:rsidRPr="008B1975" w:rsidRDefault="00E63D4B" w:rsidP="001715D4">
      <w:pPr>
        <w:pStyle w:val="Item"/>
      </w:pPr>
      <w:r w:rsidRPr="008B1975">
        <w:t>Repeal the section, substitute:</w:t>
      </w:r>
    </w:p>
    <w:p w14:paraId="7E506371" w14:textId="77777777" w:rsidR="00E63D4B" w:rsidRPr="008B1975" w:rsidRDefault="00E63D4B" w:rsidP="001715D4">
      <w:pPr>
        <w:pStyle w:val="ActHead5"/>
        <w:outlineLvl w:val="9"/>
      </w:pPr>
      <w:r w:rsidRPr="008B1975">
        <w:t>31.2  Appearance and signage</w:t>
      </w:r>
    </w:p>
    <w:p w14:paraId="6D03E3B4" w14:textId="77777777" w:rsidR="00E63D4B" w:rsidRPr="008B1975" w:rsidRDefault="00E63D4B" w:rsidP="001715D4">
      <w:pPr>
        <w:pStyle w:val="subsection"/>
      </w:pPr>
      <w:r w:rsidRPr="008B1975">
        <w:tab/>
      </w:r>
      <w:r w:rsidR="00521471" w:rsidRPr="008B1975">
        <w:t>(1)</w:t>
      </w:r>
      <w:r w:rsidRPr="008B1975">
        <w:tab/>
        <w:t xml:space="preserve">The upholstery of </w:t>
      </w:r>
      <w:r w:rsidR="00E7798F" w:rsidRPr="008B1975">
        <w:t xml:space="preserve">a </w:t>
      </w:r>
      <w:r w:rsidRPr="008B1975">
        <w:t>priority seat must have a luminance contrast of not less than 30% in comparison with the upholstery of other seating in the conveyance.</w:t>
      </w:r>
    </w:p>
    <w:p w14:paraId="494361C2" w14:textId="77777777" w:rsidR="00E63D4B" w:rsidRPr="008B1975" w:rsidRDefault="00E63D4B" w:rsidP="001715D4">
      <w:pPr>
        <w:pStyle w:val="subsection"/>
      </w:pPr>
      <w:r w:rsidRPr="008B1975">
        <w:tab/>
      </w:r>
      <w:r w:rsidR="00521471" w:rsidRPr="008B1975">
        <w:t>(2)</w:t>
      </w:r>
      <w:r w:rsidRPr="008B1975">
        <w:tab/>
      </w:r>
      <w:r w:rsidR="00E7798F" w:rsidRPr="008B1975">
        <w:t xml:space="preserve">A priority seat </w:t>
      </w:r>
      <w:r w:rsidRPr="008B1975">
        <w:t>must be identified by signage that:</w:t>
      </w:r>
    </w:p>
    <w:p w14:paraId="390A2293" w14:textId="77777777" w:rsidR="00E63D4B" w:rsidRPr="008B1975" w:rsidRDefault="00E63D4B" w:rsidP="001715D4">
      <w:pPr>
        <w:pStyle w:val="paragraph"/>
      </w:pPr>
      <w:r w:rsidRPr="008B1975">
        <w:tab/>
      </w:r>
      <w:r w:rsidR="00521471" w:rsidRPr="008B1975">
        <w:t>(a)</w:t>
      </w:r>
      <w:r w:rsidRPr="008B1975">
        <w:tab/>
        <w:t>is located immediately adjacent, or as close as possible, to the priority seating; and</w:t>
      </w:r>
    </w:p>
    <w:p w14:paraId="54DD25BC" w14:textId="77777777" w:rsidR="00E63D4B" w:rsidRPr="008B1975" w:rsidRDefault="00E63D4B" w:rsidP="001715D4">
      <w:pPr>
        <w:pStyle w:val="paragraph"/>
      </w:pPr>
      <w:r w:rsidRPr="008B1975">
        <w:lastRenderedPageBreak/>
        <w:tab/>
      </w:r>
      <w:r w:rsidR="00521471" w:rsidRPr="008B1975">
        <w:t>(</w:t>
      </w:r>
      <w:r w:rsidR="004C4B61" w:rsidRPr="008B1975">
        <w:t>b</w:t>
      </w:r>
      <w:r w:rsidR="00521471" w:rsidRPr="008B1975">
        <w:t>)</w:t>
      </w:r>
      <w:r w:rsidRPr="008B1975">
        <w:tab/>
        <w:t>instructs passengers to vacate the seat if it is required by a passenger with disability.</w:t>
      </w:r>
    </w:p>
    <w:p w14:paraId="42FD9050" w14:textId="77777777" w:rsidR="004C4B61" w:rsidRPr="008B1975" w:rsidRDefault="004C4B61" w:rsidP="004C4B61">
      <w:pPr>
        <w:pStyle w:val="notetext"/>
      </w:pPr>
      <w:r w:rsidRPr="008B1975">
        <w:t>Note:</w:t>
      </w:r>
      <w:r w:rsidRPr="008B1975">
        <w:tab/>
        <w:t>Section 17.1 imposes requirements in relation to all signs on conveyances.</w:t>
      </w:r>
    </w:p>
    <w:p w14:paraId="14961FF0" w14:textId="77777777" w:rsidR="00E63D4B" w:rsidRPr="008B1975" w:rsidRDefault="00E63D4B" w:rsidP="001715D4">
      <w:pPr>
        <w:pStyle w:val="subsection"/>
      </w:pPr>
      <w:r w:rsidRPr="008B1975">
        <w:tab/>
        <w:t>(3)</w:t>
      </w:r>
      <w:r w:rsidRPr="008B1975">
        <w:tab/>
        <w:t>The following table specifies conveyances, premises and infrastructure this section applies to.</w:t>
      </w:r>
    </w:p>
    <w:p w14:paraId="5E53E99E" w14:textId="77777777" w:rsidR="00E63D4B" w:rsidRPr="008B1975" w:rsidRDefault="00E63D4B"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E63D4B" w:rsidRPr="008B1975" w14:paraId="3D2C5341" w14:textId="77777777" w:rsidTr="007660BF">
        <w:trPr>
          <w:trHeight w:val="300"/>
          <w:tblHeader/>
        </w:trPr>
        <w:tc>
          <w:tcPr>
            <w:tcW w:w="5000" w:type="pct"/>
            <w:gridSpan w:val="3"/>
            <w:tcBorders>
              <w:top w:val="single" w:sz="12" w:space="0" w:color="auto"/>
              <w:bottom w:val="single" w:sz="6" w:space="0" w:color="auto"/>
            </w:tcBorders>
            <w:shd w:val="clear" w:color="auto" w:fill="auto"/>
            <w:hideMark/>
          </w:tcPr>
          <w:p w14:paraId="54362B6A" w14:textId="77777777" w:rsidR="00E63D4B" w:rsidRPr="008B1975" w:rsidRDefault="00E63D4B" w:rsidP="001715D4">
            <w:pPr>
              <w:pStyle w:val="TableHeading"/>
            </w:pPr>
            <w:r w:rsidRPr="008B1975">
              <w:t>Application of this section</w:t>
            </w:r>
          </w:p>
        </w:tc>
      </w:tr>
      <w:tr w:rsidR="00E63D4B" w:rsidRPr="008B1975" w14:paraId="0E10D583" w14:textId="77777777" w:rsidTr="00CC36E0">
        <w:trPr>
          <w:trHeight w:val="300"/>
          <w:tblHeader/>
        </w:trPr>
        <w:tc>
          <w:tcPr>
            <w:tcW w:w="1667" w:type="pct"/>
            <w:tcBorders>
              <w:top w:val="single" w:sz="6" w:space="0" w:color="auto"/>
              <w:bottom w:val="single" w:sz="12" w:space="0" w:color="auto"/>
            </w:tcBorders>
            <w:shd w:val="clear" w:color="auto" w:fill="auto"/>
            <w:hideMark/>
          </w:tcPr>
          <w:p w14:paraId="6882C4F8" w14:textId="77777777" w:rsidR="00E63D4B" w:rsidRPr="008B1975" w:rsidRDefault="00E63D4B" w:rsidP="001715D4">
            <w:pPr>
              <w:pStyle w:val="TableHeading"/>
            </w:pPr>
            <w:r w:rsidRPr="008B1975">
              <w:t>Conveyances</w:t>
            </w:r>
          </w:p>
        </w:tc>
        <w:tc>
          <w:tcPr>
            <w:tcW w:w="1667" w:type="pct"/>
            <w:tcBorders>
              <w:top w:val="single" w:sz="6" w:space="0" w:color="auto"/>
              <w:bottom w:val="single" w:sz="12" w:space="0" w:color="auto"/>
            </w:tcBorders>
            <w:shd w:val="clear" w:color="auto" w:fill="auto"/>
            <w:hideMark/>
          </w:tcPr>
          <w:p w14:paraId="7BCB4E8F" w14:textId="77777777" w:rsidR="00E63D4B" w:rsidRPr="008B1975" w:rsidRDefault="00E63D4B" w:rsidP="001715D4">
            <w:pPr>
              <w:pStyle w:val="TableHeading"/>
            </w:pPr>
            <w:r w:rsidRPr="008B1975">
              <w:t>Premises</w:t>
            </w:r>
          </w:p>
        </w:tc>
        <w:tc>
          <w:tcPr>
            <w:tcW w:w="1667" w:type="pct"/>
            <w:tcBorders>
              <w:top w:val="single" w:sz="6" w:space="0" w:color="auto"/>
              <w:bottom w:val="single" w:sz="12" w:space="0" w:color="auto"/>
            </w:tcBorders>
            <w:shd w:val="clear" w:color="auto" w:fill="auto"/>
            <w:hideMark/>
          </w:tcPr>
          <w:p w14:paraId="4191B671" w14:textId="77777777" w:rsidR="00E63D4B" w:rsidRPr="008B1975" w:rsidRDefault="00E63D4B" w:rsidP="001715D4">
            <w:pPr>
              <w:pStyle w:val="TableHeading"/>
            </w:pPr>
            <w:r w:rsidRPr="008B1975">
              <w:t>Infrastructure</w:t>
            </w:r>
          </w:p>
        </w:tc>
      </w:tr>
      <w:tr w:rsidR="00E63D4B" w:rsidRPr="008B1975" w14:paraId="74839C01" w14:textId="77777777" w:rsidTr="00CC36E0">
        <w:trPr>
          <w:trHeight w:val="300"/>
        </w:trPr>
        <w:tc>
          <w:tcPr>
            <w:tcW w:w="1667" w:type="pct"/>
            <w:tcBorders>
              <w:top w:val="single" w:sz="12" w:space="0" w:color="auto"/>
              <w:bottom w:val="single" w:sz="12" w:space="0" w:color="auto"/>
            </w:tcBorders>
            <w:shd w:val="clear" w:color="auto" w:fill="auto"/>
            <w:hideMark/>
          </w:tcPr>
          <w:p w14:paraId="36DBA881" w14:textId="77777777" w:rsidR="00E542F3" w:rsidRPr="008B1975" w:rsidRDefault="00E542F3" w:rsidP="001715D4">
            <w:pPr>
              <w:pStyle w:val="Tabletext"/>
            </w:pPr>
            <w:r w:rsidRPr="008B1975">
              <w:t>The following:</w:t>
            </w:r>
          </w:p>
          <w:p w14:paraId="23DC3342" w14:textId="77777777" w:rsidR="00E542F3" w:rsidRPr="008B1975" w:rsidRDefault="00E542F3" w:rsidP="001715D4">
            <w:pPr>
              <w:pStyle w:val="Tabletext"/>
            </w:pPr>
            <w:r w:rsidRPr="008B1975">
              <w:t>(a) buses;</w:t>
            </w:r>
          </w:p>
          <w:p w14:paraId="51A72F03" w14:textId="77777777" w:rsidR="00E542F3" w:rsidRPr="008B1975" w:rsidRDefault="00E542F3" w:rsidP="001715D4">
            <w:pPr>
              <w:pStyle w:val="Tabletext"/>
            </w:pPr>
            <w:r w:rsidRPr="008B1975">
              <w:t>(b) ferries;</w:t>
            </w:r>
          </w:p>
          <w:p w14:paraId="15C35D3C" w14:textId="77777777" w:rsidR="00E542F3" w:rsidRPr="008B1975" w:rsidRDefault="00E542F3" w:rsidP="001715D4">
            <w:pPr>
              <w:pStyle w:val="Tabletext"/>
            </w:pPr>
            <w:r w:rsidRPr="008B1975">
              <w:t>(c) rail cars;</w:t>
            </w:r>
          </w:p>
          <w:p w14:paraId="02DC83CB" w14:textId="77777777" w:rsidR="00E542F3" w:rsidRPr="008B1975" w:rsidRDefault="00E542F3" w:rsidP="001715D4">
            <w:pPr>
              <w:pStyle w:val="Tabletext"/>
            </w:pPr>
            <w:r w:rsidRPr="008B1975">
              <w:t>(d) trams;</w:t>
            </w:r>
          </w:p>
          <w:p w14:paraId="60B8B0AD" w14:textId="77777777" w:rsidR="00E63D4B" w:rsidRPr="008B1975" w:rsidRDefault="00E542F3" w:rsidP="001715D4">
            <w:pPr>
              <w:pStyle w:val="Tablea"/>
            </w:pPr>
            <w:r w:rsidRPr="008B1975">
              <w:t>(e) light rail</w:t>
            </w:r>
          </w:p>
        </w:tc>
        <w:tc>
          <w:tcPr>
            <w:tcW w:w="1667" w:type="pct"/>
            <w:tcBorders>
              <w:top w:val="single" w:sz="12" w:space="0" w:color="auto"/>
              <w:bottom w:val="single" w:sz="12" w:space="0" w:color="auto"/>
            </w:tcBorders>
            <w:shd w:val="clear" w:color="auto" w:fill="auto"/>
          </w:tcPr>
          <w:p w14:paraId="285EC3F4" w14:textId="77777777" w:rsidR="00E63D4B" w:rsidRPr="008B1975" w:rsidRDefault="00E63D4B" w:rsidP="001715D4">
            <w:pPr>
              <w:pStyle w:val="Tabletext"/>
            </w:pPr>
            <w:r w:rsidRPr="008B1975">
              <w:t>None</w:t>
            </w:r>
          </w:p>
        </w:tc>
        <w:tc>
          <w:tcPr>
            <w:tcW w:w="1667" w:type="pct"/>
            <w:tcBorders>
              <w:top w:val="single" w:sz="12" w:space="0" w:color="auto"/>
              <w:bottom w:val="single" w:sz="12" w:space="0" w:color="auto"/>
            </w:tcBorders>
            <w:shd w:val="clear" w:color="auto" w:fill="auto"/>
          </w:tcPr>
          <w:p w14:paraId="56902FB8" w14:textId="77777777" w:rsidR="00E63D4B" w:rsidRPr="008B1975" w:rsidRDefault="00E63D4B" w:rsidP="001715D4">
            <w:pPr>
              <w:pStyle w:val="Tabletext"/>
            </w:pPr>
            <w:r w:rsidRPr="008B1975">
              <w:t>None</w:t>
            </w:r>
          </w:p>
        </w:tc>
      </w:tr>
    </w:tbl>
    <w:p w14:paraId="7804BD5C" w14:textId="4077CC34" w:rsidR="00913074" w:rsidRPr="008B1975" w:rsidRDefault="00913074" w:rsidP="00913074">
      <w:pPr>
        <w:pStyle w:val="notetext"/>
      </w:pPr>
      <w:r w:rsidRPr="008B1975">
        <w:t>Note:</w:t>
      </w:r>
      <w:r w:rsidRPr="008B1975">
        <w:tab/>
        <w:t>This section applies after the end of the 5-year transitional period to seating in existing conveyances: see section 35.26.</w:t>
      </w:r>
    </w:p>
    <w:p w14:paraId="68E15AF2" w14:textId="77777777" w:rsidR="00790930" w:rsidRPr="008B1975" w:rsidRDefault="00790930" w:rsidP="001715D4">
      <w:pPr>
        <w:pStyle w:val="ActHead5"/>
        <w:outlineLvl w:val="9"/>
      </w:pPr>
      <w:r w:rsidRPr="008B1975">
        <w:t>31.3  Location of priority seats in conveyance</w:t>
      </w:r>
    </w:p>
    <w:p w14:paraId="286ADEBE" w14:textId="77777777" w:rsidR="00790930" w:rsidRPr="008B1975" w:rsidRDefault="00790930" w:rsidP="001715D4">
      <w:pPr>
        <w:pStyle w:val="subsection"/>
      </w:pPr>
      <w:r w:rsidRPr="008B1975">
        <w:tab/>
        <w:t>(1)</w:t>
      </w:r>
      <w:r w:rsidRPr="008B1975">
        <w:tab/>
        <w:t>Operators</w:t>
      </w:r>
      <w:r w:rsidR="00DA6468" w:rsidRPr="008B1975">
        <w:t xml:space="preserve"> and providers</w:t>
      </w:r>
      <w:r w:rsidRPr="008B1975">
        <w:t xml:space="preserve"> must ensure that any priority seating is </w:t>
      </w:r>
      <w:r w:rsidRPr="008B1975">
        <w:rPr>
          <w:color w:val="000000" w:themeColor="text1"/>
        </w:rPr>
        <w:t>placed in</w:t>
      </w:r>
      <w:r w:rsidR="00B80768" w:rsidRPr="008B1975">
        <w:rPr>
          <w:color w:val="000000" w:themeColor="text1"/>
        </w:rPr>
        <w:t xml:space="preserve"> a</w:t>
      </w:r>
      <w:r w:rsidRPr="008B1975">
        <w:rPr>
          <w:color w:val="000000" w:themeColor="text1"/>
        </w:rPr>
        <w:t xml:space="preserve"> way </w:t>
      </w:r>
      <w:r w:rsidRPr="008B1975">
        <w:t xml:space="preserve">that makes it easy to find and use, in particular by </w:t>
      </w:r>
      <w:r w:rsidR="00EA36E0" w:rsidRPr="008B1975">
        <w:t xml:space="preserve">co-locating the seating with </w:t>
      </w:r>
      <w:r w:rsidRPr="008B1975">
        <w:t>such points as the following:</w:t>
      </w:r>
    </w:p>
    <w:p w14:paraId="26EFD6EC" w14:textId="77777777" w:rsidR="00790930" w:rsidRPr="008B1975" w:rsidRDefault="00790930" w:rsidP="001715D4">
      <w:pPr>
        <w:pStyle w:val="paragraph"/>
      </w:pPr>
      <w:r w:rsidRPr="008B1975">
        <w:tab/>
        <w:t>(a)</w:t>
      </w:r>
      <w:r w:rsidRPr="008B1975">
        <w:tab/>
        <w:t>entrance doors;</w:t>
      </w:r>
    </w:p>
    <w:p w14:paraId="5A14E28A" w14:textId="77777777" w:rsidR="00790930" w:rsidRPr="008B1975" w:rsidRDefault="00790930" w:rsidP="001715D4">
      <w:pPr>
        <w:pStyle w:val="paragraph"/>
      </w:pPr>
      <w:r w:rsidRPr="008B1975">
        <w:tab/>
        <w:t>(b)</w:t>
      </w:r>
      <w:r w:rsidRPr="008B1975">
        <w:tab/>
        <w:t>accessible facilities;</w:t>
      </w:r>
    </w:p>
    <w:p w14:paraId="6E43BAEC" w14:textId="77777777" w:rsidR="00790930" w:rsidRPr="008B1975" w:rsidRDefault="00790930" w:rsidP="001715D4">
      <w:pPr>
        <w:pStyle w:val="paragraph"/>
      </w:pPr>
      <w:r w:rsidRPr="008B1975">
        <w:tab/>
        <w:t>(c)</w:t>
      </w:r>
      <w:r w:rsidRPr="008B1975">
        <w:tab/>
        <w:t>the driver;</w:t>
      </w:r>
    </w:p>
    <w:p w14:paraId="3766D410" w14:textId="77777777" w:rsidR="00790930" w:rsidRPr="008B1975" w:rsidRDefault="00790930" w:rsidP="001715D4">
      <w:pPr>
        <w:pStyle w:val="paragraph"/>
      </w:pPr>
      <w:r w:rsidRPr="008B1975">
        <w:tab/>
        <w:t>(d)</w:t>
      </w:r>
      <w:r w:rsidRPr="008B1975">
        <w:tab/>
        <w:t>areas that are consistently staffed.</w:t>
      </w:r>
    </w:p>
    <w:p w14:paraId="7EE24C0A" w14:textId="77777777" w:rsidR="00790930" w:rsidRPr="008B1975" w:rsidRDefault="00790930" w:rsidP="001715D4">
      <w:pPr>
        <w:pStyle w:val="subsection"/>
      </w:pPr>
      <w:r w:rsidRPr="008B1975">
        <w:tab/>
        <w:t>(2)</w:t>
      </w:r>
      <w:r w:rsidRPr="008B1975">
        <w:tab/>
        <w:t>The following table specifies conveyances, premises and infrastructure this section applies to.</w:t>
      </w:r>
    </w:p>
    <w:p w14:paraId="4A8C20DB" w14:textId="77777777" w:rsidR="00790930" w:rsidRPr="008B1975" w:rsidRDefault="00790930"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90930" w:rsidRPr="008B1975" w14:paraId="1D80DC51" w14:textId="77777777" w:rsidTr="00790930">
        <w:trPr>
          <w:trHeight w:val="300"/>
          <w:tblHeader/>
        </w:trPr>
        <w:tc>
          <w:tcPr>
            <w:tcW w:w="5000" w:type="pct"/>
            <w:gridSpan w:val="3"/>
            <w:tcBorders>
              <w:top w:val="single" w:sz="12" w:space="0" w:color="auto"/>
              <w:left w:val="nil"/>
              <w:bottom w:val="single" w:sz="6" w:space="0" w:color="auto"/>
              <w:right w:val="nil"/>
            </w:tcBorders>
            <w:hideMark/>
          </w:tcPr>
          <w:p w14:paraId="7CD549E5" w14:textId="77777777" w:rsidR="00790930" w:rsidRPr="008B1975" w:rsidRDefault="00790930" w:rsidP="001715D4">
            <w:pPr>
              <w:pStyle w:val="TableHeading"/>
            </w:pPr>
            <w:r w:rsidRPr="008B1975">
              <w:t>Application of this section</w:t>
            </w:r>
          </w:p>
        </w:tc>
      </w:tr>
      <w:tr w:rsidR="00790930" w:rsidRPr="008B1975" w14:paraId="1626D075" w14:textId="77777777" w:rsidTr="00CC36E0">
        <w:trPr>
          <w:trHeight w:val="300"/>
          <w:tblHeader/>
        </w:trPr>
        <w:tc>
          <w:tcPr>
            <w:tcW w:w="1667" w:type="pct"/>
            <w:tcBorders>
              <w:top w:val="single" w:sz="6" w:space="0" w:color="auto"/>
              <w:left w:val="nil"/>
              <w:bottom w:val="single" w:sz="12" w:space="0" w:color="auto"/>
              <w:right w:val="nil"/>
            </w:tcBorders>
            <w:hideMark/>
          </w:tcPr>
          <w:p w14:paraId="7390C84B" w14:textId="77777777" w:rsidR="00790930" w:rsidRPr="008B1975" w:rsidRDefault="00790930"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1460E048" w14:textId="77777777" w:rsidR="00790930" w:rsidRPr="008B1975" w:rsidRDefault="00790930"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6388E785" w14:textId="77777777" w:rsidR="00790930" w:rsidRPr="008B1975" w:rsidRDefault="00790930" w:rsidP="001715D4">
            <w:pPr>
              <w:pStyle w:val="TableHeading"/>
            </w:pPr>
            <w:r w:rsidRPr="008B1975">
              <w:t>Infrastructure</w:t>
            </w:r>
          </w:p>
        </w:tc>
      </w:tr>
      <w:tr w:rsidR="00790930" w:rsidRPr="008B1975" w14:paraId="36D0DD18" w14:textId="77777777" w:rsidTr="00CC36E0">
        <w:trPr>
          <w:trHeight w:val="300"/>
        </w:trPr>
        <w:tc>
          <w:tcPr>
            <w:tcW w:w="1667" w:type="pct"/>
            <w:tcBorders>
              <w:top w:val="single" w:sz="12" w:space="0" w:color="auto"/>
              <w:left w:val="nil"/>
              <w:bottom w:val="single" w:sz="12" w:space="0" w:color="auto"/>
              <w:right w:val="nil"/>
            </w:tcBorders>
            <w:hideMark/>
          </w:tcPr>
          <w:p w14:paraId="6A17C4A2" w14:textId="77777777" w:rsidR="00790930" w:rsidRPr="008B1975" w:rsidRDefault="00790930" w:rsidP="001715D4">
            <w:pPr>
              <w:pStyle w:val="Tabletext"/>
            </w:pPr>
            <w:r w:rsidRPr="008B1975">
              <w:t>The following:</w:t>
            </w:r>
          </w:p>
          <w:p w14:paraId="2CDF7A88" w14:textId="77777777" w:rsidR="00790930" w:rsidRPr="008B1975" w:rsidRDefault="00790930" w:rsidP="001715D4">
            <w:pPr>
              <w:pStyle w:val="Tablea"/>
            </w:pPr>
            <w:r w:rsidRPr="008B1975">
              <w:t>(a) buses;</w:t>
            </w:r>
          </w:p>
          <w:p w14:paraId="146C7AAB" w14:textId="77777777" w:rsidR="00790930" w:rsidRPr="008B1975" w:rsidRDefault="00790930" w:rsidP="001715D4">
            <w:pPr>
              <w:pStyle w:val="Tablea"/>
            </w:pPr>
            <w:r w:rsidRPr="008B1975">
              <w:t>(b) ferries;</w:t>
            </w:r>
          </w:p>
          <w:p w14:paraId="20AA9BA2" w14:textId="77777777" w:rsidR="00790930" w:rsidRPr="008B1975" w:rsidRDefault="00790930" w:rsidP="001715D4">
            <w:pPr>
              <w:pStyle w:val="Tablea"/>
            </w:pPr>
            <w:r w:rsidRPr="008B1975">
              <w:t>(c) rail cars;</w:t>
            </w:r>
          </w:p>
          <w:p w14:paraId="4C216174" w14:textId="77777777" w:rsidR="00790930" w:rsidRPr="008B1975" w:rsidRDefault="00790930" w:rsidP="001715D4">
            <w:pPr>
              <w:pStyle w:val="Tablea"/>
            </w:pPr>
            <w:r w:rsidRPr="008B1975">
              <w:t>(d) trams;</w:t>
            </w:r>
          </w:p>
          <w:p w14:paraId="37A4838C" w14:textId="77777777" w:rsidR="00790930" w:rsidRPr="008B1975" w:rsidRDefault="00790930" w:rsidP="001715D4">
            <w:pPr>
              <w:pStyle w:val="Tablea"/>
            </w:pPr>
            <w:r w:rsidRPr="008B1975">
              <w:t>(e) light rail</w:t>
            </w:r>
          </w:p>
        </w:tc>
        <w:tc>
          <w:tcPr>
            <w:tcW w:w="1667" w:type="pct"/>
            <w:tcBorders>
              <w:top w:val="single" w:sz="12" w:space="0" w:color="auto"/>
              <w:left w:val="nil"/>
              <w:bottom w:val="single" w:sz="12" w:space="0" w:color="auto"/>
              <w:right w:val="nil"/>
            </w:tcBorders>
            <w:hideMark/>
          </w:tcPr>
          <w:p w14:paraId="3D57549F" w14:textId="77777777" w:rsidR="00790930" w:rsidRPr="008B1975" w:rsidRDefault="00790930"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5A562B88" w14:textId="77777777" w:rsidR="00790930" w:rsidRPr="008B1975" w:rsidRDefault="00790930" w:rsidP="001715D4">
            <w:pPr>
              <w:pStyle w:val="Tabletext"/>
            </w:pPr>
            <w:r w:rsidRPr="008B1975">
              <w:t>None</w:t>
            </w:r>
          </w:p>
        </w:tc>
      </w:tr>
    </w:tbl>
    <w:p w14:paraId="05BEAFA6" w14:textId="452C1AD3" w:rsidR="007174EA" w:rsidRPr="008B1975" w:rsidRDefault="007174EA" w:rsidP="007174EA">
      <w:pPr>
        <w:pStyle w:val="notetext"/>
      </w:pPr>
      <w:r w:rsidRPr="008B1975">
        <w:t>Note:</w:t>
      </w:r>
      <w:r w:rsidRPr="008B1975">
        <w:tab/>
        <w:t>This section applies after the end of the 5-year transitional period to seating in existing conveyances: see section 35.26.</w:t>
      </w:r>
    </w:p>
    <w:p w14:paraId="7F65232E" w14:textId="77777777" w:rsidR="00790930" w:rsidRPr="008B1975" w:rsidRDefault="00790930" w:rsidP="001715D4">
      <w:pPr>
        <w:pStyle w:val="ActHead5"/>
        <w:outlineLvl w:val="9"/>
      </w:pPr>
      <w:r w:rsidRPr="008B1975">
        <w:t>31.4  Accommodation of assistance animals</w:t>
      </w:r>
    </w:p>
    <w:p w14:paraId="66039E89" w14:textId="77777777" w:rsidR="00790930" w:rsidRPr="008B1975" w:rsidRDefault="00790930" w:rsidP="001715D4">
      <w:pPr>
        <w:pStyle w:val="subsection"/>
      </w:pPr>
      <w:r w:rsidRPr="008B1975">
        <w:tab/>
        <w:t>(1)</w:t>
      </w:r>
      <w:r w:rsidRPr="008B1975">
        <w:tab/>
        <w:t>Operators</w:t>
      </w:r>
      <w:r w:rsidR="00EA36E0" w:rsidRPr="008B1975">
        <w:t xml:space="preserve"> and providers</w:t>
      </w:r>
      <w:r w:rsidRPr="008B1975">
        <w:t xml:space="preserve"> must ensure there is space under any priority seats to accommodate assistance animals.</w:t>
      </w:r>
    </w:p>
    <w:p w14:paraId="33E5CD4E" w14:textId="77777777" w:rsidR="00790930" w:rsidRPr="008B1975" w:rsidRDefault="00790930" w:rsidP="001715D4">
      <w:pPr>
        <w:pStyle w:val="subsection"/>
      </w:pPr>
      <w:r w:rsidRPr="008B1975">
        <w:tab/>
        <w:t>(2)</w:t>
      </w:r>
      <w:r w:rsidRPr="008B1975">
        <w:tab/>
        <w:t>The following table specifies conveyances, premises and infrastructure this section applies to.</w:t>
      </w:r>
    </w:p>
    <w:p w14:paraId="1201F385" w14:textId="77777777" w:rsidR="00790930" w:rsidRPr="008B1975" w:rsidRDefault="00790930" w:rsidP="001715D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790930" w:rsidRPr="008B1975" w14:paraId="2DD7D10F" w14:textId="77777777" w:rsidTr="00790930">
        <w:trPr>
          <w:trHeight w:val="300"/>
          <w:tblHeader/>
        </w:trPr>
        <w:tc>
          <w:tcPr>
            <w:tcW w:w="5000" w:type="pct"/>
            <w:gridSpan w:val="3"/>
            <w:tcBorders>
              <w:top w:val="single" w:sz="12" w:space="0" w:color="auto"/>
              <w:left w:val="nil"/>
              <w:bottom w:val="single" w:sz="6" w:space="0" w:color="auto"/>
              <w:right w:val="nil"/>
            </w:tcBorders>
            <w:hideMark/>
          </w:tcPr>
          <w:p w14:paraId="6FE7E20C" w14:textId="77777777" w:rsidR="00790930" w:rsidRPr="008B1975" w:rsidRDefault="00790930" w:rsidP="001715D4">
            <w:pPr>
              <w:pStyle w:val="TableHeading"/>
            </w:pPr>
            <w:r w:rsidRPr="008B1975">
              <w:t>Application of this section</w:t>
            </w:r>
          </w:p>
        </w:tc>
      </w:tr>
      <w:tr w:rsidR="00790930" w:rsidRPr="008B1975" w14:paraId="170A0770" w14:textId="77777777" w:rsidTr="00CC36E0">
        <w:trPr>
          <w:trHeight w:val="300"/>
          <w:tblHeader/>
        </w:trPr>
        <w:tc>
          <w:tcPr>
            <w:tcW w:w="1667" w:type="pct"/>
            <w:tcBorders>
              <w:top w:val="single" w:sz="6" w:space="0" w:color="auto"/>
              <w:left w:val="nil"/>
              <w:bottom w:val="single" w:sz="12" w:space="0" w:color="auto"/>
              <w:right w:val="nil"/>
            </w:tcBorders>
            <w:hideMark/>
          </w:tcPr>
          <w:p w14:paraId="4B7BF91A" w14:textId="77777777" w:rsidR="00790930" w:rsidRPr="008B1975" w:rsidRDefault="00790930" w:rsidP="001715D4">
            <w:pPr>
              <w:pStyle w:val="TableHeading"/>
            </w:pPr>
            <w:r w:rsidRPr="008B1975">
              <w:t>Conveyances</w:t>
            </w:r>
          </w:p>
        </w:tc>
        <w:tc>
          <w:tcPr>
            <w:tcW w:w="1667" w:type="pct"/>
            <w:tcBorders>
              <w:top w:val="single" w:sz="6" w:space="0" w:color="auto"/>
              <w:left w:val="nil"/>
              <w:bottom w:val="single" w:sz="12" w:space="0" w:color="auto"/>
              <w:right w:val="nil"/>
            </w:tcBorders>
            <w:hideMark/>
          </w:tcPr>
          <w:p w14:paraId="6E102D50" w14:textId="77777777" w:rsidR="00790930" w:rsidRPr="008B1975" w:rsidRDefault="00790930" w:rsidP="001715D4">
            <w:pPr>
              <w:pStyle w:val="TableHeading"/>
            </w:pPr>
            <w:r w:rsidRPr="008B1975">
              <w:t>Premises</w:t>
            </w:r>
          </w:p>
        </w:tc>
        <w:tc>
          <w:tcPr>
            <w:tcW w:w="1667" w:type="pct"/>
            <w:tcBorders>
              <w:top w:val="single" w:sz="6" w:space="0" w:color="auto"/>
              <w:left w:val="nil"/>
              <w:bottom w:val="single" w:sz="12" w:space="0" w:color="auto"/>
              <w:right w:val="nil"/>
            </w:tcBorders>
            <w:hideMark/>
          </w:tcPr>
          <w:p w14:paraId="7DA75237" w14:textId="77777777" w:rsidR="00790930" w:rsidRPr="008B1975" w:rsidRDefault="00790930" w:rsidP="001715D4">
            <w:pPr>
              <w:pStyle w:val="TableHeading"/>
            </w:pPr>
            <w:r w:rsidRPr="008B1975">
              <w:t>Infrastructure</w:t>
            </w:r>
          </w:p>
        </w:tc>
      </w:tr>
      <w:tr w:rsidR="00790930" w:rsidRPr="008B1975" w14:paraId="08EC24AC" w14:textId="77777777" w:rsidTr="00CC36E0">
        <w:trPr>
          <w:trHeight w:val="300"/>
        </w:trPr>
        <w:tc>
          <w:tcPr>
            <w:tcW w:w="1667" w:type="pct"/>
            <w:tcBorders>
              <w:top w:val="single" w:sz="12" w:space="0" w:color="auto"/>
              <w:left w:val="nil"/>
              <w:bottom w:val="single" w:sz="12" w:space="0" w:color="auto"/>
              <w:right w:val="nil"/>
            </w:tcBorders>
            <w:hideMark/>
          </w:tcPr>
          <w:p w14:paraId="76CC061C" w14:textId="77777777" w:rsidR="00790930" w:rsidRPr="008B1975" w:rsidRDefault="00790930" w:rsidP="001715D4">
            <w:pPr>
              <w:pStyle w:val="Tabletext"/>
            </w:pPr>
            <w:r w:rsidRPr="008B1975">
              <w:t>The following:</w:t>
            </w:r>
          </w:p>
          <w:p w14:paraId="0C1369BE" w14:textId="77777777" w:rsidR="00790930" w:rsidRPr="008B1975" w:rsidRDefault="00790930" w:rsidP="001715D4">
            <w:pPr>
              <w:pStyle w:val="Tablea"/>
            </w:pPr>
            <w:r w:rsidRPr="008B1975">
              <w:t>(a) buses;</w:t>
            </w:r>
          </w:p>
          <w:p w14:paraId="5FCC6461" w14:textId="77777777" w:rsidR="00790930" w:rsidRPr="008B1975" w:rsidRDefault="00790930" w:rsidP="001715D4">
            <w:pPr>
              <w:pStyle w:val="Tablea"/>
            </w:pPr>
            <w:r w:rsidRPr="008B1975">
              <w:t>(b) ferries;</w:t>
            </w:r>
          </w:p>
          <w:p w14:paraId="3F33CC95" w14:textId="77777777" w:rsidR="00790930" w:rsidRPr="008B1975" w:rsidRDefault="00790930" w:rsidP="001715D4">
            <w:pPr>
              <w:pStyle w:val="Tablea"/>
            </w:pPr>
            <w:r w:rsidRPr="008B1975">
              <w:t>(c) rail cars;</w:t>
            </w:r>
          </w:p>
          <w:p w14:paraId="413C46D2" w14:textId="77777777" w:rsidR="00790930" w:rsidRPr="008B1975" w:rsidRDefault="00790930" w:rsidP="001715D4">
            <w:pPr>
              <w:pStyle w:val="Tablea"/>
            </w:pPr>
            <w:r w:rsidRPr="008B1975">
              <w:t>(d) trams;</w:t>
            </w:r>
          </w:p>
          <w:p w14:paraId="4075C633" w14:textId="77777777" w:rsidR="00790930" w:rsidRPr="008B1975" w:rsidRDefault="00790930" w:rsidP="001715D4">
            <w:pPr>
              <w:pStyle w:val="Tablea"/>
            </w:pPr>
            <w:r w:rsidRPr="008B1975">
              <w:t>(e) light rail</w:t>
            </w:r>
          </w:p>
        </w:tc>
        <w:tc>
          <w:tcPr>
            <w:tcW w:w="1667" w:type="pct"/>
            <w:tcBorders>
              <w:top w:val="single" w:sz="12" w:space="0" w:color="auto"/>
              <w:left w:val="nil"/>
              <w:bottom w:val="single" w:sz="12" w:space="0" w:color="auto"/>
              <w:right w:val="nil"/>
            </w:tcBorders>
            <w:hideMark/>
          </w:tcPr>
          <w:p w14:paraId="01415930" w14:textId="77777777" w:rsidR="00790930" w:rsidRPr="008B1975" w:rsidRDefault="00790930" w:rsidP="001715D4">
            <w:pPr>
              <w:pStyle w:val="Tabletext"/>
            </w:pPr>
            <w:r w:rsidRPr="008B1975">
              <w:t>None</w:t>
            </w:r>
          </w:p>
        </w:tc>
        <w:tc>
          <w:tcPr>
            <w:tcW w:w="1667" w:type="pct"/>
            <w:tcBorders>
              <w:top w:val="single" w:sz="12" w:space="0" w:color="auto"/>
              <w:left w:val="nil"/>
              <w:bottom w:val="single" w:sz="12" w:space="0" w:color="auto"/>
              <w:right w:val="nil"/>
            </w:tcBorders>
            <w:hideMark/>
          </w:tcPr>
          <w:p w14:paraId="430744EE" w14:textId="77777777" w:rsidR="00790930" w:rsidRPr="008B1975" w:rsidRDefault="00790930" w:rsidP="001715D4">
            <w:pPr>
              <w:pStyle w:val="Tabletext"/>
            </w:pPr>
            <w:r w:rsidRPr="008B1975">
              <w:t>None</w:t>
            </w:r>
          </w:p>
        </w:tc>
      </w:tr>
    </w:tbl>
    <w:p w14:paraId="6647A0FD" w14:textId="77777777" w:rsidR="007174EA" w:rsidRPr="008B1975" w:rsidRDefault="007174EA" w:rsidP="007174EA">
      <w:pPr>
        <w:pStyle w:val="notetext"/>
      </w:pPr>
      <w:r w:rsidRPr="008B1975">
        <w:t>Note:</w:t>
      </w:r>
      <w:r w:rsidRPr="008B1975">
        <w:tab/>
        <w:t xml:space="preserve">This section applies after the end of the 5-year transitional period to seating in existing conveyances: see section 35.26. </w:t>
      </w:r>
    </w:p>
    <w:p w14:paraId="64F80730" w14:textId="77777777" w:rsidR="00F7321C" w:rsidRPr="008B1975" w:rsidRDefault="00F7321C" w:rsidP="00B366F8">
      <w:pPr>
        <w:pStyle w:val="ActHead6"/>
        <w:pageBreakBefore/>
      </w:pPr>
      <w:bookmarkStart w:id="359" w:name="_Toc197178992"/>
      <w:r w:rsidRPr="008B1975">
        <w:lastRenderedPageBreak/>
        <w:t>Schedule</w:t>
      </w:r>
      <w:r w:rsidR="00DF4A1C" w:rsidRPr="008B1975">
        <w:t> </w:t>
      </w:r>
      <w:r w:rsidRPr="008B1975">
        <w:t>32—</w:t>
      </w:r>
      <w:r w:rsidR="00DF4A1C" w:rsidRPr="008B1975">
        <w:t>Part 31A (Strategies and programs to prevent harassment or victimisation of persons with a disability) Amendments</w:t>
      </w:r>
      <w:bookmarkEnd w:id="359"/>
    </w:p>
    <w:p w14:paraId="1A38B141" w14:textId="77777777" w:rsidR="00DF4A1C" w:rsidRPr="008B1975" w:rsidRDefault="00DF4A1C" w:rsidP="00DF4A1C">
      <w:pPr>
        <w:pStyle w:val="ActHead9"/>
      </w:pPr>
      <w:bookmarkStart w:id="360" w:name="_Toc190851472"/>
      <w:bookmarkStart w:id="361" w:name="_Toc197178993"/>
      <w:r w:rsidRPr="008B1975">
        <w:t>Disability Standards for Accessible Public Transport 2002</w:t>
      </w:r>
      <w:bookmarkEnd w:id="360"/>
      <w:bookmarkEnd w:id="361"/>
    </w:p>
    <w:p w14:paraId="0BF4C4E9" w14:textId="77777777" w:rsidR="00481EE5" w:rsidRPr="008B1975" w:rsidRDefault="008E097B" w:rsidP="008E097B">
      <w:pPr>
        <w:pStyle w:val="ItemHead"/>
      </w:pPr>
      <w:bookmarkStart w:id="362" w:name="_Ref190424564"/>
      <w:r w:rsidRPr="008B1975">
        <w:t xml:space="preserve">1  </w:t>
      </w:r>
      <w:r w:rsidR="00481EE5" w:rsidRPr="008B1975">
        <w:t>After Part 31</w:t>
      </w:r>
      <w:bookmarkEnd w:id="362"/>
    </w:p>
    <w:p w14:paraId="4832DE42" w14:textId="77777777" w:rsidR="00DF4A1C" w:rsidRPr="008B1975" w:rsidRDefault="00DF4A1C" w:rsidP="00DF4A1C">
      <w:pPr>
        <w:pStyle w:val="Item"/>
      </w:pPr>
      <w:r w:rsidRPr="008B1975">
        <w:t>Insert:</w:t>
      </w:r>
    </w:p>
    <w:p w14:paraId="62856BFB" w14:textId="77777777" w:rsidR="00DF4A1C" w:rsidRPr="008B1975" w:rsidRDefault="00DF4A1C" w:rsidP="00DF4A1C">
      <w:pPr>
        <w:pStyle w:val="ActHead2"/>
        <w:outlineLvl w:val="9"/>
      </w:pPr>
      <w:r w:rsidRPr="008B1975">
        <w:t>Part</w:t>
      </w:r>
      <w:r w:rsidR="00DA3E5D" w:rsidRPr="008B1975">
        <w:t> </w:t>
      </w:r>
      <w:r w:rsidRPr="008B1975">
        <w:t>31A—Strategies and programs to prevent harassment or victimisation of persons with a disability</w:t>
      </w:r>
    </w:p>
    <w:p w14:paraId="338C6C81" w14:textId="77777777" w:rsidR="00DF4A1C" w:rsidRPr="008B1975" w:rsidRDefault="00DA3E5D" w:rsidP="00A01474">
      <w:pPr>
        <w:pStyle w:val="ActHead5"/>
        <w:outlineLvl w:val="9"/>
      </w:pPr>
      <w:bookmarkStart w:id="363" w:name="_Toc190851473"/>
      <w:r w:rsidRPr="008B1975">
        <w:t>31A.1  Strategies and programs to prevent harassment or victimisation of persons with a disability</w:t>
      </w:r>
      <w:bookmarkEnd w:id="363"/>
    </w:p>
    <w:p w14:paraId="2D2B4F0E" w14:textId="77777777" w:rsidR="00DA3E5D" w:rsidRPr="008B1975" w:rsidRDefault="00DA3E5D" w:rsidP="00DA3E5D">
      <w:pPr>
        <w:pStyle w:val="subsection"/>
      </w:pPr>
      <w:r w:rsidRPr="008B1975">
        <w:tab/>
        <w:t>(1)</w:t>
      </w:r>
      <w:r w:rsidRPr="008B1975">
        <w:tab/>
        <w:t>An operator or provider must develop and implement strategies and programs to prevent harassment or victimisation of a person with a disability on the ground of that person’s disability.</w:t>
      </w:r>
    </w:p>
    <w:p w14:paraId="71849CC8" w14:textId="77777777" w:rsidR="00481EE5" w:rsidRPr="008B1975" w:rsidRDefault="00DA3E5D" w:rsidP="00DA3E5D">
      <w:pPr>
        <w:pStyle w:val="subsection"/>
      </w:pPr>
      <w:r w:rsidRPr="008B1975">
        <w:tab/>
      </w:r>
      <w:bookmarkStart w:id="364" w:name="_Hlk197185066"/>
      <w:r w:rsidRPr="008B1975">
        <w:t>(2)</w:t>
      </w:r>
      <w:r w:rsidRPr="008B1975">
        <w:tab/>
        <w:t xml:space="preserve">Without limiting subsection (1), an operator or provider may implement strategies and programs </w:t>
      </w:r>
      <w:r w:rsidR="00481EE5" w:rsidRPr="008B1975">
        <w:t>directed at:</w:t>
      </w:r>
    </w:p>
    <w:p w14:paraId="077F968D" w14:textId="77777777" w:rsidR="00481EE5" w:rsidRPr="008B1975" w:rsidRDefault="00481EE5" w:rsidP="00481EE5">
      <w:pPr>
        <w:pStyle w:val="paragraph"/>
      </w:pPr>
      <w:r w:rsidRPr="008B1975">
        <w:tab/>
        <w:t>(a)</w:t>
      </w:r>
      <w:r w:rsidRPr="008B1975">
        <w:tab/>
        <w:t>ensuring that staff are aware of, and understand, the operator or provider’s policies, procedures and codes of conduct in relation to the harassment and victimisation of persons with a disability; and</w:t>
      </w:r>
    </w:p>
    <w:p w14:paraId="44BF564C" w14:textId="77777777" w:rsidR="00DA3E5D" w:rsidRPr="008B1975" w:rsidRDefault="00481EE5" w:rsidP="00481EE5">
      <w:pPr>
        <w:pStyle w:val="paragraph"/>
      </w:pPr>
      <w:r w:rsidRPr="008B1975">
        <w:tab/>
        <w:t>(b)</w:t>
      </w:r>
      <w:r w:rsidRPr="008B1975">
        <w:tab/>
        <w:t>training staff to detect, and deal with, harassment of persons with a disability in public transport settings.</w:t>
      </w:r>
    </w:p>
    <w:p w14:paraId="7B5E687D" w14:textId="77777777" w:rsidR="00481EE5" w:rsidRPr="008B1975" w:rsidRDefault="00481EE5" w:rsidP="00481EE5">
      <w:pPr>
        <w:pStyle w:val="subsection"/>
      </w:pPr>
      <w:r w:rsidRPr="008B1975">
        <w:tab/>
        <w:t>(3)</w:t>
      </w:r>
      <w:r w:rsidRPr="008B1975">
        <w:tab/>
        <w:t>The following table specifies which conveyances, premises and infrastructure this section applies to.</w:t>
      </w:r>
    </w:p>
    <w:p w14:paraId="6FDB7D2B" w14:textId="77777777" w:rsidR="00481EE5" w:rsidRPr="008B1975" w:rsidRDefault="00481EE5" w:rsidP="00481EE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81EE5" w:rsidRPr="008B1975" w14:paraId="70D8197D" w14:textId="77777777" w:rsidTr="00481EE5">
        <w:trPr>
          <w:trHeight w:val="300"/>
          <w:tblHeader/>
        </w:trPr>
        <w:tc>
          <w:tcPr>
            <w:tcW w:w="5000" w:type="pct"/>
            <w:gridSpan w:val="3"/>
            <w:tcBorders>
              <w:top w:val="single" w:sz="12" w:space="0" w:color="auto"/>
              <w:left w:val="nil"/>
              <w:bottom w:val="single" w:sz="6" w:space="0" w:color="auto"/>
              <w:right w:val="nil"/>
            </w:tcBorders>
            <w:hideMark/>
          </w:tcPr>
          <w:p w14:paraId="525DBAE7" w14:textId="77777777" w:rsidR="00481EE5" w:rsidRPr="008B1975" w:rsidRDefault="00481EE5" w:rsidP="00481EE5">
            <w:pPr>
              <w:pStyle w:val="TableHeading"/>
            </w:pPr>
            <w:r w:rsidRPr="008B1975">
              <w:t>Application of this section</w:t>
            </w:r>
          </w:p>
        </w:tc>
      </w:tr>
      <w:tr w:rsidR="00481EE5" w:rsidRPr="008B1975" w14:paraId="65D1FFB8" w14:textId="77777777" w:rsidTr="00CC36E0">
        <w:trPr>
          <w:trHeight w:val="300"/>
          <w:tblHeader/>
        </w:trPr>
        <w:tc>
          <w:tcPr>
            <w:tcW w:w="1667" w:type="pct"/>
            <w:tcBorders>
              <w:top w:val="single" w:sz="6" w:space="0" w:color="auto"/>
              <w:left w:val="nil"/>
              <w:bottom w:val="single" w:sz="12" w:space="0" w:color="auto"/>
              <w:right w:val="nil"/>
            </w:tcBorders>
            <w:hideMark/>
          </w:tcPr>
          <w:p w14:paraId="2D56CDFE" w14:textId="77777777" w:rsidR="00481EE5" w:rsidRPr="008B1975" w:rsidRDefault="00481EE5" w:rsidP="00481EE5">
            <w:pPr>
              <w:pStyle w:val="TableHeading"/>
            </w:pPr>
            <w:r w:rsidRPr="008B1975">
              <w:t>Conveyances</w:t>
            </w:r>
          </w:p>
        </w:tc>
        <w:tc>
          <w:tcPr>
            <w:tcW w:w="1667" w:type="pct"/>
            <w:tcBorders>
              <w:top w:val="single" w:sz="6" w:space="0" w:color="auto"/>
              <w:left w:val="nil"/>
              <w:bottom w:val="single" w:sz="12" w:space="0" w:color="auto"/>
              <w:right w:val="nil"/>
            </w:tcBorders>
            <w:hideMark/>
          </w:tcPr>
          <w:p w14:paraId="76294D3B" w14:textId="77777777" w:rsidR="00481EE5" w:rsidRPr="008B1975" w:rsidRDefault="00481EE5" w:rsidP="00481EE5">
            <w:pPr>
              <w:pStyle w:val="TableHeading"/>
            </w:pPr>
            <w:r w:rsidRPr="008B1975">
              <w:t>Premises</w:t>
            </w:r>
          </w:p>
        </w:tc>
        <w:tc>
          <w:tcPr>
            <w:tcW w:w="1667" w:type="pct"/>
            <w:tcBorders>
              <w:top w:val="single" w:sz="6" w:space="0" w:color="auto"/>
              <w:left w:val="nil"/>
              <w:bottom w:val="single" w:sz="12" w:space="0" w:color="auto"/>
              <w:right w:val="nil"/>
            </w:tcBorders>
            <w:hideMark/>
          </w:tcPr>
          <w:p w14:paraId="2984C6F9" w14:textId="77777777" w:rsidR="00481EE5" w:rsidRPr="008B1975" w:rsidRDefault="00481EE5" w:rsidP="00481EE5">
            <w:pPr>
              <w:pStyle w:val="TableHeading"/>
            </w:pPr>
            <w:r w:rsidRPr="008B1975">
              <w:t>Infrastructure</w:t>
            </w:r>
          </w:p>
        </w:tc>
      </w:tr>
      <w:tr w:rsidR="00481EE5" w:rsidRPr="008B1975" w14:paraId="1A0CC7B7" w14:textId="77777777" w:rsidTr="00CC36E0">
        <w:trPr>
          <w:trHeight w:val="300"/>
        </w:trPr>
        <w:tc>
          <w:tcPr>
            <w:tcW w:w="1667" w:type="pct"/>
            <w:tcBorders>
              <w:top w:val="single" w:sz="12" w:space="0" w:color="auto"/>
              <w:left w:val="nil"/>
              <w:bottom w:val="single" w:sz="12" w:space="0" w:color="auto"/>
              <w:right w:val="nil"/>
            </w:tcBorders>
            <w:hideMark/>
          </w:tcPr>
          <w:p w14:paraId="444C17B3" w14:textId="77777777" w:rsidR="00481EE5" w:rsidRPr="008B1975" w:rsidRDefault="00481EE5" w:rsidP="00481EE5">
            <w:pPr>
              <w:pStyle w:val="Tabletext"/>
            </w:pPr>
            <w:r w:rsidRPr="008B1975">
              <w:t>All</w:t>
            </w:r>
          </w:p>
        </w:tc>
        <w:tc>
          <w:tcPr>
            <w:tcW w:w="1667" w:type="pct"/>
            <w:tcBorders>
              <w:top w:val="single" w:sz="12" w:space="0" w:color="auto"/>
              <w:left w:val="nil"/>
              <w:bottom w:val="single" w:sz="12" w:space="0" w:color="auto"/>
              <w:right w:val="nil"/>
            </w:tcBorders>
            <w:hideMark/>
          </w:tcPr>
          <w:p w14:paraId="36361069" w14:textId="77777777" w:rsidR="00481EE5" w:rsidRPr="008B1975" w:rsidRDefault="00481EE5" w:rsidP="00481EE5">
            <w:pPr>
              <w:pStyle w:val="Tabletext"/>
            </w:pPr>
            <w:r w:rsidRPr="008B1975">
              <w:t>All</w:t>
            </w:r>
          </w:p>
        </w:tc>
        <w:tc>
          <w:tcPr>
            <w:tcW w:w="1667" w:type="pct"/>
            <w:tcBorders>
              <w:top w:val="single" w:sz="12" w:space="0" w:color="auto"/>
              <w:left w:val="nil"/>
              <w:bottom w:val="single" w:sz="12" w:space="0" w:color="auto"/>
              <w:right w:val="nil"/>
            </w:tcBorders>
            <w:hideMark/>
          </w:tcPr>
          <w:p w14:paraId="53205294" w14:textId="77777777" w:rsidR="00481EE5" w:rsidRPr="008B1975" w:rsidRDefault="00481EE5" w:rsidP="00481EE5">
            <w:pPr>
              <w:pStyle w:val="Tabletext"/>
            </w:pPr>
            <w:r w:rsidRPr="008B1975">
              <w:t>All</w:t>
            </w:r>
          </w:p>
        </w:tc>
      </w:tr>
    </w:tbl>
    <w:p w14:paraId="77568A0C" w14:textId="77777777" w:rsidR="007174EA" w:rsidRPr="008B1975" w:rsidRDefault="007174EA" w:rsidP="007174EA">
      <w:pPr>
        <w:pStyle w:val="notetext"/>
        <w:rPr>
          <w:color w:val="000000" w:themeColor="text1"/>
        </w:rPr>
      </w:pPr>
      <w:r w:rsidRPr="008B1975">
        <w:t>Note:</w:t>
      </w:r>
      <w:r w:rsidRPr="008B1975">
        <w:tab/>
        <w:t>This section applies after the end of the 5-year transitional period: see section 35.27.</w:t>
      </w:r>
    </w:p>
    <w:p w14:paraId="4DFAF501" w14:textId="77777777" w:rsidR="009B64F4" w:rsidRPr="008B1975" w:rsidRDefault="009B64F4" w:rsidP="009B64F4">
      <w:pPr>
        <w:pStyle w:val="ActHead6"/>
        <w:pageBreakBefore/>
        <w:rPr>
          <w:color w:val="000000" w:themeColor="text1"/>
        </w:rPr>
      </w:pPr>
      <w:bookmarkStart w:id="365" w:name="_Toc197178994"/>
      <w:bookmarkEnd w:id="364"/>
      <w:r w:rsidRPr="008B1975">
        <w:rPr>
          <w:color w:val="000000" w:themeColor="text1"/>
        </w:rPr>
        <w:lastRenderedPageBreak/>
        <w:t>Schedule 33—Miscellaneous amendments</w:t>
      </w:r>
      <w:bookmarkEnd w:id="365"/>
    </w:p>
    <w:p w14:paraId="2F9610F0" w14:textId="77777777" w:rsidR="009B64F4" w:rsidRPr="008B1975" w:rsidRDefault="009B64F4" w:rsidP="009B64F4">
      <w:pPr>
        <w:pStyle w:val="ActHead9"/>
        <w:rPr>
          <w:color w:val="000000" w:themeColor="text1"/>
        </w:rPr>
      </w:pPr>
      <w:bookmarkStart w:id="366" w:name="_Toc197178995"/>
      <w:r w:rsidRPr="008B1975">
        <w:rPr>
          <w:color w:val="000000" w:themeColor="text1"/>
        </w:rPr>
        <w:t>Disability Standards for Accessible Public Transport 2002</w:t>
      </w:r>
      <w:bookmarkEnd w:id="366"/>
    </w:p>
    <w:p w14:paraId="2B149E68" w14:textId="77777777" w:rsidR="009B64F4" w:rsidRPr="008B1975" w:rsidRDefault="008E097B" w:rsidP="009B64F4">
      <w:pPr>
        <w:pStyle w:val="ItemHead"/>
        <w:rPr>
          <w:color w:val="000000" w:themeColor="text1"/>
        </w:rPr>
      </w:pPr>
      <w:r w:rsidRPr="008B1975">
        <w:rPr>
          <w:color w:val="000000" w:themeColor="text1"/>
        </w:rPr>
        <w:t xml:space="preserve">1  </w:t>
      </w:r>
      <w:r w:rsidR="00D10493" w:rsidRPr="008B1975">
        <w:rPr>
          <w:color w:val="000000" w:themeColor="text1"/>
        </w:rPr>
        <w:t>Part 32</w:t>
      </w:r>
    </w:p>
    <w:p w14:paraId="510DBFBE" w14:textId="77777777" w:rsidR="00D10493" w:rsidRPr="008B1975" w:rsidRDefault="00D10493" w:rsidP="00D10493">
      <w:pPr>
        <w:pStyle w:val="Item"/>
        <w:rPr>
          <w:color w:val="000000" w:themeColor="text1"/>
        </w:rPr>
      </w:pPr>
      <w:r w:rsidRPr="008B1975">
        <w:rPr>
          <w:color w:val="000000" w:themeColor="text1"/>
        </w:rPr>
        <w:t>Repeal the Part.</w:t>
      </w:r>
    </w:p>
    <w:p w14:paraId="1781AC33" w14:textId="77777777" w:rsidR="00D10493" w:rsidRPr="008B1975" w:rsidRDefault="008E097B" w:rsidP="00D10493">
      <w:pPr>
        <w:pStyle w:val="ItemHead"/>
        <w:rPr>
          <w:color w:val="000000" w:themeColor="text1"/>
        </w:rPr>
      </w:pPr>
      <w:r w:rsidRPr="008B1975">
        <w:rPr>
          <w:color w:val="000000" w:themeColor="text1"/>
        </w:rPr>
        <w:t xml:space="preserve">2  </w:t>
      </w:r>
      <w:r w:rsidR="00D10493" w:rsidRPr="008B1975">
        <w:rPr>
          <w:color w:val="000000" w:themeColor="text1"/>
        </w:rPr>
        <w:t>Sections 33.1 and 33.2</w:t>
      </w:r>
    </w:p>
    <w:p w14:paraId="64B7E1A3" w14:textId="77777777" w:rsidR="00D10493" w:rsidRPr="008B1975" w:rsidRDefault="00D10493" w:rsidP="00D10493">
      <w:pPr>
        <w:pStyle w:val="Item"/>
        <w:rPr>
          <w:color w:val="000000" w:themeColor="text1"/>
        </w:rPr>
      </w:pPr>
      <w:r w:rsidRPr="008B1975">
        <w:rPr>
          <w:color w:val="000000" w:themeColor="text1"/>
        </w:rPr>
        <w:t>Repeal the sections.</w:t>
      </w:r>
    </w:p>
    <w:p w14:paraId="07E895E1" w14:textId="627CD90D" w:rsidR="001061F7" w:rsidRPr="008B1975" w:rsidRDefault="00D10493" w:rsidP="00D10493">
      <w:pPr>
        <w:pStyle w:val="ItemHead"/>
        <w:ind w:left="0" w:firstLine="0"/>
        <w:rPr>
          <w:color w:val="000000" w:themeColor="text1"/>
        </w:rPr>
      </w:pPr>
      <w:r w:rsidRPr="008B1975">
        <w:rPr>
          <w:color w:val="000000" w:themeColor="text1"/>
        </w:rPr>
        <w:t xml:space="preserve">3  </w:t>
      </w:r>
      <w:r w:rsidR="00B44656" w:rsidRPr="008B1975">
        <w:rPr>
          <w:color w:val="000000" w:themeColor="text1"/>
        </w:rPr>
        <w:t>Paragraph 33A.1(4)(a)</w:t>
      </w:r>
    </w:p>
    <w:p w14:paraId="6A9FB93D" w14:textId="4D7DA5EC" w:rsidR="00B44656" w:rsidRPr="008B1975" w:rsidRDefault="00B44656" w:rsidP="00B44656">
      <w:pPr>
        <w:pStyle w:val="Item"/>
      </w:pPr>
      <w:r w:rsidRPr="008B1975">
        <w:t>Repeal the paragraph, substitute:</w:t>
      </w:r>
    </w:p>
    <w:p w14:paraId="685321AE" w14:textId="1AD951CA" w:rsidR="00B44656" w:rsidRPr="008B1975" w:rsidRDefault="00B44656" w:rsidP="00D93658">
      <w:pPr>
        <w:pStyle w:val="paragraph"/>
      </w:pPr>
      <w:r w:rsidRPr="008B1975">
        <w:tab/>
        <w:t>(a)</w:t>
      </w:r>
      <w:r w:rsidRPr="008B1975">
        <w:tab/>
        <w:t>must consult with a committee with representatives from the Commonwealth, the States and the Territories that deals with transport policy; and</w:t>
      </w:r>
    </w:p>
    <w:p w14:paraId="5BE3F0CB" w14:textId="6EC03052" w:rsidR="00D10493" w:rsidRPr="008B1975" w:rsidRDefault="001061F7" w:rsidP="00D10493">
      <w:pPr>
        <w:pStyle w:val="ItemHead"/>
        <w:ind w:left="0" w:firstLine="0"/>
        <w:rPr>
          <w:color w:val="000000" w:themeColor="text1"/>
        </w:rPr>
      </w:pPr>
      <w:r w:rsidRPr="008B1975">
        <w:rPr>
          <w:color w:val="000000" w:themeColor="text1"/>
        </w:rPr>
        <w:t xml:space="preserve">4  </w:t>
      </w:r>
      <w:r w:rsidR="00D10493" w:rsidRPr="008B1975">
        <w:rPr>
          <w:color w:val="000000" w:themeColor="text1"/>
        </w:rPr>
        <w:t>Section 33A.4 (heading)</w:t>
      </w:r>
    </w:p>
    <w:p w14:paraId="529978A8" w14:textId="77777777" w:rsidR="00D10493" w:rsidRPr="008B1975" w:rsidRDefault="00D10493" w:rsidP="00D10493">
      <w:pPr>
        <w:pStyle w:val="Item"/>
        <w:rPr>
          <w:color w:val="000000" w:themeColor="text1"/>
        </w:rPr>
      </w:pPr>
      <w:r w:rsidRPr="008B1975">
        <w:rPr>
          <w:color w:val="000000" w:themeColor="text1"/>
        </w:rPr>
        <w:t>Omit “</w:t>
      </w:r>
      <w:r w:rsidRPr="008B1975">
        <w:rPr>
          <w:b/>
          <w:color w:val="000000" w:themeColor="text1"/>
        </w:rPr>
        <w:t>Appeals</w:t>
      </w:r>
      <w:r w:rsidRPr="008B1975">
        <w:rPr>
          <w:color w:val="000000" w:themeColor="text1"/>
        </w:rPr>
        <w:t>”, substitute “</w:t>
      </w:r>
      <w:r w:rsidRPr="008B1975">
        <w:rPr>
          <w:b/>
          <w:color w:val="000000" w:themeColor="text1"/>
        </w:rPr>
        <w:t>Review</w:t>
      </w:r>
      <w:r w:rsidRPr="008B1975">
        <w:rPr>
          <w:color w:val="000000" w:themeColor="text1"/>
        </w:rPr>
        <w:t>”.</w:t>
      </w:r>
    </w:p>
    <w:p w14:paraId="64B6A7DC" w14:textId="6EFBC396" w:rsidR="00D10493" w:rsidRPr="008B1975" w:rsidRDefault="00B44656" w:rsidP="00D10493">
      <w:pPr>
        <w:pStyle w:val="ItemHead"/>
        <w:ind w:left="0" w:firstLine="0"/>
        <w:rPr>
          <w:color w:val="000000" w:themeColor="text1"/>
        </w:rPr>
      </w:pPr>
      <w:r w:rsidRPr="008B1975">
        <w:rPr>
          <w:color w:val="000000" w:themeColor="text1"/>
        </w:rPr>
        <w:t>5</w:t>
      </w:r>
      <w:r w:rsidR="00D10493" w:rsidRPr="008B1975">
        <w:rPr>
          <w:color w:val="000000" w:themeColor="text1"/>
        </w:rPr>
        <w:t xml:space="preserve">  Section 33A.4 </w:t>
      </w:r>
    </w:p>
    <w:p w14:paraId="4E52932A" w14:textId="77777777" w:rsidR="00D10493" w:rsidRPr="008B1975" w:rsidRDefault="00D10493" w:rsidP="00D10493">
      <w:pPr>
        <w:pStyle w:val="Item"/>
        <w:rPr>
          <w:color w:val="000000" w:themeColor="text1"/>
        </w:rPr>
      </w:pPr>
      <w:r w:rsidRPr="008B1975">
        <w:rPr>
          <w:color w:val="000000" w:themeColor="text1"/>
        </w:rPr>
        <w:t>Omit “Appeals”, substitute “Review”.</w:t>
      </w:r>
    </w:p>
    <w:p w14:paraId="50E48FD8" w14:textId="4E7B2665" w:rsidR="00D10493" w:rsidRPr="008B1975" w:rsidRDefault="00B44656" w:rsidP="00D10493">
      <w:pPr>
        <w:pStyle w:val="ItemHead"/>
        <w:ind w:left="0" w:firstLine="0"/>
        <w:rPr>
          <w:color w:val="000000" w:themeColor="text1"/>
        </w:rPr>
      </w:pPr>
      <w:r w:rsidRPr="008B1975">
        <w:rPr>
          <w:color w:val="000000" w:themeColor="text1"/>
        </w:rPr>
        <w:t>6</w:t>
      </w:r>
      <w:r w:rsidR="00D10493" w:rsidRPr="008B1975">
        <w:rPr>
          <w:color w:val="000000" w:themeColor="text1"/>
        </w:rPr>
        <w:t xml:space="preserve">  Paragraphs 33A.5(1)(a) to (d)</w:t>
      </w:r>
    </w:p>
    <w:p w14:paraId="6B6F2649" w14:textId="77777777" w:rsidR="00D10493" w:rsidRPr="008B1975" w:rsidRDefault="00D10493" w:rsidP="00D10493">
      <w:pPr>
        <w:pStyle w:val="Item"/>
        <w:rPr>
          <w:color w:val="000000" w:themeColor="text1"/>
        </w:rPr>
      </w:pPr>
      <w:r w:rsidRPr="008B1975">
        <w:rPr>
          <w:color w:val="000000" w:themeColor="text1"/>
        </w:rPr>
        <w:t>Repeal the paragraphs, substitute:</w:t>
      </w:r>
    </w:p>
    <w:p w14:paraId="221CB00A" w14:textId="77777777" w:rsidR="00D10493" w:rsidRPr="008B1975" w:rsidRDefault="00D10493" w:rsidP="00D10493">
      <w:pPr>
        <w:pStyle w:val="paragraph"/>
        <w:rPr>
          <w:color w:val="000000" w:themeColor="text1"/>
        </w:rPr>
      </w:pPr>
      <w:r w:rsidRPr="008B1975">
        <w:rPr>
          <w:color w:val="000000" w:themeColor="text1"/>
        </w:rPr>
        <w:tab/>
        <w:t>(a)</w:t>
      </w:r>
      <w:r w:rsidRPr="008B1975">
        <w:rPr>
          <w:color w:val="000000" w:themeColor="text1"/>
        </w:rPr>
        <w:tab/>
        <w:t>containing a statement of reasons (within the meaning of the </w:t>
      </w:r>
      <w:r w:rsidRPr="008B1975">
        <w:rPr>
          <w:i/>
          <w:iCs/>
          <w:color w:val="000000" w:themeColor="text1"/>
        </w:rPr>
        <w:t>Administrative Review Tribunal Act 2024</w:t>
      </w:r>
      <w:r w:rsidRPr="008B1975">
        <w:rPr>
          <w:color w:val="000000" w:themeColor="text1"/>
        </w:rPr>
        <w:t>) for the decision; and</w:t>
      </w:r>
    </w:p>
    <w:p w14:paraId="419A2A4D" w14:textId="77777777" w:rsidR="00D10493" w:rsidRPr="008B1975" w:rsidRDefault="00D10493" w:rsidP="00D10493">
      <w:pPr>
        <w:pStyle w:val="paragraph"/>
        <w:rPr>
          <w:color w:val="000000" w:themeColor="text1"/>
        </w:rPr>
      </w:pPr>
      <w:r w:rsidRPr="008B1975">
        <w:rPr>
          <w:color w:val="000000" w:themeColor="text1"/>
          <w:szCs w:val="22"/>
        </w:rPr>
        <w:tab/>
        <w:t>(b)</w:t>
      </w:r>
      <w:r w:rsidRPr="008B1975">
        <w:rPr>
          <w:color w:val="000000" w:themeColor="text1"/>
          <w:szCs w:val="22"/>
        </w:rPr>
        <w:tab/>
        <w:t>containing a statement to the effect that, subject to that Act, application may be made to the Administrative Review Tribunal for a review of the decision to which the notice relates by or on behalf of any person or persons whose interests are affected by the decision.</w:t>
      </w:r>
    </w:p>
    <w:p w14:paraId="5255AE6D" w14:textId="46C282FB" w:rsidR="00D10493" w:rsidRPr="008B1975" w:rsidRDefault="001061F7" w:rsidP="00D10493">
      <w:pPr>
        <w:pStyle w:val="ItemHead"/>
        <w:rPr>
          <w:color w:val="000000" w:themeColor="text1"/>
        </w:rPr>
      </w:pPr>
      <w:r w:rsidRPr="008B1975">
        <w:rPr>
          <w:color w:val="000000" w:themeColor="text1"/>
        </w:rPr>
        <w:t>7</w:t>
      </w:r>
      <w:r w:rsidR="00D10493" w:rsidRPr="008B1975">
        <w:rPr>
          <w:color w:val="000000" w:themeColor="text1"/>
        </w:rPr>
        <w:t xml:space="preserve">  Paragraph 34.1(2)(</w:t>
      </w:r>
      <w:r w:rsidR="00721129" w:rsidRPr="008B1975">
        <w:rPr>
          <w:color w:val="000000" w:themeColor="text1"/>
        </w:rPr>
        <w:t>a</w:t>
      </w:r>
      <w:r w:rsidR="00D10493" w:rsidRPr="008B1975">
        <w:rPr>
          <w:color w:val="000000" w:themeColor="text1"/>
        </w:rPr>
        <w:t>)</w:t>
      </w:r>
    </w:p>
    <w:p w14:paraId="3C117F5D" w14:textId="76DE1AEB" w:rsidR="00D10493" w:rsidRPr="008B1975" w:rsidRDefault="00D10493" w:rsidP="00D10493">
      <w:pPr>
        <w:pStyle w:val="Item"/>
        <w:rPr>
          <w:color w:val="000000" w:themeColor="text1"/>
        </w:rPr>
      </w:pPr>
      <w:r w:rsidRPr="008B1975">
        <w:rPr>
          <w:color w:val="000000" w:themeColor="text1"/>
        </w:rPr>
        <w:t>Omit “Schedule 1”, substitute “these Standards”.</w:t>
      </w:r>
    </w:p>
    <w:p w14:paraId="411BFFFB" w14:textId="0DC2CD7A" w:rsidR="00D10493" w:rsidRPr="008B1975" w:rsidRDefault="001061F7" w:rsidP="00D10493">
      <w:pPr>
        <w:pStyle w:val="ItemHead"/>
        <w:rPr>
          <w:color w:val="000000" w:themeColor="text1"/>
        </w:rPr>
      </w:pPr>
      <w:r w:rsidRPr="008B1975">
        <w:rPr>
          <w:color w:val="000000" w:themeColor="text1"/>
        </w:rPr>
        <w:t>8</w:t>
      </w:r>
      <w:r w:rsidR="00D10493" w:rsidRPr="008B1975">
        <w:rPr>
          <w:color w:val="000000" w:themeColor="text1"/>
        </w:rPr>
        <w:t xml:space="preserve">  Schedule 1</w:t>
      </w:r>
    </w:p>
    <w:p w14:paraId="6A381CF1" w14:textId="77777777" w:rsidR="00D10493" w:rsidRPr="008B1975" w:rsidRDefault="00D10493" w:rsidP="00D10493">
      <w:pPr>
        <w:pStyle w:val="Item"/>
        <w:rPr>
          <w:color w:val="000000" w:themeColor="text1"/>
        </w:rPr>
      </w:pPr>
      <w:r w:rsidRPr="008B1975">
        <w:rPr>
          <w:color w:val="000000" w:themeColor="text1"/>
        </w:rPr>
        <w:t>Repeal the Schedule.</w:t>
      </w:r>
    </w:p>
    <w:p w14:paraId="05BB44D0" w14:textId="77777777" w:rsidR="007174EA" w:rsidRPr="008B1975" w:rsidRDefault="007174EA">
      <w:pPr>
        <w:spacing w:line="240" w:lineRule="auto"/>
        <w:rPr>
          <w:rFonts w:eastAsia="Times New Roman" w:cs="Times New Roman"/>
          <w:i/>
          <w:sz w:val="24"/>
          <w:lang w:eastAsia="en-AU"/>
        </w:rPr>
      </w:pPr>
      <w:r w:rsidRPr="008B1975">
        <w:br w:type="page"/>
      </w:r>
    </w:p>
    <w:p w14:paraId="7C4B8B51" w14:textId="77777777" w:rsidR="007174EA" w:rsidRPr="008B1975" w:rsidRDefault="007174EA" w:rsidP="007174EA">
      <w:pPr>
        <w:pStyle w:val="ActHead6"/>
        <w:pageBreakBefore/>
        <w:rPr>
          <w:rStyle w:val="CharAmSchText"/>
        </w:rPr>
      </w:pPr>
      <w:bookmarkStart w:id="367" w:name="_Toc190943480"/>
      <w:bookmarkStart w:id="368" w:name="_Toc197178996"/>
      <w:r w:rsidRPr="008B1975">
        <w:rPr>
          <w:rStyle w:val="CharAmSchNo"/>
        </w:rPr>
        <w:lastRenderedPageBreak/>
        <w:t>Schedule 34</w:t>
      </w:r>
      <w:r w:rsidRPr="008B1975">
        <w:t>—</w:t>
      </w:r>
      <w:r w:rsidRPr="008B1975">
        <w:rPr>
          <w:rStyle w:val="CharAmSchText"/>
        </w:rPr>
        <w:t>Application and transitional provisions</w:t>
      </w:r>
      <w:bookmarkEnd w:id="367"/>
      <w:bookmarkEnd w:id="368"/>
    </w:p>
    <w:p w14:paraId="792CA59F" w14:textId="77777777" w:rsidR="007174EA" w:rsidRPr="008B1975" w:rsidRDefault="007174EA" w:rsidP="007174EA">
      <w:pPr>
        <w:pStyle w:val="ActHead9"/>
      </w:pPr>
      <w:bookmarkStart w:id="369" w:name="_Toc190943481"/>
      <w:bookmarkStart w:id="370" w:name="_Toc197178997"/>
      <w:r w:rsidRPr="008B1975">
        <w:t>Disability Standards for Accessible Public Transport 2002</w:t>
      </w:r>
      <w:bookmarkEnd w:id="369"/>
      <w:bookmarkEnd w:id="370"/>
    </w:p>
    <w:p w14:paraId="40DAC710" w14:textId="77777777" w:rsidR="007174EA" w:rsidRPr="008B1975" w:rsidRDefault="007174EA" w:rsidP="007174EA">
      <w:pPr>
        <w:pStyle w:val="ItemHead"/>
      </w:pPr>
      <w:r w:rsidRPr="008B1975">
        <w:t>1  After Part 34</w:t>
      </w:r>
    </w:p>
    <w:p w14:paraId="241385DC" w14:textId="77777777" w:rsidR="007174EA" w:rsidRPr="008B1975" w:rsidRDefault="007174EA" w:rsidP="007174EA">
      <w:pPr>
        <w:pStyle w:val="Item"/>
      </w:pPr>
      <w:r w:rsidRPr="008B1975">
        <w:t>Insert:</w:t>
      </w:r>
    </w:p>
    <w:p w14:paraId="1C03029F" w14:textId="03B450A2" w:rsidR="007174EA" w:rsidRPr="008B1975" w:rsidRDefault="007174EA" w:rsidP="007174EA">
      <w:pPr>
        <w:pStyle w:val="ActHead2"/>
        <w:outlineLvl w:val="9"/>
      </w:pPr>
      <w:r w:rsidRPr="008B1975">
        <w:t xml:space="preserve">Part 35—Application of </w:t>
      </w:r>
      <w:r w:rsidR="00D93658" w:rsidRPr="008B1975">
        <w:t xml:space="preserve">the </w:t>
      </w:r>
      <w:r w:rsidRPr="008B1975">
        <w:t>Disability Standards for Accessible Public Transport Amendment 2025</w:t>
      </w:r>
    </w:p>
    <w:p w14:paraId="3A883BFE" w14:textId="0C0E2A3C" w:rsidR="007174EA" w:rsidRPr="008B1975" w:rsidRDefault="007174EA" w:rsidP="00F9683F">
      <w:pPr>
        <w:pStyle w:val="ActHead3"/>
        <w:outlineLvl w:val="9"/>
      </w:pPr>
      <w:r w:rsidRPr="008B1975">
        <w:t xml:space="preserve">Division </w:t>
      </w:r>
      <w:r w:rsidR="00DE6D8A" w:rsidRPr="008B1975">
        <w:t>35.</w:t>
      </w:r>
      <w:r w:rsidRPr="008B1975">
        <w:t>1—Preliminary</w:t>
      </w:r>
    </w:p>
    <w:p w14:paraId="17725BE3" w14:textId="77777777" w:rsidR="007174EA" w:rsidRPr="008B1975" w:rsidRDefault="007174EA" w:rsidP="007174EA">
      <w:pPr>
        <w:pStyle w:val="ActHead5"/>
        <w:outlineLvl w:val="9"/>
      </w:pPr>
      <w:r w:rsidRPr="008B1975">
        <w:t>35.1  Definitions for this Part</w:t>
      </w:r>
    </w:p>
    <w:p w14:paraId="193BDA6D" w14:textId="77777777" w:rsidR="007174EA" w:rsidRPr="008B1975" w:rsidRDefault="007174EA" w:rsidP="007174EA">
      <w:pPr>
        <w:pStyle w:val="subsection"/>
      </w:pPr>
      <w:r w:rsidRPr="008B1975">
        <w:tab/>
      </w:r>
      <w:r w:rsidRPr="008B1975">
        <w:tab/>
        <w:t>In this Part:</w:t>
      </w:r>
    </w:p>
    <w:p w14:paraId="28373B9A" w14:textId="77777777" w:rsidR="007174EA" w:rsidRPr="008B1975" w:rsidRDefault="007174EA" w:rsidP="007174EA">
      <w:pPr>
        <w:pStyle w:val="Definition"/>
      </w:pPr>
      <w:r w:rsidRPr="008B1975">
        <w:rPr>
          <w:b/>
          <w:i/>
        </w:rPr>
        <w:t>5</w:t>
      </w:r>
      <w:r w:rsidRPr="008B1975">
        <w:rPr>
          <w:b/>
          <w:i/>
        </w:rPr>
        <w:noBreakHyphen/>
        <w:t xml:space="preserve">year transitional period </w:t>
      </w:r>
      <w:r w:rsidRPr="008B1975">
        <w:t>means the period of 5 years beginning on the commencement day.</w:t>
      </w:r>
    </w:p>
    <w:p w14:paraId="69F638AB" w14:textId="77777777" w:rsidR="007174EA" w:rsidRPr="008B1975" w:rsidRDefault="007174EA" w:rsidP="007174EA">
      <w:pPr>
        <w:pStyle w:val="Definition"/>
      </w:pPr>
      <w:r w:rsidRPr="008B1975">
        <w:rPr>
          <w:b/>
          <w:i/>
        </w:rPr>
        <w:t>10</w:t>
      </w:r>
      <w:r w:rsidRPr="008B1975">
        <w:rPr>
          <w:b/>
          <w:i/>
        </w:rPr>
        <w:noBreakHyphen/>
        <w:t xml:space="preserve">year transitional period </w:t>
      </w:r>
      <w:r w:rsidRPr="008B1975">
        <w:t>means the period of 10 years beginning on the commencement day.</w:t>
      </w:r>
    </w:p>
    <w:p w14:paraId="25E8DB07" w14:textId="77777777" w:rsidR="007174EA" w:rsidRPr="008B1975" w:rsidRDefault="007174EA" w:rsidP="007174EA">
      <w:pPr>
        <w:pStyle w:val="Definition"/>
        <w:rPr>
          <w:i/>
        </w:rPr>
      </w:pPr>
      <w:r w:rsidRPr="008B1975">
        <w:rPr>
          <w:b/>
          <w:i/>
        </w:rPr>
        <w:t xml:space="preserve">amended Standards </w:t>
      </w:r>
      <w:r w:rsidRPr="008B1975">
        <w:t>means these Standards as amended by the</w:t>
      </w:r>
      <w:r w:rsidRPr="008B1975">
        <w:rPr>
          <w:b/>
        </w:rPr>
        <w:t xml:space="preserve"> </w:t>
      </w:r>
      <w:r w:rsidRPr="008B1975">
        <w:rPr>
          <w:i/>
        </w:rPr>
        <w:t>Disability Standards for Accessible Public Transport Amendment 2025.</w:t>
      </w:r>
    </w:p>
    <w:p w14:paraId="71276C63" w14:textId="77777777" w:rsidR="007174EA" w:rsidRPr="008B1975" w:rsidRDefault="007174EA" w:rsidP="007174EA">
      <w:pPr>
        <w:pStyle w:val="Definition"/>
      </w:pPr>
      <w:r w:rsidRPr="008B1975">
        <w:rPr>
          <w:b/>
          <w:i/>
        </w:rPr>
        <w:t>approach to market</w:t>
      </w:r>
      <w:r w:rsidRPr="008B1975">
        <w:t xml:space="preserve"> for a procurement means to seek written quotations or invite tenders as part of a procurement.</w:t>
      </w:r>
    </w:p>
    <w:p w14:paraId="107611CC" w14:textId="77777777" w:rsidR="007174EA" w:rsidRPr="008B1975" w:rsidRDefault="007174EA" w:rsidP="007174EA">
      <w:pPr>
        <w:pStyle w:val="Definition"/>
      </w:pPr>
      <w:r w:rsidRPr="008B1975">
        <w:rPr>
          <w:b/>
          <w:i/>
        </w:rPr>
        <w:t>commencement day</w:t>
      </w:r>
      <w:r w:rsidRPr="008B1975">
        <w:t xml:space="preserve"> means the day this section commences.</w:t>
      </w:r>
    </w:p>
    <w:p w14:paraId="1C956E18" w14:textId="77777777" w:rsidR="007174EA" w:rsidRPr="008B1975" w:rsidRDefault="007174EA" w:rsidP="007174EA">
      <w:pPr>
        <w:pStyle w:val="Definition"/>
      </w:pPr>
      <w:r w:rsidRPr="008B1975">
        <w:rPr>
          <w:b/>
          <w:i/>
        </w:rPr>
        <w:t xml:space="preserve">existing conveyances </w:t>
      </w:r>
      <w:r w:rsidRPr="008B1975">
        <w:t>means:</w:t>
      </w:r>
    </w:p>
    <w:p w14:paraId="2BAD3DED" w14:textId="4C3411EA" w:rsidR="007174EA" w:rsidRPr="008B1975" w:rsidRDefault="007174EA" w:rsidP="007174EA">
      <w:pPr>
        <w:pStyle w:val="paragraph"/>
      </w:pPr>
      <w:r w:rsidRPr="008B1975">
        <w:tab/>
        <w:t>(a)</w:t>
      </w:r>
      <w:r w:rsidRPr="008B1975">
        <w:tab/>
        <w:t>conveyances (except existing trains and trams) that are in service immediately before the commencement day, and that are not substantially refurbished or altered on and after that day;</w:t>
      </w:r>
      <w:r w:rsidR="00A32ED1" w:rsidRPr="008B1975">
        <w:t xml:space="preserve"> or</w:t>
      </w:r>
    </w:p>
    <w:p w14:paraId="302D7135" w14:textId="77777777" w:rsidR="007174EA" w:rsidRPr="008B1975" w:rsidRDefault="007174EA" w:rsidP="007174EA">
      <w:pPr>
        <w:pStyle w:val="paragraph"/>
      </w:pPr>
      <w:r w:rsidRPr="008B1975">
        <w:tab/>
        <w:t>(b)</w:t>
      </w:r>
      <w:r w:rsidRPr="008B1975">
        <w:tab/>
        <w:t>conveyances that:</w:t>
      </w:r>
    </w:p>
    <w:p w14:paraId="5A5CDC5D" w14:textId="77777777" w:rsidR="007174EA" w:rsidRPr="008B1975" w:rsidRDefault="007174EA" w:rsidP="007174EA">
      <w:pPr>
        <w:pStyle w:val="paragraphsub"/>
      </w:pPr>
      <w:r w:rsidRPr="008B1975">
        <w:tab/>
        <w:t>(i)</w:t>
      </w:r>
      <w:r w:rsidRPr="008B1975">
        <w:tab/>
        <w:t>entered into service on and after the commencement day; but</w:t>
      </w:r>
    </w:p>
    <w:p w14:paraId="377EBB05" w14:textId="77777777" w:rsidR="003C1438" w:rsidRPr="008B1975" w:rsidRDefault="007174EA" w:rsidP="007174EA">
      <w:pPr>
        <w:pStyle w:val="paragraphsub"/>
      </w:pPr>
      <w:r w:rsidRPr="008B1975">
        <w:tab/>
        <w:t>(ii)</w:t>
      </w:r>
      <w:r w:rsidRPr="008B1975">
        <w:tab/>
        <w:t>the design of those conveyances had been submitted in response to an approach to market for a procurement that occurred before commencement day.</w:t>
      </w:r>
    </w:p>
    <w:p w14:paraId="1A960FA1" w14:textId="77777777" w:rsidR="007174EA" w:rsidRPr="008B1975" w:rsidRDefault="007174EA" w:rsidP="007174EA">
      <w:pPr>
        <w:pStyle w:val="Definition"/>
      </w:pPr>
      <w:r w:rsidRPr="008B1975">
        <w:rPr>
          <w:b/>
          <w:i/>
        </w:rPr>
        <w:t xml:space="preserve">existing premises and infrastructure </w:t>
      </w:r>
      <w:r w:rsidRPr="008B1975">
        <w:t>means:</w:t>
      </w:r>
    </w:p>
    <w:p w14:paraId="09E25654" w14:textId="77777777" w:rsidR="007174EA" w:rsidRPr="008B1975" w:rsidRDefault="007174EA" w:rsidP="007174EA">
      <w:pPr>
        <w:pStyle w:val="paragraph"/>
      </w:pPr>
      <w:r w:rsidRPr="008B1975">
        <w:tab/>
        <w:t>(a)</w:t>
      </w:r>
      <w:r w:rsidRPr="008B1975">
        <w:tab/>
        <w:t>premises or infrastructure in use immediately before the commencement day and that are not substantially refurbished or altered on and after that day; or</w:t>
      </w:r>
    </w:p>
    <w:p w14:paraId="4B1688E4" w14:textId="77777777" w:rsidR="007174EA" w:rsidRPr="008B1975" w:rsidRDefault="007174EA" w:rsidP="007174EA">
      <w:pPr>
        <w:pStyle w:val="paragraph"/>
      </w:pPr>
      <w:r w:rsidRPr="008B1975">
        <w:tab/>
        <w:t>(b)</w:t>
      </w:r>
      <w:r w:rsidRPr="008B1975">
        <w:tab/>
        <w:t>premises or infrastructure that:</w:t>
      </w:r>
    </w:p>
    <w:p w14:paraId="3A8E6B65" w14:textId="77777777" w:rsidR="007174EA" w:rsidRPr="008B1975" w:rsidRDefault="007174EA" w:rsidP="007174EA">
      <w:pPr>
        <w:pStyle w:val="paragraphsub"/>
      </w:pPr>
      <w:r w:rsidRPr="008B1975">
        <w:tab/>
        <w:t>(i)</w:t>
      </w:r>
      <w:r w:rsidRPr="008B1975">
        <w:tab/>
        <w:t>had commenced being constructed</w:t>
      </w:r>
      <w:r w:rsidR="00F9683F" w:rsidRPr="008B1975">
        <w:t>,</w:t>
      </w:r>
      <w:r w:rsidRPr="008B1975">
        <w:t xml:space="preserve"> or substantially refurbished or altered</w:t>
      </w:r>
      <w:r w:rsidR="00F9683F" w:rsidRPr="008B1975">
        <w:t>,</w:t>
      </w:r>
      <w:r w:rsidRPr="008B1975">
        <w:t xml:space="preserve"> before the commencement day; but</w:t>
      </w:r>
    </w:p>
    <w:p w14:paraId="04BACFFF" w14:textId="77777777" w:rsidR="007174EA" w:rsidRPr="008B1975" w:rsidRDefault="007174EA" w:rsidP="007174EA">
      <w:pPr>
        <w:pStyle w:val="paragraphsub"/>
      </w:pPr>
      <w:r w:rsidRPr="008B1975">
        <w:tab/>
        <w:t>(ii)</w:t>
      </w:r>
      <w:r w:rsidRPr="008B1975">
        <w:tab/>
        <w:t>had not been completed by that day; or</w:t>
      </w:r>
    </w:p>
    <w:p w14:paraId="0DCA15FF" w14:textId="77777777" w:rsidR="007174EA" w:rsidRPr="008B1975" w:rsidRDefault="007174EA" w:rsidP="007174EA">
      <w:pPr>
        <w:pStyle w:val="paragraph"/>
      </w:pPr>
      <w:r w:rsidRPr="008B1975">
        <w:tab/>
        <w:t>(c)</w:t>
      </w:r>
      <w:r w:rsidRPr="008B1975">
        <w:tab/>
        <w:t>premises or infrastructure that:</w:t>
      </w:r>
    </w:p>
    <w:p w14:paraId="1CBA9F7F" w14:textId="77777777" w:rsidR="007174EA" w:rsidRPr="008B1975" w:rsidRDefault="007174EA" w:rsidP="007174EA">
      <w:pPr>
        <w:pStyle w:val="paragraphsub"/>
      </w:pPr>
      <w:r w:rsidRPr="008B1975">
        <w:tab/>
        <w:t>(i)</w:t>
      </w:r>
      <w:r w:rsidRPr="008B1975">
        <w:tab/>
        <w:t>had received a relevant approval to be constructed, or substantially refurbished or altered, before the commencement day; but</w:t>
      </w:r>
    </w:p>
    <w:p w14:paraId="3E858608" w14:textId="77777777" w:rsidR="007174EA" w:rsidRPr="008B1975" w:rsidRDefault="007174EA" w:rsidP="007174EA">
      <w:pPr>
        <w:pStyle w:val="paragraphsub"/>
      </w:pPr>
      <w:r w:rsidRPr="008B1975">
        <w:lastRenderedPageBreak/>
        <w:tab/>
        <w:t>(ii)</w:t>
      </w:r>
      <w:r w:rsidRPr="008B1975">
        <w:tab/>
        <w:t>the construction, or substantial refurbishment or alteration, had not commenced by that day.</w:t>
      </w:r>
    </w:p>
    <w:p w14:paraId="2373B1E8" w14:textId="77777777" w:rsidR="007174EA" w:rsidRPr="008B1975" w:rsidRDefault="007174EA" w:rsidP="007174EA">
      <w:pPr>
        <w:pStyle w:val="Definition"/>
      </w:pPr>
      <w:r w:rsidRPr="008B1975">
        <w:rPr>
          <w:b/>
          <w:i/>
        </w:rPr>
        <w:t>existing trains and trams</w:t>
      </w:r>
      <w:r w:rsidRPr="008B1975">
        <w:t xml:space="preserve"> means trains or trams that are in service immediately before the commencement day, and that have not been substantially refurbished or altered on and after that day.</w:t>
      </w:r>
    </w:p>
    <w:p w14:paraId="287CD252" w14:textId="77777777" w:rsidR="007174EA" w:rsidRPr="008B1975" w:rsidRDefault="007174EA" w:rsidP="007174EA">
      <w:pPr>
        <w:pStyle w:val="Definition"/>
      </w:pPr>
      <w:r w:rsidRPr="008B1975">
        <w:rPr>
          <w:b/>
          <w:i/>
        </w:rPr>
        <w:t>new conveyances</w:t>
      </w:r>
      <w:r w:rsidRPr="008B1975">
        <w:t xml:space="preserve"> means:</w:t>
      </w:r>
    </w:p>
    <w:p w14:paraId="579D60BD" w14:textId="77777777" w:rsidR="007174EA" w:rsidRPr="008B1975" w:rsidRDefault="007174EA" w:rsidP="007174EA">
      <w:pPr>
        <w:pStyle w:val="paragraph"/>
      </w:pPr>
      <w:r w:rsidRPr="008B1975">
        <w:tab/>
        <w:t>(a)</w:t>
      </w:r>
      <w:r w:rsidRPr="008B1975">
        <w:tab/>
        <w:t>conveyances that entered into service on and after the commencement day; or</w:t>
      </w:r>
    </w:p>
    <w:p w14:paraId="4B952167" w14:textId="77777777" w:rsidR="007174EA" w:rsidRPr="008B1975" w:rsidRDefault="007174EA" w:rsidP="007174EA">
      <w:pPr>
        <w:pStyle w:val="paragraph"/>
      </w:pPr>
      <w:r w:rsidRPr="008B1975">
        <w:tab/>
        <w:t>(b)</w:t>
      </w:r>
      <w:r w:rsidRPr="008B1975">
        <w:tab/>
        <w:t>conveyances in service immediately before the commencement day but were substantially refurbished or altered on and after that day.</w:t>
      </w:r>
    </w:p>
    <w:p w14:paraId="332F5817" w14:textId="77777777" w:rsidR="007174EA" w:rsidRPr="008B1975" w:rsidRDefault="007174EA" w:rsidP="007174EA">
      <w:pPr>
        <w:pStyle w:val="Definition"/>
      </w:pPr>
      <w:r w:rsidRPr="008B1975">
        <w:rPr>
          <w:b/>
          <w:i/>
        </w:rPr>
        <w:t xml:space="preserve">new premises and infrastructure </w:t>
      </w:r>
      <w:r w:rsidRPr="008B1975">
        <w:t>means premises or infrastructure constructed, or substantially refurbished or altered, on and after the commencement day.</w:t>
      </w:r>
    </w:p>
    <w:p w14:paraId="3A5344DF" w14:textId="77777777" w:rsidR="007174EA" w:rsidRPr="008B1975" w:rsidRDefault="007174EA" w:rsidP="007174EA">
      <w:pPr>
        <w:pStyle w:val="Definition"/>
      </w:pPr>
      <w:r w:rsidRPr="008B1975">
        <w:rPr>
          <w:b/>
          <w:i/>
        </w:rPr>
        <w:t>non</w:t>
      </w:r>
      <w:r w:rsidRPr="008B1975">
        <w:rPr>
          <w:b/>
          <w:i/>
        </w:rPr>
        <w:noBreakHyphen/>
        <w:t>amended Standards</w:t>
      </w:r>
      <w:r w:rsidRPr="008B1975">
        <w:t xml:space="preserve"> means these Standards as in force immediately before the commencement day.</w:t>
      </w:r>
    </w:p>
    <w:p w14:paraId="2785E2AC" w14:textId="77777777" w:rsidR="007174EA" w:rsidRPr="008B1975" w:rsidRDefault="007174EA" w:rsidP="007174EA">
      <w:pPr>
        <w:pStyle w:val="Definition"/>
      </w:pPr>
      <w:r w:rsidRPr="008B1975">
        <w:rPr>
          <w:b/>
          <w:i/>
        </w:rPr>
        <w:t>relevant approval</w:t>
      </w:r>
      <w:r w:rsidRPr="008B1975">
        <w:t>, in relation to premises or infrastructure, means an approval of a development application (however described) for the premises or infrastructure.</w:t>
      </w:r>
    </w:p>
    <w:p w14:paraId="5655BB26" w14:textId="77777777" w:rsidR="007174EA" w:rsidRPr="008B1975" w:rsidRDefault="007174EA" w:rsidP="007174EA">
      <w:pPr>
        <w:pStyle w:val="Definition"/>
      </w:pPr>
      <w:r w:rsidRPr="008B1975">
        <w:rPr>
          <w:b/>
          <w:i/>
        </w:rPr>
        <w:t xml:space="preserve">target date </w:t>
      </w:r>
      <w:r w:rsidRPr="008B1975">
        <w:t>means 31 December 2032.</w:t>
      </w:r>
    </w:p>
    <w:p w14:paraId="31F97267" w14:textId="77777777" w:rsidR="007174EA" w:rsidRPr="008B1975" w:rsidRDefault="007174EA" w:rsidP="007174EA">
      <w:pPr>
        <w:pStyle w:val="ActHead5"/>
        <w:outlineLvl w:val="9"/>
      </w:pPr>
      <w:bookmarkStart w:id="371" w:name="_Hlk191304465"/>
      <w:r w:rsidRPr="008B1975">
        <w:t>35.2  Application of amended Standards to existing trains and trams</w:t>
      </w:r>
    </w:p>
    <w:p w14:paraId="49A6ABD7" w14:textId="77777777" w:rsidR="007174EA" w:rsidRPr="008B1975" w:rsidRDefault="007174EA" w:rsidP="007174EA">
      <w:pPr>
        <w:pStyle w:val="subsection"/>
      </w:pPr>
      <w:r w:rsidRPr="008B1975">
        <w:tab/>
        <w:t>(1)</w:t>
      </w:r>
      <w:r w:rsidRPr="008B1975">
        <w:tab/>
        <w:t>Operators of existing trains and trams must comply with the amended Standards after the target date if those trains and trams are in service after that date.</w:t>
      </w:r>
    </w:p>
    <w:p w14:paraId="1A1B2974" w14:textId="553D56FB" w:rsidR="007174EA" w:rsidRPr="008B1975" w:rsidRDefault="007174EA" w:rsidP="007174EA">
      <w:pPr>
        <w:pStyle w:val="subsection"/>
      </w:pPr>
      <w:r w:rsidRPr="008B1975">
        <w:tab/>
        <w:t>(2)</w:t>
      </w:r>
      <w:r w:rsidRPr="008B1975">
        <w:tab/>
        <w:t>On and before the target date, operators of existing trains and trams must comply with the non</w:t>
      </w:r>
      <w:r w:rsidRPr="008B1975">
        <w:noBreakHyphen/>
        <w:t>amended Standards.</w:t>
      </w:r>
    </w:p>
    <w:p w14:paraId="1F121285" w14:textId="77777777" w:rsidR="007174EA" w:rsidRPr="008B1975" w:rsidRDefault="007174EA" w:rsidP="007174EA">
      <w:pPr>
        <w:pStyle w:val="subsection"/>
      </w:pPr>
      <w:r w:rsidRPr="008B1975">
        <w:tab/>
        <w:t>(3)</w:t>
      </w:r>
      <w:r w:rsidRPr="008B1975">
        <w:tab/>
        <w:t>For the purposes of subsection (2), if an operator of an existing train and tram complies with a provision of the amended Standards then the operator will be taken to comply with the corresponding provision of the non</w:t>
      </w:r>
      <w:r w:rsidRPr="008B1975">
        <w:noBreakHyphen/>
        <w:t>amended Standards.</w:t>
      </w:r>
    </w:p>
    <w:p w14:paraId="135D47D2" w14:textId="77777777" w:rsidR="007174EA" w:rsidRPr="008B1975" w:rsidRDefault="007174EA" w:rsidP="007174EA">
      <w:pPr>
        <w:pStyle w:val="subsection"/>
      </w:pPr>
      <w:r w:rsidRPr="008B1975">
        <w:tab/>
        <w:t>(4)</w:t>
      </w:r>
      <w:r w:rsidRPr="008B1975">
        <w:tab/>
        <w:t>This section is subject to what this Part otherwise provides for existing trains and trams.</w:t>
      </w:r>
    </w:p>
    <w:bookmarkEnd w:id="371"/>
    <w:p w14:paraId="11A4815F" w14:textId="77777777" w:rsidR="007174EA" w:rsidRPr="008B1975" w:rsidRDefault="007174EA" w:rsidP="007174EA">
      <w:pPr>
        <w:pStyle w:val="ActHead5"/>
        <w:outlineLvl w:val="9"/>
      </w:pPr>
      <w:r w:rsidRPr="008B1975">
        <w:t>35.3  The non</w:t>
      </w:r>
      <w:r w:rsidRPr="008B1975">
        <w:noBreakHyphen/>
        <w:t>amended Standards continue to apply to existing conveyances etc.</w:t>
      </w:r>
    </w:p>
    <w:p w14:paraId="6F03DA79" w14:textId="77777777" w:rsidR="007174EA" w:rsidRPr="008B1975" w:rsidRDefault="007174EA" w:rsidP="007174EA">
      <w:pPr>
        <w:pStyle w:val="subsection"/>
      </w:pPr>
      <w:r w:rsidRPr="008B1975">
        <w:tab/>
        <w:t>(1)</w:t>
      </w:r>
      <w:r w:rsidRPr="008B1975">
        <w:tab/>
        <w:t>Unless otherwise provided by this Part, the non</w:t>
      </w:r>
      <w:r w:rsidRPr="008B1975">
        <w:noBreakHyphen/>
        <w:t>amended Standards continue to apply, on and after the commencement day, to operators and providers of existing conveyances and existing premises and infrastructures.</w:t>
      </w:r>
    </w:p>
    <w:p w14:paraId="01E1404F" w14:textId="77777777" w:rsidR="007174EA" w:rsidRPr="008B1975" w:rsidRDefault="007174EA" w:rsidP="007174EA">
      <w:pPr>
        <w:pStyle w:val="notetext"/>
      </w:pPr>
      <w:r w:rsidRPr="008B1975">
        <w:t>Note 1:</w:t>
      </w:r>
      <w:r w:rsidRPr="008B1975">
        <w:tab/>
        <w:t xml:space="preserve">Section 7 of the </w:t>
      </w:r>
      <w:r w:rsidRPr="008B1975">
        <w:rPr>
          <w:i/>
        </w:rPr>
        <w:t>Acts Interpretation Act 1901</w:t>
      </w:r>
      <w:r w:rsidRPr="008B1975">
        <w:t xml:space="preserve"> preserves any liabilities or obligations that accrued or incurred before the commencement day. That section applies in relation to these Standards because of paragraph 13(1)(a) of the </w:t>
      </w:r>
      <w:r w:rsidRPr="008B1975">
        <w:rPr>
          <w:i/>
        </w:rPr>
        <w:t>Legislation Act 2003</w:t>
      </w:r>
      <w:r w:rsidRPr="008B1975">
        <w:t>.</w:t>
      </w:r>
    </w:p>
    <w:p w14:paraId="396CBCFD" w14:textId="77777777" w:rsidR="007174EA" w:rsidRPr="008B1975" w:rsidRDefault="007174EA" w:rsidP="007174EA">
      <w:pPr>
        <w:pStyle w:val="notetext"/>
      </w:pPr>
      <w:r w:rsidRPr="008B1975">
        <w:t>Note 2:</w:t>
      </w:r>
      <w:r w:rsidRPr="008B1975">
        <w:tab/>
        <w:t>An example of where this Part otherwise provides is the application of a provision of the amended Standards to existing premises and infrastructure after the end of the 5</w:t>
      </w:r>
      <w:r w:rsidRPr="008B1975">
        <w:noBreakHyphen/>
        <w:t>year transitional period.</w:t>
      </w:r>
    </w:p>
    <w:p w14:paraId="1B9B08C9" w14:textId="77777777" w:rsidR="007174EA" w:rsidRPr="008B1975" w:rsidRDefault="007174EA" w:rsidP="007174EA">
      <w:pPr>
        <w:pStyle w:val="subsection"/>
      </w:pPr>
      <w:r w:rsidRPr="008B1975">
        <w:tab/>
        <w:t>(2)</w:t>
      </w:r>
      <w:r w:rsidRPr="008B1975">
        <w:tab/>
        <w:t>For the purposes of subsection (1), if an operator or provider of:</w:t>
      </w:r>
    </w:p>
    <w:p w14:paraId="25ACCD74" w14:textId="77777777" w:rsidR="007174EA" w:rsidRPr="008B1975" w:rsidRDefault="007174EA" w:rsidP="007174EA">
      <w:pPr>
        <w:pStyle w:val="paragraph"/>
      </w:pPr>
      <w:r w:rsidRPr="008B1975">
        <w:tab/>
        <w:t>(a)</w:t>
      </w:r>
      <w:r w:rsidRPr="008B1975">
        <w:tab/>
        <w:t xml:space="preserve">an existing conveyance; or </w:t>
      </w:r>
    </w:p>
    <w:p w14:paraId="7152AB16" w14:textId="77777777" w:rsidR="007174EA" w:rsidRPr="008B1975" w:rsidRDefault="007174EA" w:rsidP="007174EA">
      <w:pPr>
        <w:pStyle w:val="paragraph"/>
      </w:pPr>
      <w:r w:rsidRPr="008B1975">
        <w:lastRenderedPageBreak/>
        <w:tab/>
        <w:t>(b)</w:t>
      </w:r>
      <w:r w:rsidRPr="008B1975">
        <w:tab/>
        <w:t>an existing premise and infrastructure;</w:t>
      </w:r>
    </w:p>
    <w:p w14:paraId="0B7A63EE" w14:textId="77777777" w:rsidR="007174EA" w:rsidRPr="008B1975" w:rsidRDefault="007174EA" w:rsidP="007174EA">
      <w:pPr>
        <w:pStyle w:val="subsection2"/>
      </w:pPr>
      <w:r w:rsidRPr="008B1975">
        <w:t>complies with a provision of the amended Standards then the operator will be taken to comply with the corresponding provision of the non</w:t>
      </w:r>
      <w:r w:rsidRPr="008B1975">
        <w:noBreakHyphen/>
        <w:t>amended Standards.</w:t>
      </w:r>
    </w:p>
    <w:p w14:paraId="65BC417A" w14:textId="77777777" w:rsidR="007174EA" w:rsidRPr="008B1975" w:rsidRDefault="007174EA" w:rsidP="007174EA">
      <w:pPr>
        <w:pStyle w:val="ActHead5"/>
        <w:outlineLvl w:val="9"/>
      </w:pPr>
      <w:r w:rsidRPr="008B1975">
        <w:t>35.4  This Part does not affect the application tables</w:t>
      </w:r>
    </w:p>
    <w:p w14:paraId="0228D3D8" w14:textId="07249694" w:rsidR="007174EA" w:rsidRPr="008B1975" w:rsidRDefault="007174EA" w:rsidP="007174EA">
      <w:pPr>
        <w:pStyle w:val="subsection"/>
      </w:pPr>
      <w:r w:rsidRPr="008B1975">
        <w:tab/>
      </w:r>
      <w:r w:rsidRPr="008B1975">
        <w:tab/>
        <w:t xml:space="preserve">To avoid doubt, this Part </w:t>
      </w:r>
      <w:r w:rsidR="006019DD" w:rsidRPr="008B1975">
        <w:t>is subject to</w:t>
      </w:r>
      <w:r w:rsidRPr="008B1975">
        <w:t xml:space="preserve"> the operation of </w:t>
      </w:r>
      <w:r w:rsidR="006317C5" w:rsidRPr="008B1975">
        <w:t>a</w:t>
      </w:r>
      <w:r w:rsidRPr="008B1975">
        <w:t xml:space="preserve"> table </w:t>
      </w:r>
      <w:r w:rsidR="00F9683F" w:rsidRPr="008B1975">
        <w:t xml:space="preserve">of the sort mentioned in section 1.7 </w:t>
      </w:r>
      <w:r w:rsidRPr="008B1975">
        <w:t>in a</w:t>
      </w:r>
      <w:r w:rsidR="006317C5" w:rsidRPr="008B1975">
        <w:t>ny</w:t>
      </w:r>
      <w:r w:rsidRPr="008B1975">
        <w:t xml:space="preserve"> provision of the amended Standard</w:t>
      </w:r>
      <w:r w:rsidR="00721129" w:rsidRPr="008B1975">
        <w:t>s</w:t>
      </w:r>
      <w:r w:rsidRPr="008B1975">
        <w:t>.</w:t>
      </w:r>
    </w:p>
    <w:p w14:paraId="7353B5DF" w14:textId="77777777" w:rsidR="007174EA" w:rsidRPr="008B1975" w:rsidRDefault="007174EA" w:rsidP="007174EA">
      <w:pPr>
        <w:pStyle w:val="notetext"/>
      </w:pPr>
      <w:r w:rsidRPr="008B1975">
        <w:t>Note:</w:t>
      </w:r>
      <w:r w:rsidRPr="008B1975">
        <w:tab/>
        <w:t>If this Part provides that a provision of the amended Standards applies to new premises and infrastructure, and the provision includes a table that states that the provision applies to “All, except premises to which the Premises Standards apply”, the provision does not apply to premises to which the Premises Standards apply.</w:t>
      </w:r>
    </w:p>
    <w:p w14:paraId="6D7512E3" w14:textId="4FB053D4" w:rsidR="007174EA" w:rsidRPr="008B1975" w:rsidRDefault="007174EA" w:rsidP="00F9683F">
      <w:pPr>
        <w:pStyle w:val="ActHead3"/>
        <w:outlineLvl w:val="9"/>
      </w:pPr>
      <w:r w:rsidRPr="008B1975">
        <w:t xml:space="preserve">Division </w:t>
      </w:r>
      <w:r w:rsidR="00DE6D8A" w:rsidRPr="008B1975">
        <w:t xml:space="preserve">35. </w:t>
      </w:r>
      <w:r w:rsidRPr="008B1975">
        <w:t>2—Application of specific amendments</w:t>
      </w:r>
    </w:p>
    <w:p w14:paraId="3F628E5E" w14:textId="77777777" w:rsidR="007174EA" w:rsidRPr="008B1975" w:rsidRDefault="007174EA" w:rsidP="007174EA">
      <w:pPr>
        <w:pStyle w:val="ActHead5"/>
        <w:outlineLvl w:val="9"/>
      </w:pPr>
      <w:r w:rsidRPr="008B1975">
        <w:t>35.5  Application of Part 2 amendments</w:t>
      </w:r>
    </w:p>
    <w:p w14:paraId="42FC8863" w14:textId="77777777" w:rsidR="007174EA" w:rsidRPr="008B1975" w:rsidRDefault="007174EA" w:rsidP="007174EA">
      <w:pPr>
        <w:pStyle w:val="subsection"/>
      </w:pPr>
      <w:r w:rsidRPr="008B1975">
        <w:tab/>
      </w:r>
      <w:r w:rsidRPr="008B1975">
        <w:tab/>
        <w:t>The following table provides for the application of certain</w:t>
      </w:r>
      <w:r w:rsidRPr="008B1975">
        <w:rPr>
          <w:i/>
        </w:rPr>
        <w:t xml:space="preserve"> </w:t>
      </w:r>
      <w:r w:rsidRPr="008B1975">
        <w:t>provisions of Part 2 of the amended Standards.</w:t>
      </w:r>
    </w:p>
    <w:p w14:paraId="6D090871"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15"/>
        <w:gridCol w:w="6484"/>
      </w:tblGrid>
      <w:tr w:rsidR="007174EA" w:rsidRPr="008B1975" w14:paraId="22DA881B" w14:textId="77777777" w:rsidTr="007174EA">
        <w:trPr>
          <w:trHeight w:val="300"/>
          <w:tblHeader/>
        </w:trPr>
        <w:tc>
          <w:tcPr>
            <w:tcW w:w="5000" w:type="pct"/>
            <w:gridSpan w:val="3"/>
            <w:tcBorders>
              <w:top w:val="single" w:sz="12" w:space="0" w:color="auto"/>
              <w:left w:val="nil"/>
              <w:bottom w:val="single" w:sz="6" w:space="0" w:color="auto"/>
              <w:right w:val="nil"/>
            </w:tcBorders>
            <w:shd w:val="clear" w:color="auto" w:fill="auto"/>
          </w:tcPr>
          <w:p w14:paraId="0E95C606" w14:textId="77777777" w:rsidR="007174EA" w:rsidRPr="008B1975" w:rsidRDefault="007174EA" w:rsidP="007174EA">
            <w:pPr>
              <w:pStyle w:val="TableHeading"/>
            </w:pPr>
            <w:r w:rsidRPr="008B1975">
              <w:t>Application of Part 2 amendments</w:t>
            </w:r>
          </w:p>
        </w:tc>
      </w:tr>
      <w:tr w:rsidR="007174EA" w:rsidRPr="008B1975" w14:paraId="3216B312" w14:textId="77777777" w:rsidTr="00B9444D">
        <w:trPr>
          <w:trHeight w:val="300"/>
          <w:tblHeader/>
        </w:trPr>
        <w:tc>
          <w:tcPr>
            <w:tcW w:w="369" w:type="pct"/>
            <w:tcBorders>
              <w:top w:val="single" w:sz="6" w:space="0" w:color="auto"/>
              <w:left w:val="nil"/>
              <w:bottom w:val="single" w:sz="6" w:space="0" w:color="auto"/>
              <w:right w:val="nil"/>
            </w:tcBorders>
            <w:shd w:val="clear" w:color="auto" w:fill="auto"/>
          </w:tcPr>
          <w:p w14:paraId="34A448EE" w14:textId="77777777" w:rsidR="007174EA" w:rsidRPr="008B1975" w:rsidRDefault="007174EA" w:rsidP="007174EA">
            <w:pPr>
              <w:pStyle w:val="TableHeading"/>
            </w:pPr>
            <w:r w:rsidRPr="008B1975">
              <w:t>Item</w:t>
            </w:r>
          </w:p>
        </w:tc>
        <w:tc>
          <w:tcPr>
            <w:tcW w:w="654" w:type="pct"/>
            <w:tcBorders>
              <w:top w:val="single" w:sz="6" w:space="0" w:color="auto"/>
              <w:left w:val="nil"/>
              <w:bottom w:val="single" w:sz="6" w:space="0" w:color="auto"/>
              <w:right w:val="nil"/>
            </w:tcBorders>
            <w:shd w:val="clear" w:color="auto" w:fill="auto"/>
            <w:hideMark/>
          </w:tcPr>
          <w:p w14:paraId="1D8E9320" w14:textId="77777777" w:rsidR="007174EA" w:rsidRPr="008B1975" w:rsidRDefault="007174EA" w:rsidP="007174EA">
            <w:pPr>
              <w:pStyle w:val="TableHeading"/>
            </w:pPr>
            <w:r w:rsidRPr="008B1975">
              <w:t>This provision…</w:t>
            </w:r>
          </w:p>
        </w:tc>
        <w:tc>
          <w:tcPr>
            <w:tcW w:w="3977" w:type="pct"/>
            <w:tcBorders>
              <w:top w:val="single" w:sz="6" w:space="0" w:color="auto"/>
              <w:left w:val="nil"/>
              <w:bottom w:val="single" w:sz="6" w:space="0" w:color="auto"/>
              <w:right w:val="nil"/>
            </w:tcBorders>
            <w:shd w:val="clear" w:color="auto" w:fill="auto"/>
            <w:hideMark/>
          </w:tcPr>
          <w:p w14:paraId="01AF031A" w14:textId="77777777" w:rsidR="007174EA" w:rsidRPr="008B1975" w:rsidRDefault="007174EA" w:rsidP="007174EA">
            <w:pPr>
              <w:pStyle w:val="TableHeading"/>
            </w:pPr>
            <w:r w:rsidRPr="008B1975">
              <w:t>applies…</w:t>
            </w:r>
          </w:p>
        </w:tc>
      </w:tr>
      <w:tr w:rsidR="007174EA" w:rsidRPr="008B1975" w14:paraId="39414ACF" w14:textId="77777777" w:rsidTr="00B9444D">
        <w:trPr>
          <w:trHeight w:val="50"/>
        </w:trPr>
        <w:tc>
          <w:tcPr>
            <w:tcW w:w="369" w:type="pct"/>
            <w:tcBorders>
              <w:top w:val="single" w:sz="6" w:space="0" w:color="auto"/>
              <w:left w:val="nil"/>
              <w:bottom w:val="single" w:sz="4" w:space="0" w:color="auto"/>
              <w:right w:val="nil"/>
            </w:tcBorders>
          </w:tcPr>
          <w:p w14:paraId="2BE07CFA" w14:textId="77777777" w:rsidR="007174EA" w:rsidRPr="008B1975" w:rsidRDefault="007174EA" w:rsidP="007174EA">
            <w:pPr>
              <w:pStyle w:val="Tabletext"/>
            </w:pPr>
            <w:r w:rsidRPr="008B1975">
              <w:t>1</w:t>
            </w:r>
          </w:p>
        </w:tc>
        <w:tc>
          <w:tcPr>
            <w:tcW w:w="654" w:type="pct"/>
            <w:tcBorders>
              <w:top w:val="single" w:sz="6" w:space="0" w:color="auto"/>
              <w:left w:val="nil"/>
              <w:bottom w:val="single" w:sz="4" w:space="0" w:color="auto"/>
              <w:right w:val="nil"/>
            </w:tcBorders>
          </w:tcPr>
          <w:p w14:paraId="5E275F94" w14:textId="77777777" w:rsidR="007174EA" w:rsidRPr="008B1975" w:rsidRDefault="007174EA" w:rsidP="007174EA">
            <w:pPr>
              <w:pStyle w:val="Tabletext"/>
            </w:pPr>
            <w:r w:rsidRPr="008B1975">
              <w:t>Section 2.5</w:t>
            </w:r>
          </w:p>
        </w:tc>
        <w:tc>
          <w:tcPr>
            <w:tcW w:w="3977" w:type="pct"/>
            <w:tcBorders>
              <w:top w:val="single" w:sz="6" w:space="0" w:color="auto"/>
              <w:left w:val="nil"/>
              <w:bottom w:val="single" w:sz="4" w:space="0" w:color="auto"/>
              <w:right w:val="nil"/>
            </w:tcBorders>
          </w:tcPr>
          <w:p w14:paraId="278AAC06" w14:textId="77777777" w:rsidR="007174EA" w:rsidRPr="008B1975" w:rsidRDefault="007174EA" w:rsidP="007174EA">
            <w:pPr>
              <w:pStyle w:val="Tablea"/>
            </w:pPr>
            <w:r w:rsidRPr="008B1975">
              <w:t>(a) on and after the commencement day to new premises and infrastructure; and</w:t>
            </w:r>
          </w:p>
          <w:p w14:paraId="0DF6344E" w14:textId="77777777" w:rsidR="007174EA" w:rsidRPr="008B1975" w:rsidRDefault="007174EA" w:rsidP="007174EA">
            <w:pPr>
              <w:pStyle w:val="Tablea"/>
            </w:pPr>
            <w:r w:rsidRPr="008B1975">
              <w:t>(b) on and after the commencement day to structures installed in existing premises and infrastructures on or after that day.</w:t>
            </w:r>
          </w:p>
        </w:tc>
      </w:tr>
      <w:tr w:rsidR="007174EA" w:rsidRPr="008B1975" w14:paraId="0DA64646" w14:textId="77777777" w:rsidTr="00B9444D">
        <w:trPr>
          <w:trHeight w:val="342"/>
        </w:trPr>
        <w:tc>
          <w:tcPr>
            <w:tcW w:w="369" w:type="pct"/>
            <w:tcBorders>
              <w:top w:val="single" w:sz="4" w:space="0" w:color="auto"/>
              <w:left w:val="nil"/>
              <w:bottom w:val="single" w:sz="4" w:space="0" w:color="auto"/>
              <w:right w:val="nil"/>
            </w:tcBorders>
          </w:tcPr>
          <w:p w14:paraId="18DFC310" w14:textId="77777777" w:rsidR="007174EA" w:rsidRPr="008B1975" w:rsidRDefault="007174EA" w:rsidP="007174EA">
            <w:pPr>
              <w:pStyle w:val="Tabletext"/>
            </w:pPr>
            <w:r w:rsidRPr="008B1975">
              <w:t>2</w:t>
            </w:r>
          </w:p>
        </w:tc>
        <w:tc>
          <w:tcPr>
            <w:tcW w:w="654" w:type="pct"/>
            <w:tcBorders>
              <w:top w:val="single" w:sz="4" w:space="0" w:color="auto"/>
              <w:left w:val="nil"/>
              <w:bottom w:val="single" w:sz="4" w:space="0" w:color="auto"/>
              <w:right w:val="nil"/>
            </w:tcBorders>
          </w:tcPr>
          <w:p w14:paraId="5B4B0AD0" w14:textId="77777777" w:rsidR="007174EA" w:rsidRPr="008B1975" w:rsidRDefault="007174EA" w:rsidP="007174EA">
            <w:pPr>
              <w:pStyle w:val="Tabletext"/>
            </w:pPr>
            <w:r w:rsidRPr="008B1975">
              <w:t>Subsection 2.6(1A)</w:t>
            </w:r>
          </w:p>
        </w:tc>
        <w:tc>
          <w:tcPr>
            <w:tcW w:w="3977" w:type="pct"/>
            <w:tcBorders>
              <w:top w:val="single" w:sz="4" w:space="0" w:color="auto"/>
              <w:left w:val="nil"/>
              <w:bottom w:val="single" w:sz="4" w:space="0" w:color="auto"/>
              <w:right w:val="nil"/>
            </w:tcBorders>
          </w:tcPr>
          <w:p w14:paraId="68EAAAC5" w14:textId="52486765" w:rsidR="007174EA" w:rsidRPr="008B1975" w:rsidRDefault="007174EA" w:rsidP="007174EA">
            <w:pPr>
              <w:pStyle w:val="Tablea"/>
            </w:pPr>
            <w:r w:rsidRPr="008B1975">
              <w:t>on and after the commencement day to new conveyances.</w:t>
            </w:r>
          </w:p>
        </w:tc>
      </w:tr>
      <w:tr w:rsidR="007174EA" w:rsidRPr="008B1975" w14:paraId="5B0618D8" w14:textId="77777777" w:rsidTr="00B9444D">
        <w:trPr>
          <w:trHeight w:val="810"/>
        </w:trPr>
        <w:tc>
          <w:tcPr>
            <w:tcW w:w="369" w:type="pct"/>
            <w:tcBorders>
              <w:top w:val="single" w:sz="4" w:space="0" w:color="auto"/>
              <w:left w:val="nil"/>
              <w:bottom w:val="single" w:sz="12" w:space="0" w:color="auto"/>
              <w:right w:val="nil"/>
            </w:tcBorders>
          </w:tcPr>
          <w:p w14:paraId="3EE2A4D3" w14:textId="77777777" w:rsidR="007174EA" w:rsidRPr="008B1975" w:rsidRDefault="007174EA" w:rsidP="007174EA">
            <w:pPr>
              <w:pStyle w:val="Tabletext"/>
            </w:pPr>
            <w:r w:rsidRPr="008B1975">
              <w:t>3</w:t>
            </w:r>
          </w:p>
        </w:tc>
        <w:tc>
          <w:tcPr>
            <w:tcW w:w="654" w:type="pct"/>
            <w:tcBorders>
              <w:top w:val="single" w:sz="4" w:space="0" w:color="auto"/>
              <w:left w:val="nil"/>
              <w:bottom w:val="single" w:sz="12" w:space="0" w:color="auto"/>
              <w:right w:val="nil"/>
            </w:tcBorders>
          </w:tcPr>
          <w:p w14:paraId="17DA11BD" w14:textId="77777777" w:rsidR="007174EA" w:rsidRPr="008B1975" w:rsidRDefault="007174EA" w:rsidP="007174EA">
            <w:pPr>
              <w:pStyle w:val="Tabletext"/>
            </w:pPr>
            <w:r w:rsidRPr="008B1975">
              <w:t>Subsection 2.6(1B)</w:t>
            </w:r>
          </w:p>
        </w:tc>
        <w:tc>
          <w:tcPr>
            <w:tcW w:w="3977" w:type="pct"/>
            <w:tcBorders>
              <w:top w:val="single" w:sz="4" w:space="0" w:color="auto"/>
              <w:left w:val="nil"/>
              <w:bottom w:val="single" w:sz="12" w:space="0" w:color="auto"/>
              <w:right w:val="nil"/>
            </w:tcBorders>
          </w:tcPr>
          <w:p w14:paraId="23E74665" w14:textId="77777777" w:rsidR="007174EA" w:rsidRPr="008B1975" w:rsidRDefault="007174EA" w:rsidP="007174EA">
            <w:pPr>
              <w:pStyle w:val="Tablea"/>
            </w:pPr>
            <w:r w:rsidRPr="008B1975">
              <w:t>(a) on and after the commencement day to new conveyances; and</w:t>
            </w:r>
          </w:p>
          <w:p w14:paraId="7A845626" w14:textId="77777777" w:rsidR="007174EA" w:rsidRPr="008B1975" w:rsidRDefault="007174EA" w:rsidP="007174EA">
            <w:pPr>
              <w:pStyle w:val="Tablea"/>
            </w:pPr>
            <w:r w:rsidRPr="008B1975">
              <w:t>(b) on and after the commencement day to objects or fixtures installed, on or after that day, that project into access paths in:</w:t>
            </w:r>
          </w:p>
          <w:p w14:paraId="41E9D841" w14:textId="77777777" w:rsidR="007174EA" w:rsidRPr="008B1975" w:rsidRDefault="007174EA" w:rsidP="007174EA">
            <w:pPr>
              <w:pStyle w:val="Tablei"/>
            </w:pPr>
            <w:r w:rsidRPr="008B1975">
              <w:t>(i) existing conveyances; and</w:t>
            </w:r>
          </w:p>
          <w:p w14:paraId="431A178B" w14:textId="77777777" w:rsidR="007174EA" w:rsidRPr="008B1975" w:rsidRDefault="007174EA" w:rsidP="007174EA">
            <w:pPr>
              <w:pStyle w:val="Tablei"/>
            </w:pPr>
            <w:r w:rsidRPr="008B1975">
              <w:t>(ii) existing trains and trams.</w:t>
            </w:r>
          </w:p>
        </w:tc>
      </w:tr>
    </w:tbl>
    <w:p w14:paraId="13F3FF26" w14:textId="77777777" w:rsidR="007174EA" w:rsidRPr="008B1975" w:rsidRDefault="007174EA" w:rsidP="007174EA">
      <w:pPr>
        <w:pStyle w:val="ActHead5"/>
        <w:outlineLvl w:val="9"/>
      </w:pPr>
      <w:r w:rsidRPr="008B1975">
        <w:t>35.6  Application of Part 3 amendments</w:t>
      </w:r>
    </w:p>
    <w:p w14:paraId="128FFEC5" w14:textId="77777777" w:rsidR="007174EA" w:rsidRPr="008B1975" w:rsidRDefault="007174EA" w:rsidP="007174EA">
      <w:pPr>
        <w:pStyle w:val="subsection"/>
      </w:pPr>
      <w:r w:rsidRPr="008B1975">
        <w:tab/>
      </w:r>
      <w:r w:rsidRPr="008B1975">
        <w:tab/>
        <w:t>The following table provides for the application of certain</w:t>
      </w:r>
      <w:r w:rsidRPr="008B1975">
        <w:rPr>
          <w:i/>
        </w:rPr>
        <w:t xml:space="preserve"> </w:t>
      </w:r>
      <w:r w:rsidRPr="008B1975">
        <w:t>provisions of Part 3 of the amended Standards.</w:t>
      </w:r>
    </w:p>
    <w:p w14:paraId="392D7441"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3"/>
        <w:gridCol w:w="1229"/>
        <w:gridCol w:w="6471"/>
      </w:tblGrid>
      <w:tr w:rsidR="007174EA" w:rsidRPr="008B1975" w14:paraId="49F1DB41" w14:textId="77777777" w:rsidTr="00B9444D">
        <w:trPr>
          <w:trHeight w:val="300"/>
          <w:tblHeader/>
        </w:trPr>
        <w:tc>
          <w:tcPr>
            <w:tcW w:w="5000" w:type="pct"/>
            <w:gridSpan w:val="3"/>
            <w:tcBorders>
              <w:top w:val="single" w:sz="12" w:space="0" w:color="auto"/>
              <w:left w:val="nil"/>
              <w:bottom w:val="single" w:sz="6" w:space="0" w:color="auto"/>
              <w:right w:val="nil"/>
            </w:tcBorders>
          </w:tcPr>
          <w:p w14:paraId="1FD1AD4B" w14:textId="77777777" w:rsidR="007174EA" w:rsidRPr="008B1975" w:rsidRDefault="007174EA" w:rsidP="007174EA">
            <w:pPr>
              <w:pStyle w:val="TableHeading"/>
            </w:pPr>
            <w:r w:rsidRPr="008B1975">
              <w:t>Application of Part 3 amendments</w:t>
            </w:r>
          </w:p>
        </w:tc>
      </w:tr>
      <w:tr w:rsidR="007174EA" w:rsidRPr="008B1975" w14:paraId="41884A14" w14:textId="77777777" w:rsidTr="00B9444D">
        <w:trPr>
          <w:trHeight w:val="300"/>
          <w:tblHeader/>
        </w:trPr>
        <w:tc>
          <w:tcPr>
            <w:tcW w:w="369" w:type="pct"/>
            <w:tcBorders>
              <w:top w:val="single" w:sz="6" w:space="0" w:color="auto"/>
              <w:left w:val="nil"/>
              <w:bottom w:val="single" w:sz="12" w:space="0" w:color="auto"/>
              <w:right w:val="nil"/>
            </w:tcBorders>
          </w:tcPr>
          <w:p w14:paraId="5E75319D"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50FD4E8B" w14:textId="77777777" w:rsidR="007174EA" w:rsidRPr="008B1975" w:rsidRDefault="007174EA" w:rsidP="007174EA">
            <w:pPr>
              <w:pStyle w:val="TableHeading"/>
            </w:pPr>
            <w:r w:rsidRPr="008B1975">
              <w:t>This provision…</w:t>
            </w:r>
          </w:p>
        </w:tc>
        <w:tc>
          <w:tcPr>
            <w:tcW w:w="3891" w:type="pct"/>
            <w:tcBorders>
              <w:top w:val="single" w:sz="6" w:space="0" w:color="auto"/>
              <w:left w:val="nil"/>
              <w:bottom w:val="single" w:sz="12" w:space="0" w:color="auto"/>
              <w:right w:val="nil"/>
            </w:tcBorders>
            <w:hideMark/>
          </w:tcPr>
          <w:p w14:paraId="20BB03AA" w14:textId="77777777" w:rsidR="007174EA" w:rsidRPr="008B1975" w:rsidRDefault="007174EA" w:rsidP="007174EA">
            <w:pPr>
              <w:pStyle w:val="TableHeading"/>
            </w:pPr>
            <w:r w:rsidRPr="008B1975">
              <w:t>applies…</w:t>
            </w:r>
          </w:p>
        </w:tc>
      </w:tr>
      <w:tr w:rsidR="007174EA" w:rsidRPr="008B1975" w14:paraId="3E89C677" w14:textId="77777777" w:rsidTr="00B9444D">
        <w:trPr>
          <w:trHeight w:val="50"/>
        </w:trPr>
        <w:tc>
          <w:tcPr>
            <w:tcW w:w="369" w:type="pct"/>
            <w:tcBorders>
              <w:top w:val="single" w:sz="12" w:space="0" w:color="auto"/>
              <w:left w:val="nil"/>
              <w:bottom w:val="single" w:sz="4" w:space="0" w:color="auto"/>
              <w:right w:val="nil"/>
            </w:tcBorders>
          </w:tcPr>
          <w:p w14:paraId="248EB962" w14:textId="77777777" w:rsidR="007174EA" w:rsidRPr="008B1975" w:rsidRDefault="007174EA" w:rsidP="007174EA">
            <w:pPr>
              <w:pStyle w:val="Tabletext"/>
            </w:pPr>
            <w:r w:rsidRPr="008B1975">
              <w:t>1</w:t>
            </w:r>
          </w:p>
        </w:tc>
        <w:tc>
          <w:tcPr>
            <w:tcW w:w="739" w:type="pct"/>
            <w:tcBorders>
              <w:top w:val="single" w:sz="12" w:space="0" w:color="auto"/>
              <w:left w:val="nil"/>
              <w:bottom w:val="single" w:sz="4" w:space="0" w:color="auto"/>
              <w:right w:val="nil"/>
            </w:tcBorders>
          </w:tcPr>
          <w:p w14:paraId="126AAF75" w14:textId="77777777" w:rsidR="007174EA" w:rsidRPr="008B1975" w:rsidRDefault="007174EA" w:rsidP="007174EA">
            <w:pPr>
              <w:pStyle w:val="Tabletext"/>
            </w:pPr>
            <w:r w:rsidRPr="008B1975">
              <w:t>Subsection 3.2(1)</w:t>
            </w:r>
          </w:p>
        </w:tc>
        <w:tc>
          <w:tcPr>
            <w:tcW w:w="3891" w:type="pct"/>
            <w:tcBorders>
              <w:top w:val="single" w:sz="12" w:space="0" w:color="auto"/>
              <w:left w:val="nil"/>
              <w:bottom w:val="single" w:sz="4" w:space="0" w:color="auto"/>
              <w:right w:val="nil"/>
            </w:tcBorders>
          </w:tcPr>
          <w:p w14:paraId="21D9E097" w14:textId="77777777" w:rsidR="007174EA" w:rsidRPr="008B1975" w:rsidRDefault="007174EA" w:rsidP="007174EA">
            <w:pPr>
              <w:pStyle w:val="Tabletext"/>
            </w:pPr>
            <w:r w:rsidRPr="008B1975">
              <w:t>on and after the commencement day to new conveyances.</w:t>
            </w:r>
          </w:p>
        </w:tc>
      </w:tr>
      <w:tr w:rsidR="007174EA" w:rsidRPr="008B1975" w14:paraId="3633AAD8" w14:textId="77777777" w:rsidTr="00B9444D">
        <w:trPr>
          <w:trHeight w:val="50"/>
        </w:trPr>
        <w:tc>
          <w:tcPr>
            <w:tcW w:w="369" w:type="pct"/>
            <w:tcBorders>
              <w:top w:val="single" w:sz="4" w:space="0" w:color="auto"/>
              <w:left w:val="nil"/>
              <w:bottom w:val="single" w:sz="4" w:space="0" w:color="auto"/>
              <w:right w:val="nil"/>
            </w:tcBorders>
          </w:tcPr>
          <w:p w14:paraId="468F9341" w14:textId="77777777" w:rsidR="007174EA" w:rsidRPr="008B1975" w:rsidRDefault="007174EA" w:rsidP="007174EA">
            <w:pPr>
              <w:pStyle w:val="Tabletext"/>
            </w:pPr>
            <w:r w:rsidRPr="008B1975">
              <w:t>2</w:t>
            </w:r>
          </w:p>
        </w:tc>
        <w:tc>
          <w:tcPr>
            <w:tcW w:w="739" w:type="pct"/>
            <w:tcBorders>
              <w:top w:val="single" w:sz="4" w:space="0" w:color="auto"/>
              <w:left w:val="nil"/>
              <w:bottom w:val="single" w:sz="4" w:space="0" w:color="auto"/>
              <w:right w:val="nil"/>
            </w:tcBorders>
          </w:tcPr>
          <w:p w14:paraId="0D10FE28" w14:textId="77777777" w:rsidR="007174EA" w:rsidRPr="008B1975" w:rsidRDefault="007174EA" w:rsidP="007174EA">
            <w:pPr>
              <w:pStyle w:val="Tabletext"/>
            </w:pPr>
            <w:r w:rsidRPr="008B1975">
              <w:t>Subsection 3.2(2)</w:t>
            </w:r>
          </w:p>
        </w:tc>
        <w:tc>
          <w:tcPr>
            <w:tcW w:w="3891" w:type="pct"/>
            <w:tcBorders>
              <w:top w:val="single" w:sz="4" w:space="0" w:color="auto"/>
              <w:left w:val="nil"/>
              <w:bottom w:val="single" w:sz="4" w:space="0" w:color="auto"/>
              <w:right w:val="nil"/>
            </w:tcBorders>
          </w:tcPr>
          <w:p w14:paraId="5FF2FA54" w14:textId="77777777" w:rsidR="007174EA" w:rsidRPr="008B1975" w:rsidRDefault="007174EA" w:rsidP="007174EA">
            <w:pPr>
              <w:pStyle w:val="Tablea"/>
            </w:pPr>
            <w:r w:rsidRPr="008B1975">
              <w:t>(a) on and after the commencement day to new conveyances; and</w:t>
            </w:r>
          </w:p>
          <w:p w14:paraId="077A5265" w14:textId="77777777" w:rsidR="007174EA" w:rsidRPr="008B1975" w:rsidRDefault="007174EA" w:rsidP="007174EA">
            <w:pPr>
              <w:pStyle w:val="Tablea"/>
            </w:pPr>
            <w:r w:rsidRPr="008B1975">
              <w:t>(b) on and after the commencement day to objects or fixtures installed, on and after that day, in manoeuvring areas in:</w:t>
            </w:r>
          </w:p>
          <w:p w14:paraId="7AB7930D" w14:textId="77777777" w:rsidR="007174EA" w:rsidRPr="008B1975" w:rsidRDefault="007174EA" w:rsidP="007174EA">
            <w:pPr>
              <w:pStyle w:val="Tablei"/>
            </w:pPr>
            <w:r w:rsidRPr="008B1975">
              <w:t>(i) existing conveyances; and</w:t>
            </w:r>
          </w:p>
          <w:p w14:paraId="6F9159EC" w14:textId="77777777" w:rsidR="007174EA" w:rsidRPr="008B1975" w:rsidRDefault="007174EA" w:rsidP="007174EA">
            <w:pPr>
              <w:pStyle w:val="Tablei"/>
            </w:pPr>
            <w:r w:rsidRPr="008B1975">
              <w:lastRenderedPageBreak/>
              <w:t>(ii) existing trains and trams.</w:t>
            </w:r>
          </w:p>
        </w:tc>
      </w:tr>
      <w:tr w:rsidR="007174EA" w:rsidRPr="008B1975" w14:paraId="061F664B" w14:textId="77777777" w:rsidTr="00B9444D">
        <w:trPr>
          <w:trHeight w:val="50"/>
        </w:trPr>
        <w:tc>
          <w:tcPr>
            <w:tcW w:w="369" w:type="pct"/>
            <w:tcBorders>
              <w:top w:val="single" w:sz="4" w:space="0" w:color="auto"/>
              <w:left w:val="nil"/>
              <w:bottom w:val="single" w:sz="12" w:space="0" w:color="auto"/>
              <w:right w:val="nil"/>
            </w:tcBorders>
          </w:tcPr>
          <w:p w14:paraId="772E00E6" w14:textId="77777777" w:rsidR="007174EA" w:rsidRPr="008B1975" w:rsidRDefault="007174EA" w:rsidP="007174EA">
            <w:pPr>
              <w:pStyle w:val="Tabletext"/>
            </w:pPr>
            <w:r w:rsidRPr="008B1975">
              <w:lastRenderedPageBreak/>
              <w:t>3</w:t>
            </w:r>
          </w:p>
        </w:tc>
        <w:tc>
          <w:tcPr>
            <w:tcW w:w="739" w:type="pct"/>
            <w:tcBorders>
              <w:top w:val="single" w:sz="4" w:space="0" w:color="auto"/>
              <w:left w:val="nil"/>
              <w:bottom w:val="single" w:sz="12" w:space="0" w:color="auto"/>
              <w:right w:val="nil"/>
            </w:tcBorders>
          </w:tcPr>
          <w:p w14:paraId="3AE56EFE" w14:textId="77777777" w:rsidR="007174EA" w:rsidRPr="008B1975" w:rsidRDefault="007174EA" w:rsidP="007174EA">
            <w:pPr>
              <w:pStyle w:val="Tabletext"/>
            </w:pPr>
            <w:r w:rsidRPr="008B1975">
              <w:t>Section 3.4</w:t>
            </w:r>
          </w:p>
        </w:tc>
        <w:tc>
          <w:tcPr>
            <w:tcW w:w="3891" w:type="pct"/>
            <w:tcBorders>
              <w:top w:val="single" w:sz="4" w:space="0" w:color="auto"/>
              <w:left w:val="nil"/>
              <w:bottom w:val="single" w:sz="12" w:space="0" w:color="auto"/>
              <w:right w:val="nil"/>
            </w:tcBorders>
          </w:tcPr>
          <w:p w14:paraId="11305451" w14:textId="36937247" w:rsidR="007174EA" w:rsidRPr="008B1975" w:rsidRDefault="007174EA" w:rsidP="00D93658">
            <w:pPr>
              <w:pStyle w:val="Tablea"/>
            </w:pPr>
            <w:r w:rsidRPr="008B1975">
              <w:t>on and after the commencement day to new conveyances</w:t>
            </w:r>
            <w:r w:rsidR="00721129" w:rsidRPr="008B1975">
              <w:t>.</w:t>
            </w:r>
          </w:p>
        </w:tc>
      </w:tr>
    </w:tbl>
    <w:p w14:paraId="58ECC468" w14:textId="77777777" w:rsidR="00055FDD" w:rsidRPr="008B1975" w:rsidRDefault="00055FDD" w:rsidP="00055FDD">
      <w:pPr>
        <w:spacing w:line="240" w:lineRule="auto"/>
        <w:rPr>
          <w:rFonts w:eastAsia="Times New Roman"/>
        </w:rPr>
      </w:pPr>
      <w:bookmarkStart w:id="372" w:name="_Hlk191462844"/>
    </w:p>
    <w:p w14:paraId="7DA40DEE" w14:textId="33965CDC" w:rsidR="007174EA" w:rsidRPr="008B1975" w:rsidRDefault="007174EA" w:rsidP="007174EA">
      <w:pPr>
        <w:pStyle w:val="ActHead5"/>
        <w:outlineLvl w:val="9"/>
      </w:pPr>
      <w:r w:rsidRPr="008B1975">
        <w:t>35.7  Application of Part 5 amendments</w:t>
      </w:r>
    </w:p>
    <w:p w14:paraId="19B756A1" w14:textId="77777777" w:rsidR="007174EA" w:rsidRPr="008B1975" w:rsidRDefault="007174EA" w:rsidP="007174EA">
      <w:pPr>
        <w:pStyle w:val="subsection"/>
      </w:pPr>
      <w:r w:rsidRPr="008B1975">
        <w:tab/>
      </w:r>
      <w:r w:rsidRPr="008B1975">
        <w:tab/>
        <w:t>The following table provides for the application of certain provisions of Part 5 of the amended Standards.</w:t>
      </w:r>
    </w:p>
    <w:p w14:paraId="29831902"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3"/>
        <w:gridCol w:w="1229"/>
        <w:gridCol w:w="6471"/>
      </w:tblGrid>
      <w:tr w:rsidR="007174EA" w:rsidRPr="008B1975" w14:paraId="6A24E487" w14:textId="77777777" w:rsidTr="00B9444D">
        <w:trPr>
          <w:trHeight w:val="300"/>
          <w:tblHeader/>
        </w:trPr>
        <w:tc>
          <w:tcPr>
            <w:tcW w:w="5000" w:type="pct"/>
            <w:gridSpan w:val="3"/>
            <w:tcBorders>
              <w:top w:val="single" w:sz="12" w:space="0" w:color="auto"/>
              <w:left w:val="nil"/>
              <w:bottom w:val="single" w:sz="6" w:space="0" w:color="auto"/>
              <w:right w:val="nil"/>
            </w:tcBorders>
          </w:tcPr>
          <w:p w14:paraId="2563363F" w14:textId="77777777" w:rsidR="007174EA" w:rsidRPr="008B1975" w:rsidRDefault="007174EA" w:rsidP="007174EA">
            <w:pPr>
              <w:pStyle w:val="TableHeading"/>
            </w:pPr>
            <w:r w:rsidRPr="008B1975">
              <w:t>Application of Part 5 amendments</w:t>
            </w:r>
          </w:p>
        </w:tc>
      </w:tr>
      <w:tr w:rsidR="007174EA" w:rsidRPr="008B1975" w14:paraId="132A07E4" w14:textId="77777777" w:rsidTr="00B9444D">
        <w:trPr>
          <w:trHeight w:val="300"/>
          <w:tblHeader/>
        </w:trPr>
        <w:tc>
          <w:tcPr>
            <w:tcW w:w="369" w:type="pct"/>
            <w:tcBorders>
              <w:top w:val="single" w:sz="6" w:space="0" w:color="auto"/>
              <w:left w:val="nil"/>
              <w:bottom w:val="single" w:sz="12" w:space="0" w:color="auto"/>
              <w:right w:val="nil"/>
            </w:tcBorders>
          </w:tcPr>
          <w:p w14:paraId="2460007D"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11FF6F0A" w14:textId="77777777" w:rsidR="007174EA" w:rsidRPr="008B1975" w:rsidRDefault="007174EA" w:rsidP="007174EA">
            <w:pPr>
              <w:pStyle w:val="TableHeading"/>
            </w:pPr>
            <w:r w:rsidRPr="008B1975">
              <w:t>This provision…</w:t>
            </w:r>
          </w:p>
        </w:tc>
        <w:tc>
          <w:tcPr>
            <w:tcW w:w="3891" w:type="pct"/>
            <w:tcBorders>
              <w:top w:val="single" w:sz="6" w:space="0" w:color="auto"/>
              <w:left w:val="nil"/>
              <w:bottom w:val="single" w:sz="12" w:space="0" w:color="auto"/>
              <w:right w:val="nil"/>
            </w:tcBorders>
            <w:hideMark/>
          </w:tcPr>
          <w:p w14:paraId="0F538BE2" w14:textId="77777777" w:rsidR="007174EA" w:rsidRPr="008B1975" w:rsidRDefault="007174EA" w:rsidP="007174EA">
            <w:pPr>
              <w:pStyle w:val="TableHeading"/>
            </w:pPr>
            <w:r w:rsidRPr="008B1975">
              <w:t>applies…</w:t>
            </w:r>
          </w:p>
        </w:tc>
      </w:tr>
      <w:tr w:rsidR="007174EA" w:rsidRPr="008B1975" w14:paraId="626C9A35" w14:textId="77777777" w:rsidTr="00B9444D">
        <w:trPr>
          <w:trHeight w:val="50"/>
        </w:trPr>
        <w:tc>
          <w:tcPr>
            <w:tcW w:w="369" w:type="pct"/>
            <w:tcBorders>
              <w:top w:val="single" w:sz="4" w:space="0" w:color="auto"/>
              <w:left w:val="nil"/>
              <w:bottom w:val="single" w:sz="12" w:space="0" w:color="auto"/>
              <w:right w:val="nil"/>
            </w:tcBorders>
          </w:tcPr>
          <w:p w14:paraId="4E7D5E70" w14:textId="77777777" w:rsidR="007174EA" w:rsidRPr="008B1975" w:rsidRDefault="007174EA" w:rsidP="007174EA">
            <w:pPr>
              <w:pStyle w:val="Tabletext"/>
            </w:pPr>
            <w:r w:rsidRPr="008B1975">
              <w:t>1</w:t>
            </w:r>
          </w:p>
        </w:tc>
        <w:tc>
          <w:tcPr>
            <w:tcW w:w="739" w:type="pct"/>
            <w:tcBorders>
              <w:top w:val="single" w:sz="4" w:space="0" w:color="auto"/>
              <w:left w:val="nil"/>
              <w:bottom w:val="single" w:sz="12" w:space="0" w:color="auto"/>
              <w:right w:val="nil"/>
            </w:tcBorders>
          </w:tcPr>
          <w:p w14:paraId="3A9CD9C3" w14:textId="77777777" w:rsidR="007174EA" w:rsidRPr="008B1975" w:rsidRDefault="007174EA" w:rsidP="007174EA">
            <w:pPr>
              <w:pStyle w:val="Tabletext"/>
            </w:pPr>
            <w:r w:rsidRPr="008B1975">
              <w:t>Subsection 5.1(2)</w:t>
            </w:r>
          </w:p>
        </w:tc>
        <w:tc>
          <w:tcPr>
            <w:tcW w:w="3891" w:type="pct"/>
            <w:tcBorders>
              <w:top w:val="single" w:sz="4" w:space="0" w:color="auto"/>
              <w:left w:val="nil"/>
              <w:bottom w:val="single" w:sz="12" w:space="0" w:color="auto"/>
              <w:right w:val="nil"/>
            </w:tcBorders>
          </w:tcPr>
          <w:p w14:paraId="2E5AD6F9" w14:textId="77777777" w:rsidR="007174EA" w:rsidRPr="008B1975" w:rsidRDefault="007174EA" w:rsidP="007174EA">
            <w:pPr>
              <w:pStyle w:val="Tablea"/>
            </w:pPr>
            <w:r w:rsidRPr="008B1975">
              <w:t>(a) on and after the commencement day to resting points installed on or after that day; and</w:t>
            </w:r>
          </w:p>
          <w:p w14:paraId="6DF5CCB8" w14:textId="77777777" w:rsidR="007174EA" w:rsidRPr="008B1975" w:rsidRDefault="007174EA" w:rsidP="007174EA">
            <w:pPr>
              <w:pStyle w:val="Tablea"/>
            </w:pPr>
            <w:r w:rsidRPr="008B1975">
              <w:t>(b) after the end of the 5</w:t>
            </w:r>
            <w:r w:rsidRPr="008B1975">
              <w:noBreakHyphen/>
              <w:t xml:space="preserve">year transitional period to resting points in existing premises and infrastructure that: </w:t>
            </w:r>
          </w:p>
          <w:p w14:paraId="09BBACE0" w14:textId="77777777" w:rsidR="007174EA" w:rsidRPr="008B1975" w:rsidRDefault="007174EA" w:rsidP="007174EA">
            <w:pPr>
              <w:pStyle w:val="Tablei"/>
            </w:pPr>
            <w:r w:rsidRPr="008B1975">
              <w:t xml:space="preserve">(i) existed before the commencement day; and </w:t>
            </w:r>
          </w:p>
          <w:p w14:paraId="7FE3D4EE" w14:textId="77777777" w:rsidR="007174EA" w:rsidRPr="008B1975" w:rsidRDefault="007174EA" w:rsidP="007174EA">
            <w:pPr>
              <w:pStyle w:val="Tablei"/>
            </w:pPr>
            <w:r w:rsidRPr="008B1975">
              <w:t>(ii) that remain in service after the end of that period.</w:t>
            </w:r>
          </w:p>
        </w:tc>
      </w:tr>
    </w:tbl>
    <w:bookmarkEnd w:id="372"/>
    <w:p w14:paraId="7B64C4E2" w14:textId="77777777" w:rsidR="007174EA" w:rsidRPr="008B1975" w:rsidRDefault="007174EA" w:rsidP="007174EA">
      <w:pPr>
        <w:pStyle w:val="ActHead5"/>
        <w:outlineLvl w:val="9"/>
      </w:pPr>
      <w:r w:rsidRPr="008B1975">
        <w:t>35.8  Application of Part 6 amendments</w:t>
      </w:r>
    </w:p>
    <w:p w14:paraId="63E205F0" w14:textId="77777777" w:rsidR="007174EA" w:rsidRPr="008B1975" w:rsidRDefault="007174EA" w:rsidP="007174EA">
      <w:pPr>
        <w:pStyle w:val="subsection"/>
      </w:pPr>
      <w:r w:rsidRPr="008B1975">
        <w:tab/>
      </w:r>
      <w:r w:rsidRPr="008B1975">
        <w:tab/>
        <w:t>The following table provides for the application of certain provisions of Part 6 of the amended Standards.</w:t>
      </w:r>
    </w:p>
    <w:p w14:paraId="710AC17E"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628BA999" w14:textId="77777777" w:rsidTr="007174EA">
        <w:trPr>
          <w:trHeight w:val="300"/>
          <w:tblHeader/>
        </w:trPr>
        <w:tc>
          <w:tcPr>
            <w:tcW w:w="5000" w:type="pct"/>
            <w:gridSpan w:val="3"/>
            <w:tcBorders>
              <w:top w:val="single" w:sz="12" w:space="0" w:color="auto"/>
              <w:left w:val="nil"/>
              <w:bottom w:val="single" w:sz="6" w:space="0" w:color="auto"/>
              <w:right w:val="nil"/>
            </w:tcBorders>
          </w:tcPr>
          <w:p w14:paraId="44AE01E6" w14:textId="77777777" w:rsidR="007174EA" w:rsidRPr="008B1975" w:rsidRDefault="007174EA" w:rsidP="007174EA">
            <w:pPr>
              <w:pStyle w:val="TableHeading"/>
            </w:pPr>
            <w:r w:rsidRPr="008B1975">
              <w:t>Application of Part 6 amendments</w:t>
            </w:r>
          </w:p>
        </w:tc>
      </w:tr>
      <w:tr w:rsidR="007174EA" w:rsidRPr="008B1975" w14:paraId="16727A8B" w14:textId="77777777" w:rsidTr="007174EA">
        <w:trPr>
          <w:trHeight w:val="300"/>
          <w:tblHeader/>
        </w:trPr>
        <w:tc>
          <w:tcPr>
            <w:tcW w:w="369" w:type="pct"/>
            <w:tcBorders>
              <w:top w:val="single" w:sz="6" w:space="0" w:color="auto"/>
              <w:left w:val="nil"/>
              <w:bottom w:val="single" w:sz="12" w:space="0" w:color="auto"/>
              <w:right w:val="nil"/>
            </w:tcBorders>
          </w:tcPr>
          <w:p w14:paraId="22F632A4"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5A01922C" w14:textId="77777777" w:rsidR="007174EA" w:rsidRPr="008B1975" w:rsidRDefault="007174EA" w:rsidP="007174EA">
            <w:pPr>
              <w:pStyle w:val="TableHeading"/>
            </w:pPr>
            <w:r w:rsidRPr="008B1975">
              <w:t>This provision…</w:t>
            </w:r>
          </w:p>
        </w:tc>
        <w:tc>
          <w:tcPr>
            <w:tcW w:w="3891" w:type="pct"/>
            <w:tcBorders>
              <w:top w:val="single" w:sz="6" w:space="0" w:color="auto"/>
              <w:left w:val="nil"/>
              <w:bottom w:val="single" w:sz="12" w:space="0" w:color="auto"/>
              <w:right w:val="nil"/>
            </w:tcBorders>
            <w:hideMark/>
          </w:tcPr>
          <w:p w14:paraId="09517E99" w14:textId="77777777" w:rsidR="007174EA" w:rsidRPr="008B1975" w:rsidRDefault="007174EA" w:rsidP="007174EA">
            <w:pPr>
              <w:pStyle w:val="TableHeading"/>
            </w:pPr>
            <w:r w:rsidRPr="008B1975">
              <w:t>applies…</w:t>
            </w:r>
          </w:p>
        </w:tc>
      </w:tr>
      <w:tr w:rsidR="007174EA" w:rsidRPr="008B1975" w14:paraId="07EC36E3" w14:textId="77777777" w:rsidTr="00F9683F">
        <w:trPr>
          <w:trHeight w:val="50"/>
        </w:trPr>
        <w:tc>
          <w:tcPr>
            <w:tcW w:w="369" w:type="pct"/>
            <w:tcBorders>
              <w:top w:val="single" w:sz="4" w:space="0" w:color="auto"/>
              <w:left w:val="nil"/>
              <w:bottom w:val="single" w:sz="12" w:space="0" w:color="auto"/>
              <w:right w:val="nil"/>
            </w:tcBorders>
          </w:tcPr>
          <w:p w14:paraId="40D3DA7F" w14:textId="77777777" w:rsidR="007174EA" w:rsidRPr="008B1975" w:rsidRDefault="007174EA" w:rsidP="007174EA">
            <w:pPr>
              <w:pStyle w:val="Tabletext"/>
            </w:pPr>
            <w:r w:rsidRPr="008B1975">
              <w:t>1</w:t>
            </w:r>
          </w:p>
        </w:tc>
        <w:tc>
          <w:tcPr>
            <w:tcW w:w="739" w:type="pct"/>
            <w:tcBorders>
              <w:top w:val="single" w:sz="4" w:space="0" w:color="auto"/>
              <w:left w:val="nil"/>
              <w:bottom w:val="single" w:sz="12" w:space="0" w:color="auto"/>
              <w:right w:val="nil"/>
            </w:tcBorders>
          </w:tcPr>
          <w:p w14:paraId="1A72163A" w14:textId="77777777" w:rsidR="007174EA" w:rsidRPr="008B1975" w:rsidRDefault="007174EA" w:rsidP="007174EA">
            <w:pPr>
              <w:pStyle w:val="Tabletext"/>
            </w:pPr>
            <w:r w:rsidRPr="008B1975">
              <w:t>Section 6.5</w:t>
            </w:r>
          </w:p>
        </w:tc>
        <w:tc>
          <w:tcPr>
            <w:tcW w:w="3891" w:type="pct"/>
            <w:tcBorders>
              <w:top w:val="single" w:sz="4" w:space="0" w:color="auto"/>
              <w:left w:val="nil"/>
              <w:bottom w:val="single" w:sz="12" w:space="0" w:color="auto"/>
              <w:right w:val="nil"/>
            </w:tcBorders>
          </w:tcPr>
          <w:p w14:paraId="25CB6B9D" w14:textId="77777777" w:rsidR="007174EA" w:rsidRPr="008B1975" w:rsidRDefault="007174EA" w:rsidP="007174EA">
            <w:pPr>
              <w:pStyle w:val="Tabletext"/>
            </w:pPr>
            <w:r w:rsidRPr="008B1975">
              <w:t>on and after the commencement day to gangways installed in existing infrastructure on or after that day.</w:t>
            </w:r>
          </w:p>
        </w:tc>
      </w:tr>
    </w:tbl>
    <w:p w14:paraId="0C025592" w14:textId="77777777" w:rsidR="007174EA" w:rsidRPr="008B1975" w:rsidRDefault="007174EA" w:rsidP="007174EA">
      <w:pPr>
        <w:pStyle w:val="ActHead5"/>
        <w:outlineLvl w:val="9"/>
      </w:pPr>
      <w:r w:rsidRPr="008B1975">
        <w:t>35.9  Application of Part 7 amendments</w:t>
      </w:r>
    </w:p>
    <w:p w14:paraId="509970DE" w14:textId="77777777" w:rsidR="007174EA" w:rsidRPr="008B1975" w:rsidRDefault="007174EA" w:rsidP="007174EA">
      <w:pPr>
        <w:pStyle w:val="subsection"/>
      </w:pPr>
      <w:r w:rsidRPr="008B1975">
        <w:tab/>
      </w:r>
      <w:r w:rsidRPr="008B1975">
        <w:tab/>
        <w:t>The following table provides for the application of certain provisions of Part 7 of the amended Standards.</w:t>
      </w:r>
    </w:p>
    <w:p w14:paraId="298BE2A5"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0C4C3A9C" w14:textId="77777777" w:rsidTr="007174EA">
        <w:trPr>
          <w:trHeight w:val="300"/>
          <w:tblHeader/>
        </w:trPr>
        <w:tc>
          <w:tcPr>
            <w:tcW w:w="5000" w:type="pct"/>
            <w:gridSpan w:val="3"/>
            <w:tcBorders>
              <w:top w:val="single" w:sz="12" w:space="0" w:color="auto"/>
              <w:left w:val="nil"/>
              <w:bottom w:val="single" w:sz="6" w:space="0" w:color="auto"/>
              <w:right w:val="nil"/>
            </w:tcBorders>
          </w:tcPr>
          <w:p w14:paraId="7682A04A" w14:textId="77777777" w:rsidR="007174EA" w:rsidRPr="008B1975" w:rsidRDefault="007174EA" w:rsidP="007174EA">
            <w:pPr>
              <w:pStyle w:val="TableHeading"/>
            </w:pPr>
            <w:r w:rsidRPr="008B1975">
              <w:t>Application of Part 7 amendments</w:t>
            </w:r>
          </w:p>
        </w:tc>
      </w:tr>
      <w:tr w:rsidR="007174EA" w:rsidRPr="008B1975" w14:paraId="10974C69" w14:textId="77777777" w:rsidTr="007174EA">
        <w:trPr>
          <w:trHeight w:val="300"/>
          <w:tblHeader/>
        </w:trPr>
        <w:tc>
          <w:tcPr>
            <w:tcW w:w="369" w:type="pct"/>
            <w:tcBorders>
              <w:top w:val="single" w:sz="6" w:space="0" w:color="auto"/>
              <w:left w:val="nil"/>
              <w:bottom w:val="single" w:sz="12" w:space="0" w:color="auto"/>
              <w:right w:val="nil"/>
            </w:tcBorders>
          </w:tcPr>
          <w:p w14:paraId="637132BC"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08B43BC1" w14:textId="77777777" w:rsidR="007174EA" w:rsidRPr="008B1975" w:rsidRDefault="007174EA" w:rsidP="007174EA">
            <w:pPr>
              <w:pStyle w:val="TableHeading"/>
            </w:pPr>
            <w:r w:rsidRPr="008B1975">
              <w:t>This provision…</w:t>
            </w:r>
          </w:p>
        </w:tc>
        <w:tc>
          <w:tcPr>
            <w:tcW w:w="3892" w:type="pct"/>
            <w:tcBorders>
              <w:top w:val="single" w:sz="6" w:space="0" w:color="auto"/>
              <w:left w:val="nil"/>
              <w:bottom w:val="single" w:sz="12" w:space="0" w:color="auto"/>
              <w:right w:val="nil"/>
            </w:tcBorders>
            <w:hideMark/>
          </w:tcPr>
          <w:p w14:paraId="05650C58" w14:textId="77777777" w:rsidR="007174EA" w:rsidRPr="008B1975" w:rsidRDefault="007174EA" w:rsidP="007174EA">
            <w:pPr>
              <w:pStyle w:val="TableHeading"/>
            </w:pPr>
            <w:r w:rsidRPr="008B1975">
              <w:t>applies…</w:t>
            </w:r>
          </w:p>
        </w:tc>
      </w:tr>
      <w:tr w:rsidR="007174EA" w:rsidRPr="008B1975" w14:paraId="17846B75" w14:textId="77777777" w:rsidTr="003D1A8C">
        <w:trPr>
          <w:trHeight w:val="50"/>
        </w:trPr>
        <w:tc>
          <w:tcPr>
            <w:tcW w:w="369" w:type="pct"/>
            <w:tcBorders>
              <w:top w:val="single" w:sz="4" w:space="0" w:color="auto"/>
              <w:left w:val="nil"/>
              <w:bottom w:val="single" w:sz="12" w:space="0" w:color="auto"/>
              <w:right w:val="nil"/>
            </w:tcBorders>
          </w:tcPr>
          <w:p w14:paraId="175B13B7" w14:textId="77777777" w:rsidR="007174EA" w:rsidRPr="008B1975" w:rsidRDefault="007174EA" w:rsidP="007174EA">
            <w:pPr>
              <w:pStyle w:val="Tabletext"/>
            </w:pPr>
            <w:r w:rsidRPr="008B1975">
              <w:t>1</w:t>
            </w:r>
          </w:p>
        </w:tc>
        <w:tc>
          <w:tcPr>
            <w:tcW w:w="739" w:type="pct"/>
            <w:tcBorders>
              <w:top w:val="single" w:sz="4" w:space="0" w:color="auto"/>
              <w:left w:val="nil"/>
              <w:bottom w:val="single" w:sz="12" w:space="0" w:color="auto"/>
              <w:right w:val="nil"/>
            </w:tcBorders>
          </w:tcPr>
          <w:p w14:paraId="1C101678" w14:textId="77777777" w:rsidR="007174EA" w:rsidRPr="008B1975" w:rsidRDefault="007174EA" w:rsidP="007174EA">
            <w:pPr>
              <w:pStyle w:val="Tabletext"/>
            </w:pPr>
            <w:r w:rsidRPr="008B1975">
              <w:t>Section 7.1</w:t>
            </w:r>
          </w:p>
        </w:tc>
        <w:tc>
          <w:tcPr>
            <w:tcW w:w="3892" w:type="pct"/>
            <w:tcBorders>
              <w:top w:val="single" w:sz="4" w:space="0" w:color="auto"/>
              <w:left w:val="nil"/>
              <w:bottom w:val="single" w:sz="12" w:space="0" w:color="auto"/>
              <w:right w:val="nil"/>
            </w:tcBorders>
          </w:tcPr>
          <w:p w14:paraId="303ABBE8" w14:textId="7439DC90" w:rsidR="007174EA" w:rsidRPr="008B1975" w:rsidRDefault="007174EA" w:rsidP="007174EA">
            <w:pPr>
              <w:pStyle w:val="Tablea"/>
            </w:pPr>
            <w:r w:rsidRPr="008B1975">
              <w:t xml:space="preserve">(a) on and after the commencement day to seating installed, and allocated spaces provided, </w:t>
            </w:r>
            <w:r w:rsidR="00721129" w:rsidRPr="008B1975">
              <w:t xml:space="preserve">in premises and infrastructure </w:t>
            </w:r>
            <w:r w:rsidRPr="008B1975">
              <w:t>on or after that day; and</w:t>
            </w:r>
          </w:p>
          <w:p w14:paraId="5847839A" w14:textId="6ACF74D3" w:rsidR="007174EA" w:rsidRPr="008B1975" w:rsidRDefault="007174EA" w:rsidP="007174EA">
            <w:pPr>
              <w:pStyle w:val="Tablea"/>
            </w:pPr>
            <w:r w:rsidRPr="008B1975">
              <w:t>(b) after the end of the 5</w:t>
            </w:r>
            <w:r w:rsidRPr="008B1975">
              <w:noBreakHyphen/>
              <w:t xml:space="preserve">year transitional period to seating and allocated spaces in existing </w:t>
            </w:r>
            <w:r w:rsidR="00721129" w:rsidRPr="008B1975">
              <w:t xml:space="preserve">premises and infrastructure </w:t>
            </w:r>
            <w:r w:rsidRPr="008B1975">
              <w:t>that:</w:t>
            </w:r>
          </w:p>
          <w:p w14:paraId="4A90A05C" w14:textId="77777777" w:rsidR="007174EA" w:rsidRPr="008B1975" w:rsidRDefault="007174EA" w:rsidP="007174EA">
            <w:pPr>
              <w:pStyle w:val="Tablei"/>
            </w:pPr>
            <w:r w:rsidRPr="008B1975">
              <w:t xml:space="preserve">(i) existed before the commencement day; and </w:t>
            </w:r>
          </w:p>
          <w:p w14:paraId="2964B51A" w14:textId="77777777" w:rsidR="007174EA" w:rsidRPr="008B1975" w:rsidRDefault="007174EA" w:rsidP="007174EA">
            <w:pPr>
              <w:pStyle w:val="Tablei"/>
            </w:pPr>
            <w:r w:rsidRPr="008B1975">
              <w:t>(ii) that remain in service after the end of that period.</w:t>
            </w:r>
          </w:p>
        </w:tc>
      </w:tr>
    </w:tbl>
    <w:p w14:paraId="02932D97" w14:textId="1D3AAD1C" w:rsidR="00FC2E53" w:rsidRPr="008B1975" w:rsidRDefault="007174EA" w:rsidP="00FC2E53">
      <w:pPr>
        <w:pStyle w:val="ActHead5"/>
        <w:outlineLvl w:val="9"/>
      </w:pPr>
      <w:r w:rsidRPr="008B1975">
        <w:lastRenderedPageBreak/>
        <w:t>35.10  Application of Part 8 amendments</w:t>
      </w:r>
    </w:p>
    <w:p w14:paraId="6348ACA8" w14:textId="58B1F541" w:rsidR="007174EA" w:rsidRPr="008B1975" w:rsidRDefault="007174EA" w:rsidP="007174EA">
      <w:pPr>
        <w:pStyle w:val="subsection"/>
      </w:pPr>
      <w:r w:rsidRPr="008B1975">
        <w:t>The following table provides for the application of certain provisions of Part 8 of the amended Standards.</w:t>
      </w:r>
    </w:p>
    <w:p w14:paraId="761488B7"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8"/>
        <w:gridCol w:w="1277"/>
        <w:gridCol w:w="6328"/>
      </w:tblGrid>
      <w:tr w:rsidR="007174EA" w:rsidRPr="008B1975" w14:paraId="4CD5ACCF" w14:textId="77777777" w:rsidTr="007174EA">
        <w:trPr>
          <w:trHeight w:val="300"/>
          <w:tblHeader/>
        </w:trPr>
        <w:tc>
          <w:tcPr>
            <w:tcW w:w="5000" w:type="pct"/>
            <w:gridSpan w:val="3"/>
            <w:tcBorders>
              <w:top w:val="single" w:sz="12" w:space="0" w:color="auto"/>
              <w:left w:val="nil"/>
              <w:bottom w:val="single" w:sz="6" w:space="0" w:color="auto"/>
              <w:right w:val="nil"/>
            </w:tcBorders>
          </w:tcPr>
          <w:p w14:paraId="0CCDC39A" w14:textId="77777777" w:rsidR="007174EA" w:rsidRPr="008B1975" w:rsidRDefault="007174EA" w:rsidP="007174EA">
            <w:pPr>
              <w:pStyle w:val="TableHeading"/>
            </w:pPr>
            <w:bookmarkStart w:id="373" w:name="_Hlk191632643"/>
            <w:r w:rsidRPr="008B1975">
              <w:t>Application of Part 8 amendments</w:t>
            </w:r>
          </w:p>
        </w:tc>
      </w:tr>
      <w:tr w:rsidR="007174EA" w:rsidRPr="008B1975" w14:paraId="69999FB7" w14:textId="77777777" w:rsidTr="007174EA">
        <w:trPr>
          <w:trHeight w:val="300"/>
          <w:tblHeader/>
        </w:trPr>
        <w:tc>
          <w:tcPr>
            <w:tcW w:w="426" w:type="pct"/>
            <w:tcBorders>
              <w:top w:val="single" w:sz="6" w:space="0" w:color="auto"/>
              <w:left w:val="nil"/>
              <w:bottom w:val="single" w:sz="12" w:space="0" w:color="auto"/>
              <w:right w:val="nil"/>
            </w:tcBorders>
          </w:tcPr>
          <w:p w14:paraId="3C534E14" w14:textId="77777777" w:rsidR="007174EA" w:rsidRPr="008B1975" w:rsidRDefault="007174EA" w:rsidP="007174EA">
            <w:pPr>
              <w:pStyle w:val="TableHeading"/>
            </w:pPr>
            <w:r w:rsidRPr="008B1975">
              <w:t>Item</w:t>
            </w:r>
          </w:p>
        </w:tc>
        <w:tc>
          <w:tcPr>
            <w:tcW w:w="768" w:type="pct"/>
            <w:tcBorders>
              <w:top w:val="single" w:sz="6" w:space="0" w:color="auto"/>
              <w:left w:val="nil"/>
              <w:bottom w:val="single" w:sz="12" w:space="0" w:color="auto"/>
              <w:right w:val="nil"/>
            </w:tcBorders>
            <w:hideMark/>
          </w:tcPr>
          <w:p w14:paraId="62E716AD" w14:textId="77777777" w:rsidR="007174EA" w:rsidRPr="008B1975" w:rsidRDefault="007174EA" w:rsidP="007174EA">
            <w:pPr>
              <w:pStyle w:val="TableHeading"/>
            </w:pPr>
            <w:r w:rsidRPr="008B1975">
              <w:t>This provision…</w:t>
            </w:r>
          </w:p>
        </w:tc>
        <w:tc>
          <w:tcPr>
            <w:tcW w:w="3806" w:type="pct"/>
            <w:tcBorders>
              <w:top w:val="single" w:sz="6" w:space="0" w:color="auto"/>
              <w:left w:val="nil"/>
              <w:bottom w:val="single" w:sz="12" w:space="0" w:color="auto"/>
              <w:right w:val="nil"/>
            </w:tcBorders>
            <w:hideMark/>
          </w:tcPr>
          <w:p w14:paraId="565DDAA4" w14:textId="77777777" w:rsidR="007174EA" w:rsidRPr="008B1975" w:rsidRDefault="007174EA" w:rsidP="007174EA">
            <w:pPr>
              <w:pStyle w:val="TableHeading"/>
            </w:pPr>
            <w:r w:rsidRPr="008B1975">
              <w:t>applies…</w:t>
            </w:r>
          </w:p>
        </w:tc>
      </w:tr>
      <w:tr w:rsidR="007174EA" w:rsidRPr="008B1975" w14:paraId="18FA2AB1" w14:textId="77777777" w:rsidTr="007174EA">
        <w:trPr>
          <w:trHeight w:val="50"/>
        </w:trPr>
        <w:tc>
          <w:tcPr>
            <w:tcW w:w="426" w:type="pct"/>
            <w:tcBorders>
              <w:top w:val="single" w:sz="4" w:space="0" w:color="auto"/>
              <w:left w:val="nil"/>
              <w:bottom w:val="single" w:sz="4" w:space="0" w:color="auto"/>
              <w:right w:val="nil"/>
            </w:tcBorders>
          </w:tcPr>
          <w:p w14:paraId="45911D07" w14:textId="543557CD" w:rsidR="007174EA" w:rsidRPr="008B1975" w:rsidRDefault="002103D9" w:rsidP="007174EA">
            <w:pPr>
              <w:pStyle w:val="Tabletext"/>
            </w:pPr>
            <w:r w:rsidRPr="008B1975">
              <w:t>1</w:t>
            </w:r>
          </w:p>
        </w:tc>
        <w:tc>
          <w:tcPr>
            <w:tcW w:w="768" w:type="pct"/>
            <w:tcBorders>
              <w:top w:val="single" w:sz="4" w:space="0" w:color="auto"/>
              <w:left w:val="nil"/>
              <w:bottom w:val="single" w:sz="4" w:space="0" w:color="auto"/>
              <w:right w:val="nil"/>
            </w:tcBorders>
          </w:tcPr>
          <w:p w14:paraId="6B135E72" w14:textId="77777777" w:rsidR="007174EA" w:rsidRPr="008B1975" w:rsidRDefault="007174EA" w:rsidP="007174EA">
            <w:pPr>
              <w:pStyle w:val="Tabletext"/>
            </w:pPr>
            <w:r w:rsidRPr="008B1975">
              <w:t>Subsections 8.1(1) to (1E)</w:t>
            </w:r>
          </w:p>
        </w:tc>
        <w:tc>
          <w:tcPr>
            <w:tcW w:w="3806" w:type="pct"/>
            <w:tcBorders>
              <w:top w:val="single" w:sz="4" w:space="0" w:color="auto"/>
              <w:left w:val="nil"/>
              <w:bottom w:val="single" w:sz="4" w:space="0" w:color="auto"/>
              <w:right w:val="nil"/>
            </w:tcBorders>
          </w:tcPr>
          <w:p w14:paraId="611B3180" w14:textId="77777777" w:rsidR="007174EA" w:rsidRPr="008B1975" w:rsidRDefault="007174EA" w:rsidP="007174EA">
            <w:pPr>
              <w:pStyle w:val="Tablea"/>
            </w:pPr>
            <w:r w:rsidRPr="008B1975">
              <w:t>(a) on and after the commencement day to new premises and infrastructure; and</w:t>
            </w:r>
          </w:p>
          <w:p w14:paraId="6B46DF87" w14:textId="77777777" w:rsidR="007174EA" w:rsidRPr="008B1975" w:rsidRDefault="007174EA" w:rsidP="007174EA">
            <w:pPr>
              <w:pStyle w:val="Tablea"/>
            </w:pPr>
            <w:r w:rsidRPr="008B1975">
              <w:t>(b) on and after the commencement day in relation to boarding points installed on or after that day.</w:t>
            </w:r>
          </w:p>
        </w:tc>
      </w:tr>
      <w:tr w:rsidR="007174EA" w:rsidRPr="008B1975" w14:paraId="47A9864E" w14:textId="77777777" w:rsidTr="007174EA">
        <w:trPr>
          <w:trHeight w:val="50"/>
        </w:trPr>
        <w:tc>
          <w:tcPr>
            <w:tcW w:w="426" w:type="pct"/>
            <w:tcBorders>
              <w:top w:val="single" w:sz="4" w:space="0" w:color="auto"/>
              <w:left w:val="nil"/>
              <w:bottom w:val="single" w:sz="4" w:space="0" w:color="auto"/>
              <w:right w:val="nil"/>
            </w:tcBorders>
          </w:tcPr>
          <w:p w14:paraId="50448A76" w14:textId="1D76272C" w:rsidR="007174EA" w:rsidRPr="008B1975" w:rsidRDefault="002103D9" w:rsidP="007174EA">
            <w:pPr>
              <w:pStyle w:val="Tabletext"/>
            </w:pPr>
            <w:r w:rsidRPr="008B1975">
              <w:t>2</w:t>
            </w:r>
          </w:p>
        </w:tc>
        <w:tc>
          <w:tcPr>
            <w:tcW w:w="768" w:type="pct"/>
            <w:tcBorders>
              <w:top w:val="single" w:sz="4" w:space="0" w:color="auto"/>
              <w:left w:val="nil"/>
              <w:bottom w:val="single" w:sz="4" w:space="0" w:color="auto"/>
              <w:right w:val="nil"/>
            </w:tcBorders>
          </w:tcPr>
          <w:p w14:paraId="7080B99D" w14:textId="77777777" w:rsidR="007174EA" w:rsidRPr="008B1975" w:rsidRDefault="007174EA" w:rsidP="007174EA">
            <w:pPr>
              <w:pStyle w:val="Tabletext"/>
            </w:pPr>
            <w:r w:rsidRPr="008B1975">
              <w:t>Section 8.1A</w:t>
            </w:r>
          </w:p>
        </w:tc>
        <w:tc>
          <w:tcPr>
            <w:tcW w:w="3806" w:type="pct"/>
            <w:tcBorders>
              <w:top w:val="single" w:sz="4" w:space="0" w:color="auto"/>
              <w:left w:val="nil"/>
              <w:bottom w:val="single" w:sz="4" w:space="0" w:color="auto"/>
              <w:right w:val="nil"/>
            </w:tcBorders>
          </w:tcPr>
          <w:p w14:paraId="155DB9B1" w14:textId="77777777" w:rsidR="007174EA" w:rsidRPr="008B1975" w:rsidRDefault="007174EA" w:rsidP="007174EA">
            <w:pPr>
              <w:pStyle w:val="Tabletext"/>
            </w:pPr>
            <w:r w:rsidRPr="008B1975">
              <w:t>on and after the commencement day to new conveyances.</w:t>
            </w:r>
          </w:p>
        </w:tc>
      </w:tr>
      <w:tr w:rsidR="007174EA" w:rsidRPr="008B1975" w14:paraId="52E1FA2D" w14:textId="77777777" w:rsidTr="007174EA">
        <w:trPr>
          <w:trHeight w:val="50"/>
        </w:trPr>
        <w:tc>
          <w:tcPr>
            <w:tcW w:w="426" w:type="pct"/>
            <w:tcBorders>
              <w:top w:val="single" w:sz="4" w:space="0" w:color="auto"/>
              <w:left w:val="nil"/>
              <w:bottom w:val="single" w:sz="4" w:space="0" w:color="auto"/>
              <w:right w:val="nil"/>
            </w:tcBorders>
          </w:tcPr>
          <w:p w14:paraId="4D92315B" w14:textId="58C97256" w:rsidR="007174EA" w:rsidRPr="008B1975" w:rsidRDefault="002103D9" w:rsidP="007174EA">
            <w:pPr>
              <w:pStyle w:val="Tabletext"/>
            </w:pPr>
            <w:r w:rsidRPr="008B1975">
              <w:t>3</w:t>
            </w:r>
          </w:p>
        </w:tc>
        <w:tc>
          <w:tcPr>
            <w:tcW w:w="768" w:type="pct"/>
            <w:tcBorders>
              <w:top w:val="single" w:sz="4" w:space="0" w:color="auto"/>
              <w:left w:val="nil"/>
              <w:bottom w:val="single" w:sz="4" w:space="0" w:color="auto"/>
              <w:right w:val="nil"/>
            </w:tcBorders>
          </w:tcPr>
          <w:p w14:paraId="7C7C53C9" w14:textId="77777777" w:rsidR="007174EA" w:rsidRPr="008B1975" w:rsidRDefault="007174EA" w:rsidP="007174EA">
            <w:pPr>
              <w:pStyle w:val="Tabletext"/>
            </w:pPr>
            <w:r w:rsidRPr="008B1975">
              <w:t>Paragraph 8.5(b)</w:t>
            </w:r>
          </w:p>
        </w:tc>
        <w:tc>
          <w:tcPr>
            <w:tcW w:w="3806" w:type="pct"/>
            <w:tcBorders>
              <w:top w:val="single" w:sz="4" w:space="0" w:color="auto"/>
              <w:left w:val="nil"/>
              <w:bottom w:val="single" w:sz="4" w:space="0" w:color="auto"/>
              <w:right w:val="nil"/>
            </w:tcBorders>
          </w:tcPr>
          <w:p w14:paraId="48A73D28" w14:textId="77777777" w:rsidR="007174EA" w:rsidRPr="008B1975" w:rsidRDefault="007174EA" w:rsidP="007174EA">
            <w:pPr>
              <w:pStyle w:val="Tabletext"/>
            </w:pPr>
            <w:r w:rsidRPr="008B1975">
              <w:t>on and after the commencement day to boarding devices provided on or after that day.</w:t>
            </w:r>
          </w:p>
        </w:tc>
      </w:tr>
      <w:tr w:rsidR="007174EA" w:rsidRPr="008B1975" w14:paraId="0073E2D6" w14:textId="77777777" w:rsidTr="007174EA">
        <w:trPr>
          <w:trHeight w:val="50"/>
        </w:trPr>
        <w:tc>
          <w:tcPr>
            <w:tcW w:w="426" w:type="pct"/>
            <w:tcBorders>
              <w:top w:val="single" w:sz="4" w:space="0" w:color="auto"/>
              <w:left w:val="nil"/>
              <w:bottom w:val="single" w:sz="4" w:space="0" w:color="auto"/>
              <w:right w:val="nil"/>
            </w:tcBorders>
          </w:tcPr>
          <w:p w14:paraId="42477799" w14:textId="433445A7" w:rsidR="007174EA" w:rsidRPr="008B1975" w:rsidRDefault="002103D9" w:rsidP="007174EA">
            <w:pPr>
              <w:pStyle w:val="Tabletext"/>
            </w:pPr>
            <w:r w:rsidRPr="008B1975">
              <w:t>4</w:t>
            </w:r>
          </w:p>
        </w:tc>
        <w:tc>
          <w:tcPr>
            <w:tcW w:w="768" w:type="pct"/>
            <w:tcBorders>
              <w:top w:val="single" w:sz="4" w:space="0" w:color="auto"/>
              <w:left w:val="nil"/>
              <w:bottom w:val="single" w:sz="4" w:space="0" w:color="auto"/>
              <w:right w:val="nil"/>
            </w:tcBorders>
          </w:tcPr>
          <w:p w14:paraId="4AC40DF6" w14:textId="77777777" w:rsidR="007174EA" w:rsidRPr="008B1975" w:rsidRDefault="007174EA" w:rsidP="007174EA">
            <w:pPr>
              <w:pStyle w:val="Tabletext"/>
            </w:pPr>
            <w:r w:rsidRPr="008B1975">
              <w:t>Section 8.6A</w:t>
            </w:r>
          </w:p>
        </w:tc>
        <w:tc>
          <w:tcPr>
            <w:tcW w:w="3806" w:type="pct"/>
            <w:tcBorders>
              <w:top w:val="single" w:sz="4" w:space="0" w:color="auto"/>
              <w:left w:val="nil"/>
              <w:bottom w:val="single" w:sz="4" w:space="0" w:color="auto"/>
              <w:right w:val="nil"/>
            </w:tcBorders>
          </w:tcPr>
          <w:p w14:paraId="5E5866FD" w14:textId="77777777" w:rsidR="007174EA" w:rsidRPr="008B1975" w:rsidRDefault="007174EA" w:rsidP="007174EA">
            <w:pPr>
              <w:pStyle w:val="Tabletext"/>
            </w:pPr>
            <w:r w:rsidRPr="008B1975">
              <w:t>on and after the commencement day to boarding ramps provided on or after that day.</w:t>
            </w:r>
          </w:p>
        </w:tc>
      </w:tr>
      <w:tr w:rsidR="007174EA" w:rsidRPr="008B1975" w14:paraId="2442DA94" w14:textId="77777777" w:rsidTr="007174EA">
        <w:trPr>
          <w:trHeight w:val="50"/>
        </w:trPr>
        <w:tc>
          <w:tcPr>
            <w:tcW w:w="426" w:type="pct"/>
            <w:tcBorders>
              <w:top w:val="single" w:sz="4" w:space="0" w:color="auto"/>
              <w:left w:val="nil"/>
              <w:bottom w:val="single" w:sz="4" w:space="0" w:color="auto"/>
              <w:right w:val="nil"/>
            </w:tcBorders>
          </w:tcPr>
          <w:p w14:paraId="66D3D779" w14:textId="4760ED89" w:rsidR="007174EA" w:rsidRPr="008B1975" w:rsidRDefault="002103D9" w:rsidP="007174EA">
            <w:pPr>
              <w:pStyle w:val="Tabletext"/>
            </w:pPr>
            <w:r w:rsidRPr="008B1975">
              <w:t>5</w:t>
            </w:r>
          </w:p>
        </w:tc>
        <w:tc>
          <w:tcPr>
            <w:tcW w:w="768" w:type="pct"/>
            <w:tcBorders>
              <w:top w:val="single" w:sz="4" w:space="0" w:color="auto"/>
              <w:left w:val="nil"/>
              <w:bottom w:val="single" w:sz="4" w:space="0" w:color="auto"/>
              <w:right w:val="nil"/>
            </w:tcBorders>
          </w:tcPr>
          <w:p w14:paraId="67FE36A3" w14:textId="77777777" w:rsidR="007174EA" w:rsidRPr="008B1975" w:rsidRDefault="007174EA" w:rsidP="007174EA">
            <w:pPr>
              <w:pStyle w:val="Tabletext"/>
            </w:pPr>
            <w:r w:rsidRPr="008B1975">
              <w:t>Section 8.6C</w:t>
            </w:r>
          </w:p>
        </w:tc>
        <w:tc>
          <w:tcPr>
            <w:tcW w:w="3806" w:type="pct"/>
            <w:tcBorders>
              <w:top w:val="single" w:sz="4" w:space="0" w:color="auto"/>
              <w:left w:val="nil"/>
              <w:bottom w:val="single" w:sz="4" w:space="0" w:color="auto"/>
              <w:right w:val="nil"/>
            </w:tcBorders>
          </w:tcPr>
          <w:p w14:paraId="1E830AD2"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039803D1" w14:textId="77777777" w:rsidTr="007174EA">
        <w:trPr>
          <w:trHeight w:val="50"/>
        </w:trPr>
        <w:tc>
          <w:tcPr>
            <w:tcW w:w="426" w:type="pct"/>
            <w:tcBorders>
              <w:top w:val="single" w:sz="4" w:space="0" w:color="auto"/>
              <w:left w:val="nil"/>
              <w:bottom w:val="single" w:sz="4" w:space="0" w:color="auto"/>
              <w:right w:val="nil"/>
            </w:tcBorders>
          </w:tcPr>
          <w:p w14:paraId="33C833C3" w14:textId="6C8580C0" w:rsidR="007174EA" w:rsidRPr="008B1975" w:rsidRDefault="002103D9" w:rsidP="007174EA">
            <w:pPr>
              <w:pStyle w:val="Tabletext"/>
            </w:pPr>
            <w:r w:rsidRPr="008B1975">
              <w:t>6</w:t>
            </w:r>
          </w:p>
        </w:tc>
        <w:tc>
          <w:tcPr>
            <w:tcW w:w="768" w:type="pct"/>
            <w:tcBorders>
              <w:top w:val="single" w:sz="4" w:space="0" w:color="auto"/>
              <w:left w:val="nil"/>
              <w:bottom w:val="single" w:sz="4" w:space="0" w:color="auto"/>
              <w:right w:val="nil"/>
            </w:tcBorders>
          </w:tcPr>
          <w:p w14:paraId="22768B12" w14:textId="77777777" w:rsidR="007174EA" w:rsidRPr="008B1975" w:rsidRDefault="007174EA" w:rsidP="007174EA">
            <w:pPr>
              <w:pStyle w:val="Tabletext"/>
            </w:pPr>
            <w:r w:rsidRPr="008B1975">
              <w:t>Section 8.6D</w:t>
            </w:r>
          </w:p>
        </w:tc>
        <w:tc>
          <w:tcPr>
            <w:tcW w:w="3806" w:type="pct"/>
            <w:tcBorders>
              <w:top w:val="single" w:sz="4" w:space="0" w:color="auto"/>
              <w:left w:val="nil"/>
              <w:bottom w:val="single" w:sz="4" w:space="0" w:color="auto"/>
              <w:right w:val="nil"/>
            </w:tcBorders>
          </w:tcPr>
          <w:p w14:paraId="38C1F31A"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24DD0C1F" w14:textId="77777777" w:rsidTr="007174EA">
        <w:trPr>
          <w:trHeight w:val="50"/>
        </w:trPr>
        <w:tc>
          <w:tcPr>
            <w:tcW w:w="426" w:type="pct"/>
            <w:tcBorders>
              <w:top w:val="single" w:sz="4" w:space="0" w:color="auto"/>
              <w:left w:val="nil"/>
              <w:bottom w:val="single" w:sz="4" w:space="0" w:color="auto"/>
              <w:right w:val="nil"/>
            </w:tcBorders>
          </w:tcPr>
          <w:p w14:paraId="79D71475" w14:textId="58A939BD" w:rsidR="007174EA" w:rsidRPr="008B1975" w:rsidRDefault="002103D9" w:rsidP="007174EA">
            <w:pPr>
              <w:pStyle w:val="Tabletext"/>
            </w:pPr>
            <w:r w:rsidRPr="008B1975">
              <w:t>7</w:t>
            </w:r>
          </w:p>
        </w:tc>
        <w:tc>
          <w:tcPr>
            <w:tcW w:w="768" w:type="pct"/>
            <w:tcBorders>
              <w:top w:val="single" w:sz="4" w:space="0" w:color="auto"/>
              <w:left w:val="nil"/>
              <w:bottom w:val="single" w:sz="4" w:space="0" w:color="auto"/>
              <w:right w:val="nil"/>
            </w:tcBorders>
          </w:tcPr>
          <w:p w14:paraId="4B38BACC" w14:textId="77777777" w:rsidR="007174EA" w:rsidRPr="008B1975" w:rsidRDefault="007174EA" w:rsidP="007174EA">
            <w:pPr>
              <w:pStyle w:val="Tabletext"/>
            </w:pPr>
            <w:r w:rsidRPr="008B1975">
              <w:t>Section 8.6E</w:t>
            </w:r>
          </w:p>
        </w:tc>
        <w:tc>
          <w:tcPr>
            <w:tcW w:w="3806" w:type="pct"/>
            <w:tcBorders>
              <w:top w:val="single" w:sz="4" w:space="0" w:color="auto"/>
              <w:left w:val="nil"/>
              <w:bottom w:val="single" w:sz="4" w:space="0" w:color="auto"/>
              <w:right w:val="nil"/>
            </w:tcBorders>
          </w:tcPr>
          <w:p w14:paraId="5A630C55"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585BB101" w14:textId="77777777" w:rsidTr="007174EA">
        <w:trPr>
          <w:trHeight w:val="50"/>
        </w:trPr>
        <w:tc>
          <w:tcPr>
            <w:tcW w:w="426" w:type="pct"/>
            <w:tcBorders>
              <w:top w:val="single" w:sz="4" w:space="0" w:color="auto"/>
              <w:left w:val="nil"/>
              <w:bottom w:val="single" w:sz="4" w:space="0" w:color="auto"/>
              <w:right w:val="nil"/>
            </w:tcBorders>
          </w:tcPr>
          <w:p w14:paraId="4F26C2AC" w14:textId="6F18E864" w:rsidR="007174EA" w:rsidRPr="008B1975" w:rsidRDefault="002103D9" w:rsidP="007174EA">
            <w:pPr>
              <w:pStyle w:val="Tabletext"/>
            </w:pPr>
            <w:r w:rsidRPr="008B1975">
              <w:t>8</w:t>
            </w:r>
          </w:p>
        </w:tc>
        <w:tc>
          <w:tcPr>
            <w:tcW w:w="768" w:type="pct"/>
            <w:tcBorders>
              <w:top w:val="single" w:sz="4" w:space="0" w:color="auto"/>
              <w:left w:val="nil"/>
              <w:bottom w:val="single" w:sz="4" w:space="0" w:color="auto"/>
              <w:right w:val="nil"/>
            </w:tcBorders>
          </w:tcPr>
          <w:p w14:paraId="1D073048" w14:textId="77777777" w:rsidR="007174EA" w:rsidRPr="008B1975" w:rsidRDefault="007174EA" w:rsidP="007174EA">
            <w:pPr>
              <w:pStyle w:val="Tabletext"/>
            </w:pPr>
            <w:r w:rsidRPr="008B1975">
              <w:t>Section 8.6F</w:t>
            </w:r>
          </w:p>
        </w:tc>
        <w:tc>
          <w:tcPr>
            <w:tcW w:w="3806" w:type="pct"/>
            <w:tcBorders>
              <w:top w:val="single" w:sz="4" w:space="0" w:color="auto"/>
              <w:left w:val="nil"/>
              <w:bottom w:val="single" w:sz="4" w:space="0" w:color="auto"/>
              <w:right w:val="nil"/>
            </w:tcBorders>
          </w:tcPr>
          <w:p w14:paraId="37D3EDEF"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76C6F79B" w14:textId="77777777" w:rsidTr="007174EA">
        <w:trPr>
          <w:trHeight w:val="50"/>
        </w:trPr>
        <w:tc>
          <w:tcPr>
            <w:tcW w:w="426" w:type="pct"/>
            <w:tcBorders>
              <w:top w:val="single" w:sz="4" w:space="0" w:color="auto"/>
              <w:left w:val="nil"/>
              <w:bottom w:val="single" w:sz="4" w:space="0" w:color="auto"/>
              <w:right w:val="nil"/>
            </w:tcBorders>
          </w:tcPr>
          <w:p w14:paraId="50A262A2" w14:textId="29983147" w:rsidR="007174EA" w:rsidRPr="008B1975" w:rsidRDefault="002103D9" w:rsidP="007174EA">
            <w:pPr>
              <w:pStyle w:val="Tabletext"/>
            </w:pPr>
            <w:r w:rsidRPr="008B1975">
              <w:t>9</w:t>
            </w:r>
          </w:p>
        </w:tc>
        <w:tc>
          <w:tcPr>
            <w:tcW w:w="768" w:type="pct"/>
            <w:tcBorders>
              <w:top w:val="single" w:sz="4" w:space="0" w:color="auto"/>
              <w:left w:val="nil"/>
              <w:bottom w:val="single" w:sz="4" w:space="0" w:color="auto"/>
              <w:right w:val="nil"/>
            </w:tcBorders>
          </w:tcPr>
          <w:p w14:paraId="00AEB094" w14:textId="77777777" w:rsidR="007174EA" w:rsidRPr="008B1975" w:rsidRDefault="007174EA" w:rsidP="007174EA">
            <w:pPr>
              <w:pStyle w:val="Tabletext"/>
            </w:pPr>
            <w:r w:rsidRPr="008B1975">
              <w:t>Section 8.6G</w:t>
            </w:r>
          </w:p>
        </w:tc>
        <w:tc>
          <w:tcPr>
            <w:tcW w:w="3806" w:type="pct"/>
            <w:tcBorders>
              <w:top w:val="single" w:sz="4" w:space="0" w:color="auto"/>
              <w:left w:val="nil"/>
              <w:bottom w:val="single" w:sz="4" w:space="0" w:color="auto"/>
              <w:right w:val="nil"/>
            </w:tcBorders>
          </w:tcPr>
          <w:p w14:paraId="48B8DB6E"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2BBF817C" w14:textId="77777777" w:rsidTr="007174EA">
        <w:trPr>
          <w:trHeight w:val="50"/>
        </w:trPr>
        <w:tc>
          <w:tcPr>
            <w:tcW w:w="426" w:type="pct"/>
            <w:tcBorders>
              <w:top w:val="single" w:sz="4" w:space="0" w:color="auto"/>
              <w:left w:val="nil"/>
              <w:bottom w:val="single" w:sz="4" w:space="0" w:color="auto"/>
              <w:right w:val="nil"/>
            </w:tcBorders>
          </w:tcPr>
          <w:p w14:paraId="4A15E926" w14:textId="4EA72877" w:rsidR="007174EA" w:rsidRPr="008B1975" w:rsidRDefault="002103D9" w:rsidP="007174EA">
            <w:pPr>
              <w:pStyle w:val="Tabletext"/>
            </w:pPr>
            <w:r w:rsidRPr="008B1975">
              <w:t>10</w:t>
            </w:r>
          </w:p>
        </w:tc>
        <w:tc>
          <w:tcPr>
            <w:tcW w:w="768" w:type="pct"/>
            <w:tcBorders>
              <w:top w:val="single" w:sz="4" w:space="0" w:color="auto"/>
              <w:left w:val="nil"/>
              <w:bottom w:val="single" w:sz="4" w:space="0" w:color="auto"/>
              <w:right w:val="nil"/>
            </w:tcBorders>
          </w:tcPr>
          <w:p w14:paraId="459E29C0" w14:textId="77777777" w:rsidR="007174EA" w:rsidRPr="008B1975" w:rsidRDefault="007174EA" w:rsidP="007174EA">
            <w:pPr>
              <w:pStyle w:val="Tabletext"/>
            </w:pPr>
            <w:r w:rsidRPr="008B1975">
              <w:t>Section 8.6H</w:t>
            </w:r>
          </w:p>
        </w:tc>
        <w:tc>
          <w:tcPr>
            <w:tcW w:w="3806" w:type="pct"/>
            <w:tcBorders>
              <w:top w:val="single" w:sz="4" w:space="0" w:color="auto"/>
              <w:left w:val="nil"/>
              <w:bottom w:val="single" w:sz="4" w:space="0" w:color="auto"/>
              <w:right w:val="nil"/>
            </w:tcBorders>
          </w:tcPr>
          <w:p w14:paraId="5FB48782" w14:textId="77777777" w:rsidR="007174EA" w:rsidRPr="008B1975" w:rsidRDefault="007174EA" w:rsidP="007174EA">
            <w:pPr>
              <w:pStyle w:val="Tabletext"/>
            </w:pPr>
            <w:r w:rsidRPr="008B1975">
              <w:t>on and after the commencement day to removable gangways provided on or after that day.</w:t>
            </w:r>
          </w:p>
        </w:tc>
      </w:tr>
      <w:tr w:rsidR="007174EA" w:rsidRPr="008B1975" w14:paraId="15115B0F" w14:textId="77777777" w:rsidTr="007174EA">
        <w:trPr>
          <w:trHeight w:val="50"/>
        </w:trPr>
        <w:tc>
          <w:tcPr>
            <w:tcW w:w="426" w:type="pct"/>
            <w:tcBorders>
              <w:top w:val="single" w:sz="4" w:space="0" w:color="auto"/>
              <w:left w:val="nil"/>
              <w:bottom w:val="single" w:sz="4" w:space="0" w:color="auto"/>
              <w:right w:val="nil"/>
            </w:tcBorders>
          </w:tcPr>
          <w:p w14:paraId="6CD7442A" w14:textId="7DC8357E" w:rsidR="007174EA" w:rsidRPr="008B1975" w:rsidRDefault="002103D9" w:rsidP="007174EA">
            <w:pPr>
              <w:pStyle w:val="Tabletext"/>
            </w:pPr>
            <w:r w:rsidRPr="008B1975">
              <w:t>11</w:t>
            </w:r>
          </w:p>
        </w:tc>
        <w:tc>
          <w:tcPr>
            <w:tcW w:w="768" w:type="pct"/>
            <w:tcBorders>
              <w:top w:val="single" w:sz="4" w:space="0" w:color="auto"/>
              <w:left w:val="nil"/>
              <w:bottom w:val="single" w:sz="4" w:space="0" w:color="auto"/>
              <w:right w:val="nil"/>
            </w:tcBorders>
          </w:tcPr>
          <w:p w14:paraId="195F0276" w14:textId="77777777" w:rsidR="007174EA" w:rsidRPr="008B1975" w:rsidRDefault="007174EA" w:rsidP="007174EA">
            <w:pPr>
              <w:pStyle w:val="Tabletext"/>
            </w:pPr>
            <w:r w:rsidRPr="008B1975">
              <w:t>Subsections 8.7(2) to (4)</w:t>
            </w:r>
          </w:p>
        </w:tc>
        <w:tc>
          <w:tcPr>
            <w:tcW w:w="3806" w:type="pct"/>
            <w:tcBorders>
              <w:top w:val="single" w:sz="4" w:space="0" w:color="auto"/>
              <w:left w:val="nil"/>
              <w:bottom w:val="single" w:sz="4" w:space="0" w:color="auto"/>
              <w:right w:val="nil"/>
            </w:tcBorders>
          </w:tcPr>
          <w:p w14:paraId="6CEE1E70" w14:textId="77777777" w:rsidR="007174EA" w:rsidRPr="008B1975" w:rsidRDefault="007174EA" w:rsidP="007174EA">
            <w:pPr>
              <w:pStyle w:val="Tablea"/>
            </w:pPr>
            <w:r w:rsidRPr="008B1975">
              <w:t>(a) on and after the commencement day to new conveyances; and</w:t>
            </w:r>
          </w:p>
          <w:p w14:paraId="0612AA06" w14:textId="77777777" w:rsidR="007174EA" w:rsidRPr="008B1975" w:rsidRDefault="007174EA" w:rsidP="007174EA">
            <w:pPr>
              <w:pStyle w:val="Tablea"/>
            </w:pPr>
            <w:r w:rsidRPr="008B1975">
              <w:t>(b) on and after the commencement day to devices installed in conveyances on or after that day.</w:t>
            </w:r>
          </w:p>
        </w:tc>
      </w:tr>
      <w:tr w:rsidR="007174EA" w:rsidRPr="008B1975" w14:paraId="4EBB1849" w14:textId="77777777" w:rsidTr="007174EA">
        <w:trPr>
          <w:trHeight w:val="77"/>
        </w:trPr>
        <w:tc>
          <w:tcPr>
            <w:tcW w:w="426" w:type="pct"/>
            <w:tcBorders>
              <w:top w:val="single" w:sz="4" w:space="0" w:color="auto"/>
              <w:left w:val="nil"/>
              <w:bottom w:val="single" w:sz="4" w:space="0" w:color="auto"/>
              <w:right w:val="nil"/>
            </w:tcBorders>
          </w:tcPr>
          <w:p w14:paraId="55DF0EBD" w14:textId="04B921EE" w:rsidR="007174EA" w:rsidRPr="008B1975" w:rsidRDefault="002103D9" w:rsidP="007174EA">
            <w:pPr>
              <w:pStyle w:val="Tabletext"/>
            </w:pPr>
            <w:r w:rsidRPr="008B1975">
              <w:t>12</w:t>
            </w:r>
          </w:p>
        </w:tc>
        <w:tc>
          <w:tcPr>
            <w:tcW w:w="768" w:type="pct"/>
            <w:tcBorders>
              <w:top w:val="single" w:sz="4" w:space="0" w:color="auto"/>
              <w:left w:val="nil"/>
              <w:bottom w:val="single" w:sz="4" w:space="0" w:color="auto"/>
              <w:right w:val="nil"/>
            </w:tcBorders>
          </w:tcPr>
          <w:p w14:paraId="69453CA7" w14:textId="77777777" w:rsidR="007174EA" w:rsidRPr="008B1975" w:rsidRDefault="007174EA" w:rsidP="007174EA">
            <w:pPr>
              <w:pStyle w:val="Tabletext"/>
            </w:pPr>
            <w:r w:rsidRPr="008B1975">
              <w:t>Subsection 8.8(2)</w:t>
            </w:r>
          </w:p>
        </w:tc>
        <w:tc>
          <w:tcPr>
            <w:tcW w:w="3806" w:type="pct"/>
            <w:tcBorders>
              <w:top w:val="single" w:sz="4" w:space="0" w:color="auto"/>
              <w:left w:val="nil"/>
              <w:bottom w:val="single" w:sz="4" w:space="0" w:color="auto"/>
              <w:right w:val="nil"/>
            </w:tcBorders>
          </w:tcPr>
          <w:p w14:paraId="2034C443" w14:textId="4D576461" w:rsidR="007174EA" w:rsidRPr="008B1975" w:rsidRDefault="007174EA" w:rsidP="007174EA">
            <w:pPr>
              <w:pStyle w:val="Tablea"/>
            </w:pPr>
            <w:r w:rsidRPr="008B1975">
              <w:t xml:space="preserve">(a) on and after the commencement day to new </w:t>
            </w:r>
            <w:r w:rsidR="00721129" w:rsidRPr="008B1975">
              <w:t>premises and infrastructure</w:t>
            </w:r>
            <w:r w:rsidRPr="008B1975">
              <w:t>; and</w:t>
            </w:r>
          </w:p>
          <w:p w14:paraId="2359FFE7" w14:textId="2CB2AA91" w:rsidR="007174EA" w:rsidRPr="008B1975" w:rsidRDefault="007174EA" w:rsidP="007174EA">
            <w:pPr>
              <w:pStyle w:val="Tablea"/>
            </w:pPr>
            <w:r w:rsidRPr="008B1975">
              <w:t xml:space="preserve">(b) on and after the commencement day to devices installed in </w:t>
            </w:r>
            <w:r w:rsidR="00721129" w:rsidRPr="008B1975">
              <w:t xml:space="preserve">existing premises and infrastructure </w:t>
            </w:r>
            <w:r w:rsidRPr="008B1975">
              <w:t>on or after that day.</w:t>
            </w:r>
          </w:p>
        </w:tc>
      </w:tr>
      <w:tr w:rsidR="007174EA" w:rsidRPr="008B1975" w14:paraId="77C2A91A" w14:textId="77777777" w:rsidTr="007174EA">
        <w:trPr>
          <w:trHeight w:val="77"/>
        </w:trPr>
        <w:tc>
          <w:tcPr>
            <w:tcW w:w="426" w:type="pct"/>
            <w:tcBorders>
              <w:top w:val="single" w:sz="4" w:space="0" w:color="auto"/>
              <w:left w:val="nil"/>
              <w:bottom w:val="single" w:sz="4" w:space="0" w:color="auto"/>
              <w:right w:val="nil"/>
            </w:tcBorders>
          </w:tcPr>
          <w:p w14:paraId="7A9F7A6A" w14:textId="5D464189" w:rsidR="007174EA" w:rsidRPr="008B1975" w:rsidRDefault="002103D9" w:rsidP="007174EA">
            <w:pPr>
              <w:pStyle w:val="Tabletext"/>
            </w:pPr>
            <w:r w:rsidRPr="008B1975">
              <w:t>13</w:t>
            </w:r>
          </w:p>
        </w:tc>
        <w:tc>
          <w:tcPr>
            <w:tcW w:w="768" w:type="pct"/>
            <w:tcBorders>
              <w:top w:val="single" w:sz="4" w:space="0" w:color="auto"/>
              <w:left w:val="nil"/>
              <w:bottom w:val="single" w:sz="4" w:space="0" w:color="auto"/>
              <w:right w:val="nil"/>
            </w:tcBorders>
          </w:tcPr>
          <w:p w14:paraId="532822CD" w14:textId="77777777" w:rsidR="007174EA" w:rsidRPr="008B1975" w:rsidRDefault="007174EA" w:rsidP="007174EA">
            <w:pPr>
              <w:pStyle w:val="Tabletext"/>
            </w:pPr>
            <w:r w:rsidRPr="008B1975">
              <w:t>Section 8.9</w:t>
            </w:r>
          </w:p>
        </w:tc>
        <w:tc>
          <w:tcPr>
            <w:tcW w:w="3806" w:type="pct"/>
            <w:tcBorders>
              <w:top w:val="single" w:sz="4" w:space="0" w:color="auto"/>
              <w:left w:val="nil"/>
              <w:bottom w:val="single" w:sz="4" w:space="0" w:color="auto"/>
              <w:right w:val="nil"/>
            </w:tcBorders>
          </w:tcPr>
          <w:p w14:paraId="45CBFAB3" w14:textId="0F9FD664" w:rsidR="007174EA" w:rsidRPr="008B1975" w:rsidRDefault="007174EA" w:rsidP="007174EA">
            <w:pPr>
              <w:pStyle w:val="Tablea"/>
            </w:pPr>
            <w:r w:rsidRPr="008B1975">
              <w:t>(a) on and after the commencement day to new premises and infrastructure; and</w:t>
            </w:r>
          </w:p>
          <w:p w14:paraId="3D5D71E7" w14:textId="77777777" w:rsidR="007174EA" w:rsidRPr="008B1975" w:rsidRDefault="007174EA" w:rsidP="007174EA">
            <w:pPr>
              <w:pStyle w:val="Tablea"/>
            </w:pPr>
            <w:r w:rsidRPr="008B1975">
              <w:t>(b) on and after the commencement day to lead stops brought into service on or after that day; and</w:t>
            </w:r>
          </w:p>
          <w:p w14:paraId="44E792B2" w14:textId="77777777" w:rsidR="007174EA" w:rsidRPr="008B1975" w:rsidRDefault="007174EA" w:rsidP="007174EA">
            <w:pPr>
              <w:pStyle w:val="Tablea"/>
            </w:pPr>
            <w:r w:rsidRPr="008B1975">
              <w:t>(c) after the end of the 5</w:t>
            </w:r>
            <w:r w:rsidRPr="008B1975">
              <w:noBreakHyphen/>
              <w:t>year transitional period to lead stops in existing premises and infrastructure that:</w:t>
            </w:r>
          </w:p>
          <w:p w14:paraId="02F38019" w14:textId="77777777" w:rsidR="007174EA" w:rsidRPr="008B1975" w:rsidRDefault="007174EA" w:rsidP="007174EA">
            <w:pPr>
              <w:pStyle w:val="Tablei"/>
            </w:pPr>
            <w:r w:rsidRPr="008B1975">
              <w:t>(i) existed before the commencement day; and</w:t>
            </w:r>
          </w:p>
          <w:p w14:paraId="5285F2DB" w14:textId="77777777" w:rsidR="007174EA" w:rsidRPr="008B1975" w:rsidRDefault="007174EA" w:rsidP="007174EA">
            <w:pPr>
              <w:pStyle w:val="Tablei"/>
            </w:pPr>
            <w:r w:rsidRPr="008B1975">
              <w:t>(ii) that remain in service after the end of that period.</w:t>
            </w:r>
          </w:p>
        </w:tc>
      </w:tr>
      <w:tr w:rsidR="007174EA" w:rsidRPr="008B1975" w14:paraId="361343D1" w14:textId="77777777" w:rsidTr="007174EA">
        <w:trPr>
          <w:trHeight w:val="77"/>
        </w:trPr>
        <w:tc>
          <w:tcPr>
            <w:tcW w:w="426" w:type="pct"/>
            <w:tcBorders>
              <w:top w:val="single" w:sz="4" w:space="0" w:color="auto"/>
              <w:left w:val="nil"/>
              <w:bottom w:val="single" w:sz="4" w:space="0" w:color="auto"/>
              <w:right w:val="nil"/>
            </w:tcBorders>
          </w:tcPr>
          <w:p w14:paraId="01DE50B9" w14:textId="6B4CFBD5" w:rsidR="007174EA" w:rsidRPr="008B1975" w:rsidRDefault="002103D9" w:rsidP="007174EA">
            <w:pPr>
              <w:pStyle w:val="Tabletext"/>
            </w:pPr>
            <w:r w:rsidRPr="008B1975">
              <w:t>14</w:t>
            </w:r>
          </w:p>
        </w:tc>
        <w:tc>
          <w:tcPr>
            <w:tcW w:w="768" w:type="pct"/>
            <w:tcBorders>
              <w:top w:val="single" w:sz="4" w:space="0" w:color="auto"/>
              <w:left w:val="nil"/>
              <w:bottom w:val="single" w:sz="4" w:space="0" w:color="auto"/>
              <w:right w:val="nil"/>
            </w:tcBorders>
          </w:tcPr>
          <w:p w14:paraId="48CB6980" w14:textId="77777777" w:rsidR="007174EA" w:rsidRPr="008B1975" w:rsidRDefault="007174EA" w:rsidP="007174EA">
            <w:pPr>
              <w:pStyle w:val="Tabletext"/>
            </w:pPr>
            <w:r w:rsidRPr="008B1975">
              <w:t>Section 8.10</w:t>
            </w:r>
          </w:p>
        </w:tc>
        <w:tc>
          <w:tcPr>
            <w:tcW w:w="3806" w:type="pct"/>
            <w:tcBorders>
              <w:top w:val="single" w:sz="4" w:space="0" w:color="auto"/>
              <w:left w:val="nil"/>
              <w:bottom w:val="single" w:sz="4" w:space="0" w:color="auto"/>
              <w:right w:val="nil"/>
            </w:tcBorders>
          </w:tcPr>
          <w:p w14:paraId="3E9B385B" w14:textId="4ECFC0D2" w:rsidR="007174EA" w:rsidRPr="008B1975" w:rsidRDefault="007174EA" w:rsidP="007174EA">
            <w:pPr>
              <w:pStyle w:val="Tablea"/>
            </w:pPr>
            <w:r w:rsidRPr="008B1975">
              <w:t>(a) on and after the commencement day to new premises and infrastructure; and</w:t>
            </w:r>
          </w:p>
          <w:p w14:paraId="63CDD844" w14:textId="4C3642AA" w:rsidR="007174EA" w:rsidRPr="008B1975" w:rsidRDefault="007174EA" w:rsidP="007174EA">
            <w:pPr>
              <w:pStyle w:val="Tablea"/>
            </w:pPr>
            <w:r w:rsidRPr="008B1975">
              <w:t>(b) on and after the commencement day to passenger loading zones</w:t>
            </w:r>
            <w:r w:rsidR="001061F7" w:rsidRPr="008B1975">
              <w:t xml:space="preserve"> and taxi ranks</w:t>
            </w:r>
            <w:r w:rsidRPr="008B1975">
              <w:t xml:space="preserve"> brought into service on or after that day; and</w:t>
            </w:r>
          </w:p>
          <w:p w14:paraId="6AEEA768" w14:textId="0A117C5D" w:rsidR="007174EA" w:rsidRPr="008B1975" w:rsidRDefault="007174EA" w:rsidP="007174EA">
            <w:pPr>
              <w:pStyle w:val="Tablea"/>
            </w:pPr>
            <w:r w:rsidRPr="008B1975">
              <w:lastRenderedPageBreak/>
              <w:t>(c) after the end of the 10</w:t>
            </w:r>
            <w:r w:rsidRPr="008B1975">
              <w:noBreakHyphen/>
              <w:t xml:space="preserve">year transitional period to passenger loading zones </w:t>
            </w:r>
            <w:r w:rsidR="001061F7" w:rsidRPr="008B1975">
              <w:t xml:space="preserve">and taxi ranks </w:t>
            </w:r>
            <w:r w:rsidRPr="008B1975">
              <w:t>that:</w:t>
            </w:r>
          </w:p>
          <w:p w14:paraId="6099208A" w14:textId="77777777" w:rsidR="007174EA" w:rsidRPr="008B1975" w:rsidRDefault="007174EA" w:rsidP="007174EA">
            <w:pPr>
              <w:pStyle w:val="Tablei"/>
            </w:pPr>
            <w:r w:rsidRPr="008B1975">
              <w:t>(i) existed before the commencement day; and</w:t>
            </w:r>
          </w:p>
          <w:p w14:paraId="6D822D5D" w14:textId="77777777" w:rsidR="007174EA" w:rsidRPr="008B1975" w:rsidRDefault="007174EA" w:rsidP="007174EA">
            <w:pPr>
              <w:pStyle w:val="Tablei"/>
            </w:pPr>
            <w:r w:rsidRPr="008B1975">
              <w:t>(ii) that remain in service after the end of that period.</w:t>
            </w:r>
          </w:p>
        </w:tc>
      </w:tr>
      <w:tr w:rsidR="007174EA" w:rsidRPr="008B1975" w14:paraId="7B7B21EC" w14:textId="77777777" w:rsidTr="007174EA">
        <w:trPr>
          <w:trHeight w:val="77"/>
        </w:trPr>
        <w:tc>
          <w:tcPr>
            <w:tcW w:w="426" w:type="pct"/>
            <w:tcBorders>
              <w:top w:val="single" w:sz="4" w:space="0" w:color="auto"/>
              <w:left w:val="nil"/>
              <w:bottom w:val="single" w:sz="4" w:space="0" w:color="auto"/>
              <w:right w:val="nil"/>
            </w:tcBorders>
          </w:tcPr>
          <w:p w14:paraId="1C1D8CA8" w14:textId="03661D22" w:rsidR="007174EA" w:rsidRPr="008B1975" w:rsidRDefault="002103D9" w:rsidP="007174EA">
            <w:pPr>
              <w:pStyle w:val="Tabletext"/>
            </w:pPr>
            <w:r w:rsidRPr="008B1975">
              <w:lastRenderedPageBreak/>
              <w:t>15</w:t>
            </w:r>
          </w:p>
        </w:tc>
        <w:tc>
          <w:tcPr>
            <w:tcW w:w="768" w:type="pct"/>
            <w:tcBorders>
              <w:top w:val="single" w:sz="4" w:space="0" w:color="auto"/>
              <w:left w:val="nil"/>
              <w:bottom w:val="single" w:sz="4" w:space="0" w:color="auto"/>
              <w:right w:val="nil"/>
            </w:tcBorders>
          </w:tcPr>
          <w:p w14:paraId="34A9D9CE" w14:textId="77777777" w:rsidR="007174EA" w:rsidRPr="008B1975" w:rsidRDefault="007174EA" w:rsidP="007174EA">
            <w:pPr>
              <w:pStyle w:val="Tabletext"/>
            </w:pPr>
            <w:r w:rsidRPr="008B1975">
              <w:t>Section 8.11</w:t>
            </w:r>
          </w:p>
        </w:tc>
        <w:tc>
          <w:tcPr>
            <w:tcW w:w="3806" w:type="pct"/>
            <w:tcBorders>
              <w:top w:val="single" w:sz="4" w:space="0" w:color="auto"/>
              <w:left w:val="nil"/>
              <w:bottom w:val="single" w:sz="4" w:space="0" w:color="auto"/>
              <w:right w:val="nil"/>
            </w:tcBorders>
          </w:tcPr>
          <w:p w14:paraId="73158654" w14:textId="77777777" w:rsidR="007174EA" w:rsidRPr="008B1975" w:rsidRDefault="007174EA" w:rsidP="007174EA">
            <w:pPr>
              <w:pStyle w:val="Tablea"/>
            </w:pPr>
            <w:r w:rsidRPr="008B1975">
              <w:t>(a) on and after the commencement day to passenger loading zones brought into service on or after that day; and</w:t>
            </w:r>
          </w:p>
          <w:p w14:paraId="1BCF4432" w14:textId="77777777" w:rsidR="007174EA" w:rsidRPr="008B1975" w:rsidRDefault="007174EA" w:rsidP="007174EA">
            <w:pPr>
              <w:pStyle w:val="Tablea"/>
            </w:pPr>
            <w:r w:rsidRPr="008B1975">
              <w:t>(b) after the end of the 10</w:t>
            </w:r>
            <w:r w:rsidRPr="008B1975">
              <w:noBreakHyphen/>
              <w:t>year transitional period to passenger loading zones that:</w:t>
            </w:r>
          </w:p>
          <w:p w14:paraId="7977F96B" w14:textId="77777777" w:rsidR="007174EA" w:rsidRPr="008B1975" w:rsidRDefault="007174EA" w:rsidP="007174EA">
            <w:pPr>
              <w:pStyle w:val="Tablei"/>
            </w:pPr>
            <w:r w:rsidRPr="008B1975">
              <w:t>(i) existed before the commencement day; and</w:t>
            </w:r>
          </w:p>
          <w:p w14:paraId="0AA8741D" w14:textId="77777777" w:rsidR="007174EA" w:rsidRPr="008B1975" w:rsidRDefault="007174EA" w:rsidP="007174EA">
            <w:pPr>
              <w:pStyle w:val="Tablei"/>
            </w:pPr>
            <w:r w:rsidRPr="008B1975">
              <w:t>(ii) that remain in service after the end of that period.</w:t>
            </w:r>
          </w:p>
        </w:tc>
      </w:tr>
      <w:tr w:rsidR="007174EA" w:rsidRPr="008B1975" w14:paraId="6CA592EB" w14:textId="77777777" w:rsidTr="007174EA">
        <w:trPr>
          <w:trHeight w:val="77"/>
        </w:trPr>
        <w:tc>
          <w:tcPr>
            <w:tcW w:w="426" w:type="pct"/>
            <w:tcBorders>
              <w:top w:val="single" w:sz="4" w:space="0" w:color="auto"/>
              <w:left w:val="nil"/>
              <w:bottom w:val="single" w:sz="4" w:space="0" w:color="auto"/>
              <w:right w:val="nil"/>
            </w:tcBorders>
          </w:tcPr>
          <w:p w14:paraId="3DD14D13" w14:textId="7F78537A" w:rsidR="007174EA" w:rsidRPr="008B1975" w:rsidRDefault="002103D9" w:rsidP="007174EA">
            <w:pPr>
              <w:pStyle w:val="Tabletext"/>
            </w:pPr>
            <w:r w:rsidRPr="008B1975">
              <w:t>16</w:t>
            </w:r>
          </w:p>
        </w:tc>
        <w:tc>
          <w:tcPr>
            <w:tcW w:w="768" w:type="pct"/>
            <w:tcBorders>
              <w:top w:val="single" w:sz="4" w:space="0" w:color="auto"/>
              <w:left w:val="nil"/>
              <w:bottom w:val="single" w:sz="4" w:space="0" w:color="auto"/>
              <w:right w:val="nil"/>
            </w:tcBorders>
          </w:tcPr>
          <w:p w14:paraId="2186B2F0" w14:textId="77777777" w:rsidR="007174EA" w:rsidRPr="008B1975" w:rsidRDefault="007174EA" w:rsidP="007174EA">
            <w:pPr>
              <w:pStyle w:val="Tabletext"/>
            </w:pPr>
            <w:r w:rsidRPr="008B1975">
              <w:t>Section 8.12</w:t>
            </w:r>
          </w:p>
        </w:tc>
        <w:tc>
          <w:tcPr>
            <w:tcW w:w="3806" w:type="pct"/>
            <w:tcBorders>
              <w:top w:val="single" w:sz="4" w:space="0" w:color="auto"/>
              <w:left w:val="nil"/>
              <w:bottom w:val="single" w:sz="4" w:space="0" w:color="auto"/>
              <w:right w:val="nil"/>
            </w:tcBorders>
          </w:tcPr>
          <w:p w14:paraId="478B5D48" w14:textId="46275D04" w:rsidR="007174EA" w:rsidRPr="008B1975" w:rsidRDefault="007174EA" w:rsidP="007174EA">
            <w:pPr>
              <w:pStyle w:val="Tablea"/>
            </w:pPr>
            <w:r w:rsidRPr="008B1975">
              <w:t xml:space="preserve">(a) on and after the commencement day to </w:t>
            </w:r>
            <w:r w:rsidR="001061F7" w:rsidRPr="008B1975">
              <w:t>taxi ranks</w:t>
            </w:r>
            <w:r w:rsidRPr="008B1975">
              <w:t xml:space="preserve"> brought into service on or after that day; and</w:t>
            </w:r>
          </w:p>
          <w:p w14:paraId="4886608F" w14:textId="752AE017" w:rsidR="007174EA" w:rsidRPr="008B1975" w:rsidRDefault="007174EA" w:rsidP="007174EA">
            <w:pPr>
              <w:pStyle w:val="Tablea"/>
            </w:pPr>
            <w:r w:rsidRPr="008B1975">
              <w:t>(b) after the end of the 10</w:t>
            </w:r>
            <w:r w:rsidRPr="008B1975">
              <w:noBreakHyphen/>
              <w:t xml:space="preserve">year transitional period to </w:t>
            </w:r>
            <w:r w:rsidR="001061F7" w:rsidRPr="008B1975">
              <w:t xml:space="preserve">taxi ranks </w:t>
            </w:r>
            <w:r w:rsidRPr="008B1975">
              <w:t>that:</w:t>
            </w:r>
          </w:p>
          <w:p w14:paraId="663319C6" w14:textId="77777777" w:rsidR="007174EA" w:rsidRPr="008B1975" w:rsidRDefault="007174EA" w:rsidP="007174EA">
            <w:pPr>
              <w:pStyle w:val="Tablei"/>
            </w:pPr>
            <w:r w:rsidRPr="008B1975">
              <w:t>(i) existed before the commencement day; and</w:t>
            </w:r>
          </w:p>
          <w:p w14:paraId="5170BA3D" w14:textId="77777777" w:rsidR="007174EA" w:rsidRPr="008B1975" w:rsidRDefault="007174EA" w:rsidP="007174EA">
            <w:pPr>
              <w:pStyle w:val="Tablei"/>
            </w:pPr>
            <w:r w:rsidRPr="008B1975">
              <w:t>(ii) that remain in service after the end of that period.</w:t>
            </w:r>
          </w:p>
        </w:tc>
      </w:tr>
      <w:tr w:rsidR="007174EA" w:rsidRPr="008B1975" w14:paraId="383826A4" w14:textId="77777777" w:rsidTr="003D1A8C">
        <w:trPr>
          <w:trHeight w:val="77"/>
        </w:trPr>
        <w:tc>
          <w:tcPr>
            <w:tcW w:w="426" w:type="pct"/>
            <w:tcBorders>
              <w:top w:val="single" w:sz="4" w:space="0" w:color="auto"/>
              <w:left w:val="nil"/>
              <w:bottom w:val="single" w:sz="12" w:space="0" w:color="auto"/>
              <w:right w:val="nil"/>
            </w:tcBorders>
          </w:tcPr>
          <w:p w14:paraId="27023CA1" w14:textId="08E3B74A" w:rsidR="007174EA" w:rsidRPr="008B1975" w:rsidRDefault="002103D9" w:rsidP="007174EA">
            <w:pPr>
              <w:pStyle w:val="Tabletext"/>
            </w:pPr>
            <w:r w:rsidRPr="008B1975">
              <w:t>17</w:t>
            </w:r>
          </w:p>
        </w:tc>
        <w:tc>
          <w:tcPr>
            <w:tcW w:w="768" w:type="pct"/>
            <w:tcBorders>
              <w:top w:val="single" w:sz="4" w:space="0" w:color="auto"/>
              <w:left w:val="nil"/>
              <w:bottom w:val="single" w:sz="12" w:space="0" w:color="auto"/>
              <w:right w:val="nil"/>
            </w:tcBorders>
          </w:tcPr>
          <w:p w14:paraId="1BDCBEB0" w14:textId="77777777" w:rsidR="007174EA" w:rsidRPr="008B1975" w:rsidRDefault="007174EA" w:rsidP="007174EA">
            <w:pPr>
              <w:pStyle w:val="Tabletext"/>
            </w:pPr>
            <w:r w:rsidRPr="008B1975">
              <w:t>Section 8.13</w:t>
            </w:r>
          </w:p>
        </w:tc>
        <w:tc>
          <w:tcPr>
            <w:tcW w:w="3806" w:type="pct"/>
            <w:tcBorders>
              <w:top w:val="single" w:sz="4" w:space="0" w:color="auto"/>
              <w:left w:val="nil"/>
              <w:bottom w:val="single" w:sz="12" w:space="0" w:color="auto"/>
              <w:right w:val="nil"/>
            </w:tcBorders>
          </w:tcPr>
          <w:p w14:paraId="7E8C2360" w14:textId="77777777" w:rsidR="007174EA" w:rsidRPr="008B1975" w:rsidRDefault="007174EA" w:rsidP="007174EA">
            <w:pPr>
              <w:pStyle w:val="Tablea"/>
            </w:pPr>
            <w:r w:rsidRPr="008B1975">
              <w:t xml:space="preserve">(a) on and after the commencement day to new premises and infrastructure; and </w:t>
            </w:r>
          </w:p>
          <w:p w14:paraId="613617FA" w14:textId="77777777" w:rsidR="007174EA" w:rsidRPr="008B1975" w:rsidRDefault="007174EA" w:rsidP="007174EA">
            <w:pPr>
              <w:pStyle w:val="Tablea"/>
            </w:pPr>
            <w:r w:rsidRPr="008B1975">
              <w:t>(b) on and after the commencement day to public parking areas brought into service on or after that day; and</w:t>
            </w:r>
          </w:p>
          <w:p w14:paraId="7342C6A1" w14:textId="77777777" w:rsidR="007174EA" w:rsidRPr="008B1975" w:rsidRDefault="007174EA" w:rsidP="007174EA">
            <w:pPr>
              <w:pStyle w:val="Tablea"/>
            </w:pPr>
            <w:r w:rsidRPr="008B1975">
              <w:t>(c) after the end of the 10</w:t>
            </w:r>
            <w:r w:rsidRPr="008B1975">
              <w:noBreakHyphen/>
              <w:t>year transitional period to public parking areas that:</w:t>
            </w:r>
          </w:p>
          <w:p w14:paraId="63CB1582" w14:textId="77777777" w:rsidR="007174EA" w:rsidRPr="008B1975" w:rsidRDefault="007174EA" w:rsidP="007174EA">
            <w:pPr>
              <w:pStyle w:val="Tablei"/>
            </w:pPr>
            <w:r w:rsidRPr="008B1975">
              <w:t>(i) existed before the commencement day; and</w:t>
            </w:r>
          </w:p>
          <w:p w14:paraId="0105025C" w14:textId="77777777" w:rsidR="007174EA" w:rsidRPr="008B1975" w:rsidRDefault="007174EA" w:rsidP="007174EA">
            <w:pPr>
              <w:pStyle w:val="Tablei"/>
            </w:pPr>
            <w:r w:rsidRPr="008B1975">
              <w:t>(ii) that remain in service after the end of that period.</w:t>
            </w:r>
          </w:p>
        </w:tc>
      </w:tr>
    </w:tbl>
    <w:bookmarkEnd w:id="373"/>
    <w:p w14:paraId="4DCE64AC" w14:textId="77777777" w:rsidR="007174EA" w:rsidRPr="008B1975" w:rsidRDefault="007174EA" w:rsidP="007174EA">
      <w:pPr>
        <w:pStyle w:val="ActHead5"/>
        <w:outlineLvl w:val="9"/>
      </w:pPr>
      <w:r w:rsidRPr="008B1975">
        <w:t>35.11  Application of Part 9 amendments</w:t>
      </w:r>
    </w:p>
    <w:p w14:paraId="01F8E844" w14:textId="77777777" w:rsidR="007174EA" w:rsidRPr="008B1975" w:rsidRDefault="007174EA" w:rsidP="007174EA">
      <w:pPr>
        <w:pStyle w:val="subsection"/>
      </w:pPr>
      <w:r w:rsidRPr="008B1975">
        <w:tab/>
      </w:r>
      <w:bookmarkStart w:id="374" w:name="_Hlk191474661"/>
      <w:r w:rsidRPr="008B1975">
        <w:tab/>
        <w:t>The following table provides for the application of certain provisions of Part 9 of the amended Standards.</w:t>
      </w:r>
      <w:bookmarkEnd w:id="374"/>
    </w:p>
    <w:p w14:paraId="44F31AA5"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10557F95" w14:textId="77777777" w:rsidTr="007174EA">
        <w:trPr>
          <w:trHeight w:val="300"/>
          <w:tblHeader/>
        </w:trPr>
        <w:tc>
          <w:tcPr>
            <w:tcW w:w="5000" w:type="pct"/>
            <w:gridSpan w:val="3"/>
            <w:tcBorders>
              <w:top w:val="single" w:sz="12" w:space="0" w:color="auto"/>
              <w:left w:val="nil"/>
              <w:bottom w:val="single" w:sz="6" w:space="0" w:color="auto"/>
              <w:right w:val="nil"/>
            </w:tcBorders>
          </w:tcPr>
          <w:p w14:paraId="3D5210A6" w14:textId="77777777" w:rsidR="007174EA" w:rsidRPr="008B1975" w:rsidRDefault="007174EA" w:rsidP="007174EA">
            <w:pPr>
              <w:pStyle w:val="TableHeading"/>
            </w:pPr>
            <w:r w:rsidRPr="008B1975">
              <w:t>Application of Part 9 amendments</w:t>
            </w:r>
          </w:p>
        </w:tc>
      </w:tr>
      <w:tr w:rsidR="007174EA" w:rsidRPr="008B1975" w14:paraId="09485AE1" w14:textId="77777777" w:rsidTr="007174EA">
        <w:trPr>
          <w:trHeight w:val="300"/>
          <w:tblHeader/>
        </w:trPr>
        <w:tc>
          <w:tcPr>
            <w:tcW w:w="369" w:type="pct"/>
            <w:tcBorders>
              <w:top w:val="single" w:sz="6" w:space="0" w:color="auto"/>
              <w:left w:val="nil"/>
              <w:bottom w:val="single" w:sz="12" w:space="0" w:color="auto"/>
              <w:right w:val="nil"/>
            </w:tcBorders>
          </w:tcPr>
          <w:p w14:paraId="3B0C3159"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5DCE0257" w14:textId="77777777" w:rsidR="007174EA" w:rsidRPr="008B1975" w:rsidRDefault="007174EA" w:rsidP="007174EA">
            <w:pPr>
              <w:pStyle w:val="TableHeading"/>
            </w:pPr>
            <w:r w:rsidRPr="008B1975">
              <w:t>This provision…</w:t>
            </w:r>
          </w:p>
        </w:tc>
        <w:tc>
          <w:tcPr>
            <w:tcW w:w="3873" w:type="pct"/>
            <w:tcBorders>
              <w:top w:val="single" w:sz="6" w:space="0" w:color="auto"/>
              <w:left w:val="nil"/>
              <w:bottom w:val="single" w:sz="12" w:space="0" w:color="auto"/>
              <w:right w:val="nil"/>
            </w:tcBorders>
            <w:hideMark/>
          </w:tcPr>
          <w:p w14:paraId="433CA9BC" w14:textId="77777777" w:rsidR="007174EA" w:rsidRPr="008B1975" w:rsidRDefault="007174EA" w:rsidP="007174EA">
            <w:pPr>
              <w:pStyle w:val="TableHeading"/>
            </w:pPr>
            <w:r w:rsidRPr="008B1975">
              <w:t>applies…</w:t>
            </w:r>
          </w:p>
        </w:tc>
      </w:tr>
      <w:tr w:rsidR="007174EA" w:rsidRPr="008B1975" w14:paraId="7A3021B5" w14:textId="77777777" w:rsidTr="007174EA">
        <w:trPr>
          <w:trHeight w:val="50"/>
        </w:trPr>
        <w:tc>
          <w:tcPr>
            <w:tcW w:w="369" w:type="pct"/>
            <w:tcBorders>
              <w:top w:val="single" w:sz="4" w:space="0" w:color="auto"/>
              <w:left w:val="nil"/>
              <w:bottom w:val="single" w:sz="4" w:space="0" w:color="auto"/>
              <w:right w:val="nil"/>
            </w:tcBorders>
          </w:tcPr>
          <w:p w14:paraId="37D32B74"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3B36C015" w14:textId="77777777" w:rsidR="007174EA" w:rsidRPr="008B1975" w:rsidRDefault="007174EA" w:rsidP="007174EA">
            <w:pPr>
              <w:pStyle w:val="Tabletext"/>
            </w:pPr>
            <w:r w:rsidRPr="008B1975">
              <w:t>Section 9.1A</w:t>
            </w:r>
          </w:p>
        </w:tc>
        <w:tc>
          <w:tcPr>
            <w:tcW w:w="3873" w:type="pct"/>
            <w:tcBorders>
              <w:top w:val="single" w:sz="4" w:space="0" w:color="auto"/>
              <w:left w:val="nil"/>
              <w:bottom w:val="single" w:sz="4" w:space="0" w:color="auto"/>
              <w:right w:val="nil"/>
            </w:tcBorders>
          </w:tcPr>
          <w:p w14:paraId="3E73AF49" w14:textId="77777777" w:rsidR="007174EA" w:rsidRPr="008B1975" w:rsidRDefault="007174EA" w:rsidP="007174EA">
            <w:pPr>
              <w:pStyle w:val="Tablea"/>
            </w:pPr>
            <w:r w:rsidRPr="008B1975">
              <w:t>(a) on and after the commencement day to new conveyances; and</w:t>
            </w:r>
          </w:p>
          <w:p w14:paraId="77184C32" w14:textId="77777777" w:rsidR="007174EA" w:rsidRPr="008B1975" w:rsidRDefault="007174EA" w:rsidP="007174EA">
            <w:pPr>
              <w:pStyle w:val="Tablea"/>
            </w:pPr>
            <w:r w:rsidRPr="008B1975">
              <w:t>(b) on and after the commencement day to objects or fixtures installed, on or after that day, that project into allocated space in existing conveyances.</w:t>
            </w:r>
          </w:p>
        </w:tc>
      </w:tr>
      <w:tr w:rsidR="007174EA" w:rsidRPr="008B1975" w14:paraId="5A38416F" w14:textId="77777777" w:rsidTr="007174EA">
        <w:trPr>
          <w:trHeight w:val="50"/>
        </w:trPr>
        <w:tc>
          <w:tcPr>
            <w:tcW w:w="369" w:type="pct"/>
            <w:tcBorders>
              <w:top w:val="single" w:sz="4" w:space="0" w:color="auto"/>
              <w:left w:val="nil"/>
              <w:bottom w:val="single" w:sz="4" w:space="0" w:color="auto"/>
              <w:right w:val="nil"/>
            </w:tcBorders>
          </w:tcPr>
          <w:p w14:paraId="238A0D39" w14:textId="77777777" w:rsidR="007174EA" w:rsidRPr="008B1975" w:rsidRDefault="007174EA" w:rsidP="007174EA">
            <w:pPr>
              <w:pStyle w:val="Tabletext"/>
            </w:pPr>
            <w:r w:rsidRPr="008B1975">
              <w:t>2</w:t>
            </w:r>
          </w:p>
        </w:tc>
        <w:tc>
          <w:tcPr>
            <w:tcW w:w="757" w:type="pct"/>
            <w:tcBorders>
              <w:top w:val="single" w:sz="4" w:space="0" w:color="auto"/>
              <w:left w:val="nil"/>
              <w:bottom w:val="single" w:sz="4" w:space="0" w:color="auto"/>
              <w:right w:val="nil"/>
            </w:tcBorders>
          </w:tcPr>
          <w:p w14:paraId="022A0FEA" w14:textId="77777777" w:rsidR="007174EA" w:rsidRPr="008B1975" w:rsidRDefault="007174EA" w:rsidP="007174EA">
            <w:pPr>
              <w:pStyle w:val="Tabletext"/>
            </w:pPr>
            <w:r w:rsidRPr="008B1975">
              <w:t>Section 9.1B</w:t>
            </w:r>
          </w:p>
        </w:tc>
        <w:tc>
          <w:tcPr>
            <w:tcW w:w="3873" w:type="pct"/>
            <w:tcBorders>
              <w:top w:val="single" w:sz="4" w:space="0" w:color="auto"/>
              <w:left w:val="nil"/>
              <w:bottom w:val="single" w:sz="4" w:space="0" w:color="auto"/>
              <w:right w:val="nil"/>
            </w:tcBorders>
          </w:tcPr>
          <w:p w14:paraId="22B12D12" w14:textId="77777777" w:rsidR="007174EA" w:rsidRPr="008B1975" w:rsidRDefault="007174EA" w:rsidP="007174EA">
            <w:pPr>
              <w:pStyle w:val="Tablea"/>
            </w:pPr>
            <w:r w:rsidRPr="008B1975">
              <w:t>(a) on and after the commencement day to new conveyances; and</w:t>
            </w:r>
          </w:p>
          <w:p w14:paraId="021AD3B4" w14:textId="77777777" w:rsidR="007174EA" w:rsidRPr="008B1975" w:rsidRDefault="007174EA" w:rsidP="007174EA">
            <w:pPr>
              <w:pStyle w:val="Tablea"/>
            </w:pPr>
            <w:r w:rsidRPr="008B1975">
              <w:t>(b) on and after the commencement day to signage installed on or after that day.</w:t>
            </w:r>
          </w:p>
        </w:tc>
      </w:tr>
      <w:tr w:rsidR="007174EA" w:rsidRPr="008B1975" w14:paraId="0CB1209B" w14:textId="77777777" w:rsidTr="003D1A8C">
        <w:trPr>
          <w:trHeight w:val="50"/>
        </w:trPr>
        <w:tc>
          <w:tcPr>
            <w:tcW w:w="369" w:type="pct"/>
            <w:tcBorders>
              <w:top w:val="single" w:sz="4" w:space="0" w:color="auto"/>
              <w:left w:val="nil"/>
              <w:bottom w:val="single" w:sz="12" w:space="0" w:color="auto"/>
              <w:right w:val="nil"/>
            </w:tcBorders>
          </w:tcPr>
          <w:p w14:paraId="3B331D23" w14:textId="77777777" w:rsidR="007174EA" w:rsidRPr="008B1975" w:rsidRDefault="007174EA" w:rsidP="007174EA">
            <w:pPr>
              <w:pStyle w:val="Tabletext"/>
            </w:pPr>
            <w:r w:rsidRPr="008B1975">
              <w:t>3</w:t>
            </w:r>
          </w:p>
        </w:tc>
        <w:tc>
          <w:tcPr>
            <w:tcW w:w="757" w:type="pct"/>
            <w:tcBorders>
              <w:top w:val="single" w:sz="4" w:space="0" w:color="auto"/>
              <w:left w:val="nil"/>
              <w:bottom w:val="single" w:sz="12" w:space="0" w:color="auto"/>
              <w:right w:val="nil"/>
            </w:tcBorders>
          </w:tcPr>
          <w:p w14:paraId="32F1A214" w14:textId="77777777" w:rsidR="007174EA" w:rsidRPr="008B1975" w:rsidRDefault="007174EA" w:rsidP="007174EA">
            <w:pPr>
              <w:pStyle w:val="Tabletext"/>
            </w:pPr>
            <w:r w:rsidRPr="008B1975">
              <w:t>Section 9.7</w:t>
            </w:r>
          </w:p>
        </w:tc>
        <w:tc>
          <w:tcPr>
            <w:tcW w:w="3873" w:type="pct"/>
            <w:tcBorders>
              <w:top w:val="single" w:sz="4" w:space="0" w:color="auto"/>
              <w:left w:val="nil"/>
              <w:bottom w:val="single" w:sz="12" w:space="0" w:color="auto"/>
              <w:right w:val="nil"/>
            </w:tcBorders>
          </w:tcPr>
          <w:p w14:paraId="7AE3B559" w14:textId="77777777" w:rsidR="007174EA" w:rsidRPr="008B1975" w:rsidRDefault="007174EA" w:rsidP="007174EA">
            <w:pPr>
              <w:pStyle w:val="Tabletext"/>
            </w:pPr>
            <w:r w:rsidRPr="008B1975">
              <w:t>on and after the commencement day to new conveyances.</w:t>
            </w:r>
          </w:p>
        </w:tc>
      </w:tr>
    </w:tbl>
    <w:p w14:paraId="023C84CC" w14:textId="77777777" w:rsidR="007174EA" w:rsidRPr="008B1975" w:rsidRDefault="007174EA" w:rsidP="007174EA">
      <w:pPr>
        <w:pStyle w:val="ActHead5"/>
        <w:outlineLvl w:val="9"/>
      </w:pPr>
      <w:r w:rsidRPr="008B1975">
        <w:t>35.12  Application of Part 10 amendments</w:t>
      </w:r>
    </w:p>
    <w:p w14:paraId="66BF3935" w14:textId="77777777" w:rsidR="007174EA" w:rsidRPr="008B1975" w:rsidRDefault="007174EA" w:rsidP="007174EA">
      <w:pPr>
        <w:pStyle w:val="subsection"/>
      </w:pPr>
      <w:r w:rsidRPr="008B1975">
        <w:tab/>
      </w:r>
      <w:r w:rsidRPr="008B1975">
        <w:tab/>
        <w:t>The following table provides for the application of certain provisions of Part 10 of the amended Standards.</w:t>
      </w:r>
    </w:p>
    <w:p w14:paraId="5102A1D0"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2E7D72D0" w14:textId="77777777" w:rsidTr="007174EA">
        <w:trPr>
          <w:trHeight w:val="300"/>
          <w:tblHeader/>
        </w:trPr>
        <w:tc>
          <w:tcPr>
            <w:tcW w:w="5000" w:type="pct"/>
            <w:gridSpan w:val="3"/>
            <w:tcBorders>
              <w:top w:val="single" w:sz="12" w:space="0" w:color="auto"/>
              <w:left w:val="nil"/>
              <w:bottom w:val="single" w:sz="6" w:space="0" w:color="auto"/>
              <w:right w:val="nil"/>
            </w:tcBorders>
          </w:tcPr>
          <w:p w14:paraId="6D068732" w14:textId="77777777" w:rsidR="007174EA" w:rsidRPr="008B1975" w:rsidRDefault="007174EA" w:rsidP="007174EA">
            <w:pPr>
              <w:pStyle w:val="TableHeading"/>
            </w:pPr>
            <w:bookmarkStart w:id="375" w:name="_Hlk191385824"/>
            <w:r w:rsidRPr="008B1975">
              <w:lastRenderedPageBreak/>
              <w:t>Application of Part 10 amendments</w:t>
            </w:r>
          </w:p>
        </w:tc>
      </w:tr>
      <w:tr w:rsidR="007174EA" w:rsidRPr="008B1975" w14:paraId="7D51ACC6" w14:textId="77777777" w:rsidTr="007174EA">
        <w:trPr>
          <w:trHeight w:val="300"/>
          <w:tblHeader/>
        </w:trPr>
        <w:tc>
          <w:tcPr>
            <w:tcW w:w="369" w:type="pct"/>
            <w:tcBorders>
              <w:top w:val="single" w:sz="6" w:space="0" w:color="auto"/>
              <w:left w:val="nil"/>
              <w:bottom w:val="single" w:sz="12" w:space="0" w:color="auto"/>
              <w:right w:val="nil"/>
            </w:tcBorders>
          </w:tcPr>
          <w:p w14:paraId="1DAA73E6"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2F2D0C55" w14:textId="77777777" w:rsidR="007174EA" w:rsidRPr="008B1975" w:rsidRDefault="007174EA" w:rsidP="007174EA">
            <w:pPr>
              <w:pStyle w:val="TableHeading"/>
            </w:pPr>
            <w:r w:rsidRPr="008B1975">
              <w:t>This provision…</w:t>
            </w:r>
          </w:p>
        </w:tc>
        <w:tc>
          <w:tcPr>
            <w:tcW w:w="3892" w:type="pct"/>
            <w:tcBorders>
              <w:top w:val="single" w:sz="6" w:space="0" w:color="auto"/>
              <w:left w:val="nil"/>
              <w:bottom w:val="single" w:sz="12" w:space="0" w:color="auto"/>
              <w:right w:val="nil"/>
            </w:tcBorders>
            <w:hideMark/>
          </w:tcPr>
          <w:p w14:paraId="6E3EE12F" w14:textId="77777777" w:rsidR="007174EA" w:rsidRPr="008B1975" w:rsidRDefault="007174EA" w:rsidP="007174EA">
            <w:pPr>
              <w:pStyle w:val="TableHeading"/>
            </w:pPr>
            <w:r w:rsidRPr="008B1975">
              <w:t>applies…</w:t>
            </w:r>
          </w:p>
        </w:tc>
      </w:tr>
      <w:tr w:rsidR="007174EA" w:rsidRPr="008B1975" w14:paraId="19BF0B22" w14:textId="77777777" w:rsidTr="007174EA">
        <w:trPr>
          <w:trHeight w:val="50"/>
        </w:trPr>
        <w:tc>
          <w:tcPr>
            <w:tcW w:w="369" w:type="pct"/>
            <w:tcBorders>
              <w:top w:val="single" w:sz="4" w:space="0" w:color="auto"/>
              <w:left w:val="nil"/>
              <w:bottom w:val="single" w:sz="4" w:space="0" w:color="auto"/>
              <w:right w:val="nil"/>
            </w:tcBorders>
          </w:tcPr>
          <w:p w14:paraId="415E2CED" w14:textId="77777777" w:rsidR="007174EA" w:rsidRPr="008B1975" w:rsidRDefault="007174EA" w:rsidP="007174EA">
            <w:pPr>
              <w:pStyle w:val="Tabletext"/>
            </w:pPr>
            <w:r w:rsidRPr="008B1975">
              <w:t>1</w:t>
            </w:r>
          </w:p>
        </w:tc>
        <w:tc>
          <w:tcPr>
            <w:tcW w:w="739" w:type="pct"/>
            <w:tcBorders>
              <w:top w:val="single" w:sz="4" w:space="0" w:color="auto"/>
              <w:left w:val="nil"/>
              <w:bottom w:val="single" w:sz="4" w:space="0" w:color="auto"/>
              <w:right w:val="nil"/>
            </w:tcBorders>
          </w:tcPr>
          <w:p w14:paraId="54EE69D2" w14:textId="77777777" w:rsidR="007174EA" w:rsidRPr="008B1975" w:rsidRDefault="007174EA" w:rsidP="007174EA">
            <w:pPr>
              <w:pStyle w:val="Tabletext"/>
            </w:pPr>
            <w:r w:rsidRPr="008B1975">
              <w:t>Section 10.2</w:t>
            </w:r>
          </w:p>
        </w:tc>
        <w:tc>
          <w:tcPr>
            <w:tcW w:w="3892" w:type="pct"/>
            <w:tcBorders>
              <w:top w:val="single" w:sz="4" w:space="0" w:color="auto"/>
              <w:left w:val="nil"/>
              <w:bottom w:val="single" w:sz="4" w:space="0" w:color="auto"/>
              <w:right w:val="nil"/>
            </w:tcBorders>
          </w:tcPr>
          <w:p w14:paraId="595E8271" w14:textId="77777777" w:rsidR="007174EA" w:rsidRPr="008B1975" w:rsidRDefault="007174EA" w:rsidP="007174EA">
            <w:pPr>
              <w:pStyle w:val="Tabletext"/>
            </w:pPr>
            <w:r w:rsidRPr="008B1975">
              <w:t>on and after the commencement day to floors installed on or after that day.</w:t>
            </w:r>
          </w:p>
        </w:tc>
      </w:tr>
      <w:tr w:rsidR="007174EA" w:rsidRPr="008B1975" w14:paraId="1F3C13BA" w14:textId="77777777" w:rsidTr="007174EA">
        <w:trPr>
          <w:trHeight w:val="50"/>
        </w:trPr>
        <w:tc>
          <w:tcPr>
            <w:tcW w:w="369" w:type="pct"/>
            <w:tcBorders>
              <w:top w:val="single" w:sz="4" w:space="0" w:color="auto"/>
              <w:left w:val="nil"/>
              <w:bottom w:val="single" w:sz="12" w:space="0" w:color="auto"/>
              <w:right w:val="nil"/>
            </w:tcBorders>
          </w:tcPr>
          <w:p w14:paraId="511AE846" w14:textId="77777777" w:rsidR="007174EA" w:rsidRPr="008B1975" w:rsidRDefault="007174EA" w:rsidP="007174EA">
            <w:pPr>
              <w:pStyle w:val="Tabletext"/>
            </w:pPr>
            <w:r w:rsidRPr="008B1975">
              <w:t>2</w:t>
            </w:r>
          </w:p>
        </w:tc>
        <w:tc>
          <w:tcPr>
            <w:tcW w:w="739" w:type="pct"/>
            <w:tcBorders>
              <w:top w:val="single" w:sz="4" w:space="0" w:color="auto"/>
              <w:left w:val="nil"/>
              <w:bottom w:val="single" w:sz="12" w:space="0" w:color="auto"/>
              <w:right w:val="nil"/>
            </w:tcBorders>
          </w:tcPr>
          <w:p w14:paraId="104DA5DE" w14:textId="77777777" w:rsidR="007174EA" w:rsidRPr="008B1975" w:rsidRDefault="007174EA" w:rsidP="007174EA">
            <w:pPr>
              <w:pStyle w:val="Tabletext"/>
            </w:pPr>
            <w:r w:rsidRPr="008B1975">
              <w:t>Section 10.4</w:t>
            </w:r>
          </w:p>
        </w:tc>
        <w:tc>
          <w:tcPr>
            <w:tcW w:w="3892" w:type="pct"/>
            <w:tcBorders>
              <w:top w:val="single" w:sz="4" w:space="0" w:color="auto"/>
              <w:left w:val="nil"/>
              <w:bottom w:val="single" w:sz="12" w:space="0" w:color="auto"/>
              <w:right w:val="nil"/>
            </w:tcBorders>
          </w:tcPr>
          <w:p w14:paraId="0DE0E05C" w14:textId="77777777" w:rsidR="007174EA" w:rsidRPr="008B1975" w:rsidRDefault="007174EA" w:rsidP="007174EA">
            <w:pPr>
              <w:pStyle w:val="Tablea"/>
            </w:pPr>
            <w:r w:rsidRPr="008B1975">
              <w:t>(a) on and after the commencement day to surfaces, columns, street furniture and fixtures installed on or after that day; and</w:t>
            </w:r>
          </w:p>
          <w:p w14:paraId="070BF16F" w14:textId="77777777" w:rsidR="007174EA" w:rsidRPr="008B1975" w:rsidRDefault="007174EA" w:rsidP="007174EA">
            <w:pPr>
              <w:pStyle w:val="Tablea"/>
            </w:pPr>
            <w:r w:rsidRPr="008B1975">
              <w:t>(b) after the end of the 10</w:t>
            </w:r>
            <w:r w:rsidRPr="008B1975">
              <w:noBreakHyphen/>
              <w:t>year transitional period to surfaces, columns, street furniture and fixtures that:</w:t>
            </w:r>
          </w:p>
          <w:p w14:paraId="7039D1CA" w14:textId="5C6D7637" w:rsidR="007174EA" w:rsidRPr="008B1975" w:rsidRDefault="007174EA" w:rsidP="007174EA">
            <w:pPr>
              <w:pStyle w:val="Tablei"/>
            </w:pPr>
            <w:r w:rsidRPr="008B1975">
              <w:t>(i) existed before the commencement day; and</w:t>
            </w:r>
          </w:p>
          <w:p w14:paraId="75322180" w14:textId="77777777" w:rsidR="007174EA" w:rsidRPr="008B1975" w:rsidRDefault="007174EA" w:rsidP="007174EA">
            <w:pPr>
              <w:pStyle w:val="Tablei"/>
            </w:pPr>
            <w:r w:rsidRPr="008B1975">
              <w:t>(ii) that remain in service after the end of that period.</w:t>
            </w:r>
          </w:p>
        </w:tc>
      </w:tr>
    </w:tbl>
    <w:bookmarkEnd w:id="375"/>
    <w:p w14:paraId="5ECD9385" w14:textId="77777777" w:rsidR="007174EA" w:rsidRPr="008B1975" w:rsidRDefault="007174EA" w:rsidP="007174EA">
      <w:pPr>
        <w:pStyle w:val="notedraft"/>
        <w:rPr>
          <w:b/>
          <w:i w:val="0"/>
          <w:color w:val="000000" w:themeColor="text1"/>
        </w:rPr>
      </w:pPr>
      <w:r w:rsidRPr="008B1975">
        <w:rPr>
          <w:b/>
          <w:i w:val="0"/>
          <w:color w:val="000000" w:themeColor="text1"/>
        </w:rPr>
        <w:t>35.13  Application of Part 11 amendments</w:t>
      </w:r>
    </w:p>
    <w:p w14:paraId="0FA14410" w14:textId="77777777" w:rsidR="007174EA" w:rsidRPr="008B1975" w:rsidRDefault="007174EA" w:rsidP="007174EA">
      <w:pPr>
        <w:pStyle w:val="subsection"/>
      </w:pPr>
      <w:r w:rsidRPr="008B1975">
        <w:tab/>
      </w:r>
      <w:r w:rsidRPr="008B1975">
        <w:tab/>
        <w:t>The following table provides for the application of certain</w:t>
      </w:r>
      <w:r w:rsidRPr="008B1975">
        <w:rPr>
          <w:i/>
        </w:rPr>
        <w:t xml:space="preserve"> </w:t>
      </w:r>
      <w:r w:rsidRPr="008B1975">
        <w:t>provisions of Part 11 of the amended Standards.</w:t>
      </w:r>
    </w:p>
    <w:p w14:paraId="38BCDF1F"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674DCFF3" w14:textId="77777777" w:rsidTr="007174EA">
        <w:trPr>
          <w:trHeight w:val="300"/>
          <w:tblHeader/>
        </w:trPr>
        <w:tc>
          <w:tcPr>
            <w:tcW w:w="5000" w:type="pct"/>
            <w:gridSpan w:val="3"/>
            <w:tcBorders>
              <w:top w:val="single" w:sz="12" w:space="0" w:color="auto"/>
              <w:left w:val="nil"/>
              <w:bottom w:val="single" w:sz="6" w:space="0" w:color="auto"/>
              <w:right w:val="nil"/>
            </w:tcBorders>
          </w:tcPr>
          <w:p w14:paraId="40C882C6" w14:textId="77777777" w:rsidR="007174EA" w:rsidRPr="008B1975" w:rsidRDefault="007174EA" w:rsidP="007174EA">
            <w:pPr>
              <w:pStyle w:val="TableHeading"/>
            </w:pPr>
            <w:r w:rsidRPr="008B1975">
              <w:t>Application of Part 11 amendments</w:t>
            </w:r>
          </w:p>
        </w:tc>
      </w:tr>
      <w:tr w:rsidR="007174EA" w:rsidRPr="008B1975" w14:paraId="29CBD93C" w14:textId="77777777" w:rsidTr="007174EA">
        <w:trPr>
          <w:trHeight w:val="300"/>
          <w:tblHeader/>
        </w:trPr>
        <w:tc>
          <w:tcPr>
            <w:tcW w:w="369" w:type="pct"/>
            <w:tcBorders>
              <w:top w:val="single" w:sz="6" w:space="0" w:color="auto"/>
              <w:left w:val="nil"/>
              <w:bottom w:val="single" w:sz="12" w:space="0" w:color="auto"/>
              <w:right w:val="nil"/>
            </w:tcBorders>
          </w:tcPr>
          <w:p w14:paraId="2F2F9E4E"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50D8E7EF" w14:textId="77777777" w:rsidR="007174EA" w:rsidRPr="008B1975" w:rsidRDefault="007174EA" w:rsidP="007174EA">
            <w:pPr>
              <w:pStyle w:val="TableHeading"/>
            </w:pPr>
            <w:r w:rsidRPr="008B1975">
              <w:t>This provision…</w:t>
            </w:r>
          </w:p>
        </w:tc>
        <w:tc>
          <w:tcPr>
            <w:tcW w:w="3892" w:type="pct"/>
            <w:tcBorders>
              <w:top w:val="single" w:sz="6" w:space="0" w:color="auto"/>
              <w:left w:val="nil"/>
              <w:bottom w:val="single" w:sz="12" w:space="0" w:color="auto"/>
              <w:right w:val="nil"/>
            </w:tcBorders>
            <w:hideMark/>
          </w:tcPr>
          <w:p w14:paraId="2C468E3F" w14:textId="77777777" w:rsidR="007174EA" w:rsidRPr="008B1975" w:rsidRDefault="007174EA" w:rsidP="007174EA">
            <w:pPr>
              <w:pStyle w:val="TableHeading"/>
            </w:pPr>
            <w:r w:rsidRPr="008B1975">
              <w:t>applies…</w:t>
            </w:r>
          </w:p>
        </w:tc>
      </w:tr>
      <w:tr w:rsidR="007174EA" w:rsidRPr="008B1975" w14:paraId="149D7BA7" w14:textId="77777777" w:rsidTr="007174EA">
        <w:trPr>
          <w:trHeight w:val="50"/>
        </w:trPr>
        <w:tc>
          <w:tcPr>
            <w:tcW w:w="369" w:type="pct"/>
            <w:tcBorders>
              <w:top w:val="single" w:sz="4" w:space="0" w:color="auto"/>
              <w:left w:val="nil"/>
              <w:bottom w:val="single" w:sz="4" w:space="0" w:color="auto"/>
              <w:right w:val="nil"/>
            </w:tcBorders>
          </w:tcPr>
          <w:p w14:paraId="0C599E2E" w14:textId="77777777" w:rsidR="007174EA" w:rsidRPr="008B1975" w:rsidRDefault="007174EA" w:rsidP="007174EA">
            <w:pPr>
              <w:pStyle w:val="Tabletext"/>
            </w:pPr>
            <w:r w:rsidRPr="008B1975">
              <w:t>1</w:t>
            </w:r>
          </w:p>
        </w:tc>
        <w:tc>
          <w:tcPr>
            <w:tcW w:w="739" w:type="pct"/>
            <w:tcBorders>
              <w:top w:val="single" w:sz="4" w:space="0" w:color="auto"/>
              <w:left w:val="nil"/>
              <w:bottom w:val="single" w:sz="4" w:space="0" w:color="auto"/>
              <w:right w:val="nil"/>
            </w:tcBorders>
          </w:tcPr>
          <w:p w14:paraId="6515F3D8" w14:textId="77777777" w:rsidR="007174EA" w:rsidRPr="008B1975" w:rsidRDefault="007174EA" w:rsidP="007174EA">
            <w:pPr>
              <w:pStyle w:val="Tabletext"/>
            </w:pPr>
            <w:r w:rsidRPr="008B1975">
              <w:t>Section 11.1</w:t>
            </w:r>
          </w:p>
        </w:tc>
        <w:tc>
          <w:tcPr>
            <w:tcW w:w="3892" w:type="pct"/>
            <w:tcBorders>
              <w:top w:val="single" w:sz="4" w:space="0" w:color="auto"/>
              <w:left w:val="nil"/>
              <w:bottom w:val="single" w:sz="4" w:space="0" w:color="auto"/>
              <w:right w:val="nil"/>
            </w:tcBorders>
          </w:tcPr>
          <w:p w14:paraId="16389AF6" w14:textId="77777777" w:rsidR="007174EA" w:rsidRPr="008B1975" w:rsidRDefault="007174EA" w:rsidP="007174EA">
            <w:pPr>
              <w:pStyle w:val="Tabletext"/>
            </w:pPr>
            <w:r w:rsidRPr="008B1975">
              <w:t>on and after the commencement day to handrails installed on or after that day.</w:t>
            </w:r>
          </w:p>
        </w:tc>
      </w:tr>
      <w:tr w:rsidR="007174EA" w:rsidRPr="008B1975" w14:paraId="5F43257D" w14:textId="77777777" w:rsidTr="007174EA">
        <w:trPr>
          <w:trHeight w:val="50"/>
        </w:trPr>
        <w:tc>
          <w:tcPr>
            <w:tcW w:w="369" w:type="pct"/>
            <w:tcBorders>
              <w:top w:val="single" w:sz="4" w:space="0" w:color="auto"/>
              <w:left w:val="nil"/>
              <w:bottom w:val="single" w:sz="4" w:space="0" w:color="auto"/>
              <w:right w:val="nil"/>
            </w:tcBorders>
          </w:tcPr>
          <w:p w14:paraId="789D768E" w14:textId="77777777" w:rsidR="007174EA" w:rsidRPr="008B1975" w:rsidRDefault="007174EA" w:rsidP="007174EA">
            <w:pPr>
              <w:pStyle w:val="Tabletext"/>
            </w:pPr>
            <w:r w:rsidRPr="008B1975">
              <w:t>2</w:t>
            </w:r>
          </w:p>
        </w:tc>
        <w:tc>
          <w:tcPr>
            <w:tcW w:w="739" w:type="pct"/>
            <w:tcBorders>
              <w:top w:val="single" w:sz="4" w:space="0" w:color="auto"/>
              <w:left w:val="nil"/>
              <w:bottom w:val="single" w:sz="4" w:space="0" w:color="auto"/>
              <w:right w:val="nil"/>
            </w:tcBorders>
          </w:tcPr>
          <w:p w14:paraId="4BDA0AF7" w14:textId="77777777" w:rsidR="007174EA" w:rsidRPr="008B1975" w:rsidRDefault="007174EA" w:rsidP="007174EA">
            <w:pPr>
              <w:pStyle w:val="Tabletext"/>
            </w:pPr>
            <w:r w:rsidRPr="008B1975">
              <w:t>Section 11.2</w:t>
            </w:r>
          </w:p>
        </w:tc>
        <w:tc>
          <w:tcPr>
            <w:tcW w:w="3892" w:type="pct"/>
            <w:tcBorders>
              <w:top w:val="single" w:sz="4" w:space="0" w:color="auto"/>
              <w:left w:val="nil"/>
              <w:bottom w:val="single" w:sz="4" w:space="0" w:color="auto"/>
              <w:right w:val="nil"/>
            </w:tcBorders>
          </w:tcPr>
          <w:p w14:paraId="06E3766F" w14:textId="77777777" w:rsidR="007174EA" w:rsidRPr="008B1975" w:rsidRDefault="007174EA" w:rsidP="007174EA">
            <w:pPr>
              <w:pStyle w:val="Tabletext"/>
            </w:pPr>
            <w:r w:rsidRPr="008B1975">
              <w:t>on and after the commencement day to new premises and infrastructure.</w:t>
            </w:r>
          </w:p>
        </w:tc>
      </w:tr>
      <w:tr w:rsidR="007174EA" w:rsidRPr="008B1975" w14:paraId="26A78AA9" w14:textId="77777777" w:rsidTr="007174EA">
        <w:trPr>
          <w:trHeight w:val="50"/>
        </w:trPr>
        <w:tc>
          <w:tcPr>
            <w:tcW w:w="369" w:type="pct"/>
            <w:tcBorders>
              <w:top w:val="single" w:sz="4" w:space="0" w:color="auto"/>
              <w:left w:val="nil"/>
              <w:bottom w:val="single" w:sz="4" w:space="0" w:color="auto"/>
              <w:right w:val="nil"/>
            </w:tcBorders>
          </w:tcPr>
          <w:p w14:paraId="2E0209D9" w14:textId="77777777" w:rsidR="007174EA" w:rsidRPr="008B1975" w:rsidRDefault="007174EA" w:rsidP="007174EA">
            <w:pPr>
              <w:pStyle w:val="Tabletext"/>
            </w:pPr>
            <w:r w:rsidRPr="008B1975">
              <w:t>3</w:t>
            </w:r>
          </w:p>
        </w:tc>
        <w:tc>
          <w:tcPr>
            <w:tcW w:w="739" w:type="pct"/>
            <w:tcBorders>
              <w:top w:val="single" w:sz="4" w:space="0" w:color="auto"/>
              <w:left w:val="nil"/>
              <w:bottom w:val="single" w:sz="4" w:space="0" w:color="auto"/>
              <w:right w:val="nil"/>
            </w:tcBorders>
          </w:tcPr>
          <w:p w14:paraId="1F4090B7" w14:textId="77777777" w:rsidR="007174EA" w:rsidRPr="008B1975" w:rsidRDefault="007174EA" w:rsidP="007174EA">
            <w:pPr>
              <w:pStyle w:val="Tabletext"/>
            </w:pPr>
            <w:r w:rsidRPr="008B1975">
              <w:t>Section 11.3</w:t>
            </w:r>
          </w:p>
        </w:tc>
        <w:tc>
          <w:tcPr>
            <w:tcW w:w="3892" w:type="pct"/>
            <w:tcBorders>
              <w:top w:val="single" w:sz="4" w:space="0" w:color="auto"/>
              <w:left w:val="nil"/>
              <w:bottom w:val="single" w:sz="4" w:space="0" w:color="auto"/>
              <w:right w:val="nil"/>
            </w:tcBorders>
          </w:tcPr>
          <w:p w14:paraId="0AFC8FE1" w14:textId="77777777" w:rsidR="007174EA" w:rsidRPr="008B1975" w:rsidRDefault="007174EA" w:rsidP="007174EA">
            <w:pPr>
              <w:pStyle w:val="Tablea"/>
            </w:pPr>
            <w:r w:rsidRPr="008B1975">
              <w:t>(a) on and after the commencement day to new conveyances; and</w:t>
            </w:r>
          </w:p>
          <w:p w14:paraId="16286496" w14:textId="77777777" w:rsidR="007174EA" w:rsidRPr="008B1975" w:rsidRDefault="007174EA" w:rsidP="007174EA">
            <w:pPr>
              <w:pStyle w:val="Tablea"/>
            </w:pPr>
            <w:r w:rsidRPr="008B1975">
              <w:t>(b) on and after the commencement day to handrails installed on or after that day.</w:t>
            </w:r>
          </w:p>
        </w:tc>
      </w:tr>
      <w:tr w:rsidR="007174EA" w:rsidRPr="008B1975" w14:paraId="46C7B8BF" w14:textId="77777777" w:rsidTr="007174EA">
        <w:trPr>
          <w:trHeight w:val="50"/>
        </w:trPr>
        <w:tc>
          <w:tcPr>
            <w:tcW w:w="369" w:type="pct"/>
            <w:tcBorders>
              <w:top w:val="single" w:sz="4" w:space="0" w:color="auto"/>
              <w:left w:val="nil"/>
              <w:bottom w:val="single" w:sz="4" w:space="0" w:color="auto"/>
              <w:right w:val="nil"/>
            </w:tcBorders>
          </w:tcPr>
          <w:p w14:paraId="047F49C5" w14:textId="77777777" w:rsidR="007174EA" w:rsidRPr="008B1975" w:rsidRDefault="007174EA" w:rsidP="007174EA">
            <w:pPr>
              <w:pStyle w:val="Tabletext"/>
            </w:pPr>
            <w:r w:rsidRPr="008B1975">
              <w:t>4</w:t>
            </w:r>
          </w:p>
        </w:tc>
        <w:tc>
          <w:tcPr>
            <w:tcW w:w="739" w:type="pct"/>
            <w:tcBorders>
              <w:top w:val="single" w:sz="4" w:space="0" w:color="auto"/>
              <w:left w:val="nil"/>
              <w:bottom w:val="single" w:sz="4" w:space="0" w:color="auto"/>
              <w:right w:val="nil"/>
            </w:tcBorders>
          </w:tcPr>
          <w:p w14:paraId="223DABE9" w14:textId="77777777" w:rsidR="007174EA" w:rsidRPr="008B1975" w:rsidRDefault="007174EA" w:rsidP="007174EA">
            <w:pPr>
              <w:pStyle w:val="Tabletext"/>
            </w:pPr>
            <w:r w:rsidRPr="008B1975">
              <w:t>Section 11.4A</w:t>
            </w:r>
          </w:p>
        </w:tc>
        <w:tc>
          <w:tcPr>
            <w:tcW w:w="3892" w:type="pct"/>
            <w:tcBorders>
              <w:top w:val="single" w:sz="4" w:space="0" w:color="auto"/>
              <w:left w:val="nil"/>
              <w:bottom w:val="single" w:sz="4" w:space="0" w:color="auto"/>
              <w:right w:val="nil"/>
            </w:tcBorders>
          </w:tcPr>
          <w:p w14:paraId="32F8DCF7" w14:textId="77777777" w:rsidR="007174EA" w:rsidRPr="008B1975" w:rsidRDefault="007174EA" w:rsidP="007174EA">
            <w:pPr>
              <w:pStyle w:val="Tablea"/>
            </w:pPr>
            <w:r w:rsidRPr="008B1975">
              <w:t>(a) on and after the commencement day to new conveyances; and</w:t>
            </w:r>
          </w:p>
          <w:p w14:paraId="1041C8F9" w14:textId="77777777" w:rsidR="007174EA" w:rsidRPr="008B1975" w:rsidRDefault="007174EA" w:rsidP="007174EA">
            <w:pPr>
              <w:pStyle w:val="Tablea"/>
            </w:pPr>
            <w:r w:rsidRPr="008B1975">
              <w:t>(b) on and after the commencement day to handrails installed on or after that day.</w:t>
            </w:r>
          </w:p>
        </w:tc>
      </w:tr>
      <w:tr w:rsidR="007174EA" w:rsidRPr="008B1975" w14:paraId="6E3D3623" w14:textId="77777777" w:rsidTr="007174EA">
        <w:trPr>
          <w:trHeight w:val="50"/>
        </w:trPr>
        <w:tc>
          <w:tcPr>
            <w:tcW w:w="369" w:type="pct"/>
            <w:tcBorders>
              <w:top w:val="single" w:sz="4" w:space="0" w:color="auto"/>
              <w:left w:val="nil"/>
              <w:bottom w:val="single" w:sz="4" w:space="0" w:color="auto"/>
              <w:right w:val="nil"/>
            </w:tcBorders>
          </w:tcPr>
          <w:p w14:paraId="77074B61" w14:textId="77777777" w:rsidR="007174EA" w:rsidRPr="008B1975" w:rsidRDefault="007174EA" w:rsidP="007174EA">
            <w:pPr>
              <w:pStyle w:val="Tabletext"/>
            </w:pPr>
            <w:r w:rsidRPr="008B1975">
              <w:t>5</w:t>
            </w:r>
          </w:p>
        </w:tc>
        <w:tc>
          <w:tcPr>
            <w:tcW w:w="739" w:type="pct"/>
            <w:tcBorders>
              <w:top w:val="single" w:sz="4" w:space="0" w:color="auto"/>
              <w:left w:val="nil"/>
              <w:bottom w:val="single" w:sz="4" w:space="0" w:color="auto"/>
              <w:right w:val="nil"/>
            </w:tcBorders>
          </w:tcPr>
          <w:p w14:paraId="6DE3B9D4" w14:textId="77777777" w:rsidR="007174EA" w:rsidRPr="008B1975" w:rsidRDefault="007174EA" w:rsidP="007174EA">
            <w:pPr>
              <w:pStyle w:val="Tabletext"/>
            </w:pPr>
            <w:r w:rsidRPr="008B1975">
              <w:t>Section 11.7</w:t>
            </w:r>
          </w:p>
        </w:tc>
        <w:tc>
          <w:tcPr>
            <w:tcW w:w="3892" w:type="pct"/>
            <w:tcBorders>
              <w:top w:val="single" w:sz="4" w:space="0" w:color="auto"/>
              <w:left w:val="nil"/>
              <w:bottom w:val="single" w:sz="4" w:space="0" w:color="auto"/>
              <w:right w:val="nil"/>
            </w:tcBorders>
          </w:tcPr>
          <w:p w14:paraId="545CE1F1" w14:textId="77777777" w:rsidR="007174EA" w:rsidRPr="008B1975" w:rsidRDefault="007174EA" w:rsidP="007174EA">
            <w:pPr>
              <w:pStyle w:val="Tablea"/>
            </w:pPr>
            <w:r w:rsidRPr="008B1975">
              <w:t>(a) on and after the commencement day to new conveyances; and</w:t>
            </w:r>
          </w:p>
          <w:p w14:paraId="0A54B1FF" w14:textId="77777777" w:rsidR="007174EA" w:rsidRPr="008B1975" w:rsidRDefault="007174EA" w:rsidP="007174EA">
            <w:pPr>
              <w:pStyle w:val="Tablea"/>
            </w:pPr>
            <w:r w:rsidRPr="008B1975">
              <w:t>(b) on and after the commencement day to grabrails installed on or after that day.</w:t>
            </w:r>
          </w:p>
        </w:tc>
      </w:tr>
      <w:tr w:rsidR="007174EA" w:rsidRPr="008B1975" w14:paraId="0952315A" w14:textId="77777777" w:rsidTr="007174EA">
        <w:trPr>
          <w:trHeight w:val="70"/>
        </w:trPr>
        <w:tc>
          <w:tcPr>
            <w:tcW w:w="369" w:type="pct"/>
            <w:tcBorders>
              <w:top w:val="single" w:sz="4" w:space="0" w:color="auto"/>
              <w:left w:val="nil"/>
              <w:bottom w:val="single" w:sz="12" w:space="0" w:color="auto"/>
              <w:right w:val="nil"/>
            </w:tcBorders>
          </w:tcPr>
          <w:p w14:paraId="3D52C6E4" w14:textId="77777777" w:rsidR="007174EA" w:rsidRPr="008B1975" w:rsidRDefault="007174EA" w:rsidP="007174EA">
            <w:pPr>
              <w:pStyle w:val="Tabletext"/>
            </w:pPr>
            <w:r w:rsidRPr="008B1975">
              <w:t>6</w:t>
            </w:r>
          </w:p>
        </w:tc>
        <w:tc>
          <w:tcPr>
            <w:tcW w:w="739" w:type="pct"/>
            <w:tcBorders>
              <w:top w:val="single" w:sz="4" w:space="0" w:color="auto"/>
              <w:left w:val="nil"/>
              <w:bottom w:val="single" w:sz="12" w:space="0" w:color="auto"/>
              <w:right w:val="nil"/>
            </w:tcBorders>
          </w:tcPr>
          <w:p w14:paraId="2BA4DB24" w14:textId="77777777" w:rsidR="007174EA" w:rsidRPr="008B1975" w:rsidRDefault="007174EA" w:rsidP="007174EA">
            <w:pPr>
              <w:pStyle w:val="Tabletext"/>
            </w:pPr>
            <w:r w:rsidRPr="008B1975">
              <w:t>Section 11.8</w:t>
            </w:r>
          </w:p>
        </w:tc>
        <w:tc>
          <w:tcPr>
            <w:tcW w:w="3892" w:type="pct"/>
            <w:tcBorders>
              <w:top w:val="single" w:sz="4" w:space="0" w:color="auto"/>
              <w:left w:val="nil"/>
              <w:bottom w:val="single" w:sz="12" w:space="0" w:color="auto"/>
              <w:right w:val="nil"/>
            </w:tcBorders>
          </w:tcPr>
          <w:p w14:paraId="6E77C466" w14:textId="77777777" w:rsidR="007174EA" w:rsidRPr="008B1975" w:rsidRDefault="007174EA" w:rsidP="007174EA">
            <w:pPr>
              <w:pStyle w:val="Tablea"/>
            </w:pPr>
            <w:r w:rsidRPr="008B1975">
              <w:t>(a) on and after the commencement day to new conveyances; and</w:t>
            </w:r>
          </w:p>
          <w:p w14:paraId="03B67279" w14:textId="77777777" w:rsidR="007174EA" w:rsidRPr="008B1975" w:rsidRDefault="007174EA" w:rsidP="007174EA">
            <w:pPr>
              <w:pStyle w:val="Tablea"/>
            </w:pPr>
            <w:r w:rsidRPr="008B1975">
              <w:t>(b) on and after the commencement day to grabrails installed on or after that day.</w:t>
            </w:r>
          </w:p>
        </w:tc>
      </w:tr>
    </w:tbl>
    <w:p w14:paraId="313BEF50" w14:textId="77777777" w:rsidR="007174EA" w:rsidRPr="008B1975" w:rsidRDefault="007174EA" w:rsidP="007174EA">
      <w:pPr>
        <w:pStyle w:val="notedraft"/>
        <w:ind w:left="0" w:firstLine="0"/>
        <w:rPr>
          <w:b/>
          <w:i w:val="0"/>
          <w:color w:val="000000" w:themeColor="text1"/>
        </w:rPr>
      </w:pPr>
      <w:r w:rsidRPr="008B1975">
        <w:rPr>
          <w:b/>
          <w:i w:val="0"/>
          <w:color w:val="000000" w:themeColor="text1"/>
        </w:rPr>
        <w:t>35.14  Application of Part 12 amendments</w:t>
      </w:r>
    </w:p>
    <w:p w14:paraId="63588A94" w14:textId="77777777" w:rsidR="007174EA" w:rsidRPr="008B1975" w:rsidRDefault="007174EA" w:rsidP="007174EA">
      <w:pPr>
        <w:pStyle w:val="subsection"/>
      </w:pPr>
      <w:r w:rsidRPr="008B1975">
        <w:tab/>
        <w:t>(1)</w:t>
      </w:r>
      <w:r w:rsidRPr="008B1975">
        <w:tab/>
        <w:t>The following table provides for the application of certain provisions of Part 12 of the amended Standards.</w:t>
      </w:r>
    </w:p>
    <w:p w14:paraId="56C94AA6"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066F105C" w14:textId="77777777" w:rsidTr="007174EA">
        <w:trPr>
          <w:trHeight w:val="300"/>
          <w:tblHeader/>
        </w:trPr>
        <w:tc>
          <w:tcPr>
            <w:tcW w:w="5000" w:type="pct"/>
            <w:gridSpan w:val="3"/>
            <w:tcBorders>
              <w:top w:val="single" w:sz="12" w:space="0" w:color="auto"/>
              <w:left w:val="nil"/>
              <w:bottom w:val="single" w:sz="6" w:space="0" w:color="auto"/>
              <w:right w:val="nil"/>
            </w:tcBorders>
          </w:tcPr>
          <w:p w14:paraId="034197F4" w14:textId="77777777" w:rsidR="007174EA" w:rsidRPr="008B1975" w:rsidRDefault="007174EA" w:rsidP="007174EA">
            <w:pPr>
              <w:pStyle w:val="TableHeading"/>
            </w:pPr>
            <w:r w:rsidRPr="008B1975">
              <w:t>Application of Part 12 amendments</w:t>
            </w:r>
          </w:p>
        </w:tc>
      </w:tr>
      <w:tr w:rsidR="007174EA" w:rsidRPr="008B1975" w14:paraId="7036079D" w14:textId="77777777" w:rsidTr="007174EA">
        <w:trPr>
          <w:trHeight w:val="300"/>
          <w:tblHeader/>
        </w:trPr>
        <w:tc>
          <w:tcPr>
            <w:tcW w:w="369" w:type="pct"/>
            <w:tcBorders>
              <w:top w:val="single" w:sz="6" w:space="0" w:color="auto"/>
              <w:left w:val="nil"/>
              <w:bottom w:val="single" w:sz="12" w:space="0" w:color="auto"/>
              <w:right w:val="nil"/>
            </w:tcBorders>
          </w:tcPr>
          <w:p w14:paraId="6DD34D0C"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5E3FBBF6" w14:textId="77777777" w:rsidR="007174EA" w:rsidRPr="008B1975" w:rsidRDefault="007174EA" w:rsidP="007174EA">
            <w:pPr>
              <w:pStyle w:val="TableHeading"/>
            </w:pPr>
            <w:r w:rsidRPr="008B1975">
              <w:t>This provision…</w:t>
            </w:r>
          </w:p>
        </w:tc>
        <w:tc>
          <w:tcPr>
            <w:tcW w:w="3892" w:type="pct"/>
            <w:tcBorders>
              <w:top w:val="single" w:sz="6" w:space="0" w:color="auto"/>
              <w:left w:val="nil"/>
              <w:bottom w:val="single" w:sz="12" w:space="0" w:color="auto"/>
              <w:right w:val="nil"/>
            </w:tcBorders>
            <w:hideMark/>
          </w:tcPr>
          <w:p w14:paraId="4E1AAB9A" w14:textId="77777777" w:rsidR="007174EA" w:rsidRPr="008B1975" w:rsidRDefault="007174EA" w:rsidP="007174EA">
            <w:pPr>
              <w:pStyle w:val="TableHeading"/>
            </w:pPr>
            <w:r w:rsidRPr="008B1975">
              <w:t>applies…</w:t>
            </w:r>
          </w:p>
        </w:tc>
      </w:tr>
      <w:tr w:rsidR="007174EA" w:rsidRPr="008B1975" w14:paraId="2A23AEBF" w14:textId="77777777" w:rsidTr="007174EA">
        <w:trPr>
          <w:trHeight w:val="1086"/>
        </w:trPr>
        <w:tc>
          <w:tcPr>
            <w:tcW w:w="369" w:type="pct"/>
            <w:tcBorders>
              <w:top w:val="single" w:sz="4" w:space="0" w:color="auto"/>
              <w:left w:val="nil"/>
              <w:right w:val="nil"/>
            </w:tcBorders>
          </w:tcPr>
          <w:p w14:paraId="63CEF59D" w14:textId="77777777" w:rsidR="007174EA" w:rsidRPr="008B1975" w:rsidRDefault="007174EA" w:rsidP="007174EA">
            <w:pPr>
              <w:pStyle w:val="Tabletext"/>
            </w:pPr>
            <w:r w:rsidRPr="008B1975">
              <w:t>1</w:t>
            </w:r>
          </w:p>
        </w:tc>
        <w:tc>
          <w:tcPr>
            <w:tcW w:w="739" w:type="pct"/>
            <w:tcBorders>
              <w:top w:val="single" w:sz="4" w:space="0" w:color="auto"/>
              <w:left w:val="nil"/>
              <w:right w:val="nil"/>
            </w:tcBorders>
          </w:tcPr>
          <w:p w14:paraId="15B17150" w14:textId="77777777" w:rsidR="007174EA" w:rsidRPr="008B1975" w:rsidRDefault="007174EA" w:rsidP="007174EA">
            <w:pPr>
              <w:pStyle w:val="Tabletext"/>
            </w:pPr>
            <w:r w:rsidRPr="008B1975">
              <w:t>Section 12.2</w:t>
            </w:r>
          </w:p>
        </w:tc>
        <w:tc>
          <w:tcPr>
            <w:tcW w:w="3892" w:type="pct"/>
            <w:tcBorders>
              <w:top w:val="single" w:sz="4" w:space="0" w:color="auto"/>
              <w:left w:val="nil"/>
              <w:right w:val="nil"/>
            </w:tcBorders>
          </w:tcPr>
          <w:p w14:paraId="5354C568" w14:textId="77777777" w:rsidR="007174EA" w:rsidRPr="008B1975" w:rsidRDefault="007174EA" w:rsidP="007174EA">
            <w:pPr>
              <w:pStyle w:val="Tablea"/>
            </w:pPr>
            <w:r w:rsidRPr="008B1975">
              <w:t>(a) on and after the commencement day to new premises and infrastructure; and</w:t>
            </w:r>
          </w:p>
          <w:p w14:paraId="7625FB39" w14:textId="77777777" w:rsidR="007174EA" w:rsidRPr="008B1975" w:rsidRDefault="007174EA" w:rsidP="007174EA">
            <w:pPr>
              <w:pStyle w:val="Tablea"/>
            </w:pPr>
            <w:r w:rsidRPr="008B1975">
              <w:t>(b) on and after the commencement day to doorways and doors installed on or after that day.</w:t>
            </w:r>
          </w:p>
        </w:tc>
      </w:tr>
      <w:tr w:rsidR="007174EA" w:rsidRPr="008B1975" w14:paraId="60C72F49" w14:textId="77777777" w:rsidTr="007174EA">
        <w:trPr>
          <w:trHeight w:val="50"/>
        </w:trPr>
        <w:tc>
          <w:tcPr>
            <w:tcW w:w="369" w:type="pct"/>
            <w:tcBorders>
              <w:top w:val="single" w:sz="4" w:space="0" w:color="auto"/>
              <w:left w:val="nil"/>
              <w:bottom w:val="single" w:sz="4" w:space="0" w:color="auto"/>
              <w:right w:val="nil"/>
            </w:tcBorders>
          </w:tcPr>
          <w:p w14:paraId="35F3A4BD" w14:textId="77777777" w:rsidR="007174EA" w:rsidRPr="008B1975" w:rsidRDefault="007174EA" w:rsidP="007174EA">
            <w:pPr>
              <w:pStyle w:val="Tabletext"/>
            </w:pPr>
            <w:r w:rsidRPr="008B1975">
              <w:t>2</w:t>
            </w:r>
          </w:p>
        </w:tc>
        <w:tc>
          <w:tcPr>
            <w:tcW w:w="739" w:type="pct"/>
            <w:tcBorders>
              <w:top w:val="single" w:sz="4" w:space="0" w:color="auto"/>
              <w:left w:val="nil"/>
              <w:bottom w:val="single" w:sz="4" w:space="0" w:color="auto"/>
              <w:right w:val="nil"/>
            </w:tcBorders>
          </w:tcPr>
          <w:p w14:paraId="5F03A7D9" w14:textId="77777777" w:rsidR="007174EA" w:rsidRPr="008B1975" w:rsidRDefault="007174EA" w:rsidP="007174EA">
            <w:pPr>
              <w:pStyle w:val="Tabletext"/>
            </w:pPr>
            <w:r w:rsidRPr="008B1975">
              <w:t>Section 12.4</w:t>
            </w:r>
          </w:p>
        </w:tc>
        <w:tc>
          <w:tcPr>
            <w:tcW w:w="3892" w:type="pct"/>
            <w:tcBorders>
              <w:top w:val="single" w:sz="4" w:space="0" w:color="auto"/>
              <w:left w:val="nil"/>
              <w:bottom w:val="single" w:sz="4" w:space="0" w:color="auto"/>
              <w:right w:val="nil"/>
            </w:tcBorders>
          </w:tcPr>
          <w:p w14:paraId="2A4B0AB9" w14:textId="77777777" w:rsidR="007174EA" w:rsidRPr="008B1975" w:rsidRDefault="007174EA" w:rsidP="007174EA">
            <w:pPr>
              <w:pStyle w:val="Tablea"/>
            </w:pPr>
            <w:r w:rsidRPr="008B1975">
              <w:t>(a) on and after the commencement day to doorways and doors installed on or after that day; and</w:t>
            </w:r>
          </w:p>
          <w:p w14:paraId="1BE71B59" w14:textId="77777777" w:rsidR="007174EA" w:rsidRPr="008B1975" w:rsidRDefault="007174EA" w:rsidP="007174EA">
            <w:pPr>
              <w:pStyle w:val="Tablea"/>
            </w:pPr>
            <w:r w:rsidRPr="008B1975">
              <w:lastRenderedPageBreak/>
              <w:t>(b) after the end of the 5</w:t>
            </w:r>
            <w:r w:rsidRPr="008B1975">
              <w:noBreakHyphen/>
              <w:t>year transitional period to doorways and doors that:</w:t>
            </w:r>
          </w:p>
          <w:p w14:paraId="0C10EB65" w14:textId="77777777" w:rsidR="007174EA" w:rsidRPr="008B1975" w:rsidRDefault="007174EA" w:rsidP="007174EA">
            <w:pPr>
              <w:pStyle w:val="Tablei"/>
            </w:pPr>
            <w:r w:rsidRPr="008B1975">
              <w:t>(i) existed before the commencement day; and</w:t>
            </w:r>
          </w:p>
          <w:p w14:paraId="00232ECD" w14:textId="77777777" w:rsidR="007174EA" w:rsidRPr="008B1975" w:rsidRDefault="007174EA" w:rsidP="007174EA">
            <w:pPr>
              <w:pStyle w:val="Tablei"/>
            </w:pPr>
            <w:r w:rsidRPr="008B1975">
              <w:t>(ii) that remain in service after the end of that period.</w:t>
            </w:r>
          </w:p>
        </w:tc>
      </w:tr>
      <w:tr w:rsidR="007174EA" w:rsidRPr="008B1975" w14:paraId="49258352" w14:textId="77777777" w:rsidTr="007174EA">
        <w:trPr>
          <w:trHeight w:val="50"/>
        </w:trPr>
        <w:tc>
          <w:tcPr>
            <w:tcW w:w="369" w:type="pct"/>
            <w:tcBorders>
              <w:top w:val="single" w:sz="4" w:space="0" w:color="auto"/>
              <w:left w:val="nil"/>
              <w:bottom w:val="single" w:sz="12" w:space="0" w:color="auto"/>
              <w:right w:val="nil"/>
            </w:tcBorders>
          </w:tcPr>
          <w:p w14:paraId="546DE1EE" w14:textId="77777777" w:rsidR="007174EA" w:rsidRPr="008B1975" w:rsidRDefault="007174EA" w:rsidP="007174EA">
            <w:pPr>
              <w:pStyle w:val="Tabletext"/>
            </w:pPr>
            <w:r w:rsidRPr="008B1975">
              <w:lastRenderedPageBreak/>
              <w:t>3</w:t>
            </w:r>
          </w:p>
        </w:tc>
        <w:tc>
          <w:tcPr>
            <w:tcW w:w="739" w:type="pct"/>
            <w:tcBorders>
              <w:top w:val="single" w:sz="4" w:space="0" w:color="auto"/>
              <w:left w:val="nil"/>
              <w:bottom w:val="single" w:sz="12" w:space="0" w:color="auto"/>
              <w:right w:val="nil"/>
            </w:tcBorders>
          </w:tcPr>
          <w:p w14:paraId="16814A98" w14:textId="77777777" w:rsidR="007174EA" w:rsidRPr="008B1975" w:rsidRDefault="007174EA" w:rsidP="007174EA">
            <w:pPr>
              <w:pStyle w:val="Tabletext"/>
            </w:pPr>
            <w:r w:rsidRPr="008B1975">
              <w:t>Section 12.7</w:t>
            </w:r>
          </w:p>
        </w:tc>
        <w:tc>
          <w:tcPr>
            <w:tcW w:w="3892" w:type="pct"/>
            <w:tcBorders>
              <w:top w:val="single" w:sz="4" w:space="0" w:color="auto"/>
              <w:left w:val="nil"/>
              <w:bottom w:val="single" w:sz="12" w:space="0" w:color="auto"/>
              <w:right w:val="nil"/>
            </w:tcBorders>
          </w:tcPr>
          <w:p w14:paraId="7917689B" w14:textId="77777777" w:rsidR="007174EA" w:rsidRPr="008B1975" w:rsidRDefault="007174EA" w:rsidP="007174EA">
            <w:pPr>
              <w:pStyle w:val="Tablea"/>
            </w:pPr>
            <w:r w:rsidRPr="008B1975">
              <w:t>(a) on and after the commencement day to new conveyances and new premises and infrastructure; and</w:t>
            </w:r>
          </w:p>
          <w:p w14:paraId="1214F5C7" w14:textId="77777777" w:rsidR="007174EA" w:rsidRPr="008B1975" w:rsidRDefault="007174EA" w:rsidP="007174EA">
            <w:pPr>
              <w:pStyle w:val="Tablea"/>
            </w:pPr>
            <w:r w:rsidRPr="008B1975">
              <w:t>(b) on and after the commencement day to doors installed on or after that day.</w:t>
            </w:r>
          </w:p>
        </w:tc>
      </w:tr>
    </w:tbl>
    <w:p w14:paraId="3F2BCB30" w14:textId="77777777" w:rsidR="007174EA" w:rsidRPr="008B1975" w:rsidRDefault="007174EA" w:rsidP="007174EA">
      <w:pPr>
        <w:pStyle w:val="notedraft"/>
        <w:rPr>
          <w:b/>
          <w:i w:val="0"/>
          <w:color w:val="000000" w:themeColor="text1"/>
        </w:rPr>
      </w:pPr>
      <w:r w:rsidRPr="008B1975">
        <w:rPr>
          <w:b/>
          <w:i w:val="0"/>
          <w:color w:val="000000" w:themeColor="text1"/>
        </w:rPr>
        <w:t>35.15  Application of Part 13 amendments</w:t>
      </w:r>
    </w:p>
    <w:p w14:paraId="0E1EC795" w14:textId="77777777" w:rsidR="007174EA" w:rsidRPr="008B1975" w:rsidRDefault="007174EA" w:rsidP="007174EA">
      <w:pPr>
        <w:pStyle w:val="subsection"/>
      </w:pPr>
      <w:r w:rsidRPr="008B1975">
        <w:tab/>
      </w:r>
      <w:bookmarkStart w:id="376" w:name="_Hlk191475609"/>
      <w:r w:rsidRPr="008B1975">
        <w:tab/>
        <w:t>The following table provides for the application of certain provisions of Part 13 of the amended Standards.</w:t>
      </w:r>
      <w:bookmarkEnd w:id="376"/>
    </w:p>
    <w:p w14:paraId="4DDB5C1F"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40985FB0" w14:textId="77777777" w:rsidTr="007174EA">
        <w:trPr>
          <w:trHeight w:val="300"/>
          <w:tblHeader/>
        </w:trPr>
        <w:tc>
          <w:tcPr>
            <w:tcW w:w="5000" w:type="pct"/>
            <w:gridSpan w:val="3"/>
            <w:tcBorders>
              <w:top w:val="single" w:sz="12" w:space="0" w:color="auto"/>
              <w:left w:val="nil"/>
              <w:bottom w:val="single" w:sz="6" w:space="0" w:color="auto"/>
              <w:right w:val="nil"/>
            </w:tcBorders>
          </w:tcPr>
          <w:p w14:paraId="7369E58E" w14:textId="77777777" w:rsidR="007174EA" w:rsidRPr="008B1975" w:rsidRDefault="007174EA" w:rsidP="007174EA">
            <w:pPr>
              <w:pStyle w:val="TableHeading"/>
            </w:pPr>
            <w:r w:rsidRPr="008B1975">
              <w:t>Application of Part 13 amendments</w:t>
            </w:r>
          </w:p>
        </w:tc>
      </w:tr>
      <w:tr w:rsidR="007174EA" w:rsidRPr="008B1975" w14:paraId="772E5CFF" w14:textId="77777777" w:rsidTr="007174EA">
        <w:trPr>
          <w:trHeight w:val="300"/>
          <w:tblHeader/>
        </w:trPr>
        <w:tc>
          <w:tcPr>
            <w:tcW w:w="369" w:type="pct"/>
            <w:tcBorders>
              <w:top w:val="single" w:sz="6" w:space="0" w:color="auto"/>
              <w:left w:val="nil"/>
              <w:bottom w:val="single" w:sz="12" w:space="0" w:color="auto"/>
              <w:right w:val="nil"/>
            </w:tcBorders>
          </w:tcPr>
          <w:p w14:paraId="309BBA61"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6149F41A"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6D26739E" w14:textId="77777777" w:rsidR="007174EA" w:rsidRPr="008B1975" w:rsidRDefault="007174EA" w:rsidP="007174EA">
            <w:pPr>
              <w:pStyle w:val="TableHeading"/>
            </w:pPr>
            <w:r w:rsidRPr="008B1975">
              <w:t>applies…</w:t>
            </w:r>
          </w:p>
        </w:tc>
      </w:tr>
      <w:tr w:rsidR="007174EA" w:rsidRPr="008B1975" w14:paraId="1922FC40" w14:textId="77777777" w:rsidTr="007174EA">
        <w:trPr>
          <w:trHeight w:val="50"/>
        </w:trPr>
        <w:tc>
          <w:tcPr>
            <w:tcW w:w="369" w:type="pct"/>
            <w:tcBorders>
              <w:top w:val="single" w:sz="4" w:space="0" w:color="auto"/>
              <w:left w:val="nil"/>
              <w:bottom w:val="single" w:sz="4" w:space="0" w:color="auto"/>
              <w:right w:val="nil"/>
            </w:tcBorders>
          </w:tcPr>
          <w:p w14:paraId="48B2925B"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05A5804F" w14:textId="77777777" w:rsidR="007174EA" w:rsidRPr="008B1975" w:rsidRDefault="007174EA" w:rsidP="007174EA">
            <w:pPr>
              <w:pStyle w:val="Tabletext"/>
            </w:pPr>
            <w:r w:rsidRPr="008B1975">
              <w:t>Section 13.1</w:t>
            </w:r>
          </w:p>
        </w:tc>
        <w:tc>
          <w:tcPr>
            <w:tcW w:w="3874" w:type="pct"/>
            <w:tcBorders>
              <w:top w:val="single" w:sz="4" w:space="0" w:color="auto"/>
              <w:left w:val="nil"/>
              <w:bottom w:val="single" w:sz="4" w:space="0" w:color="auto"/>
              <w:right w:val="nil"/>
            </w:tcBorders>
          </w:tcPr>
          <w:p w14:paraId="3938029C" w14:textId="77777777" w:rsidR="007174EA" w:rsidRPr="008B1975" w:rsidRDefault="007174EA" w:rsidP="007174EA">
            <w:pPr>
              <w:pStyle w:val="Tablea"/>
            </w:pPr>
            <w:r w:rsidRPr="008B1975">
              <w:t>(a) on and after the commencement day to new premises and infrastructure; and</w:t>
            </w:r>
          </w:p>
          <w:p w14:paraId="34C8DF15" w14:textId="77777777" w:rsidR="007174EA" w:rsidRPr="008B1975" w:rsidRDefault="007174EA" w:rsidP="007174EA">
            <w:pPr>
              <w:pStyle w:val="Tablea"/>
            </w:pPr>
            <w:r w:rsidRPr="008B1975">
              <w:t>(b) on and after the commencement day to lifts installed on or after that day.</w:t>
            </w:r>
          </w:p>
        </w:tc>
      </w:tr>
      <w:tr w:rsidR="007174EA" w:rsidRPr="008B1975" w14:paraId="62BF075E" w14:textId="77777777" w:rsidTr="007174EA">
        <w:trPr>
          <w:trHeight w:val="50"/>
        </w:trPr>
        <w:tc>
          <w:tcPr>
            <w:tcW w:w="369" w:type="pct"/>
            <w:tcBorders>
              <w:top w:val="single" w:sz="4" w:space="0" w:color="auto"/>
              <w:left w:val="nil"/>
              <w:bottom w:val="single" w:sz="4" w:space="0" w:color="auto"/>
              <w:right w:val="nil"/>
            </w:tcBorders>
          </w:tcPr>
          <w:p w14:paraId="6E33F1FF" w14:textId="77777777" w:rsidR="007174EA" w:rsidRPr="008B1975" w:rsidRDefault="007174EA" w:rsidP="007174EA">
            <w:pPr>
              <w:pStyle w:val="Tabletext"/>
            </w:pPr>
            <w:r w:rsidRPr="008B1975">
              <w:t>2</w:t>
            </w:r>
          </w:p>
        </w:tc>
        <w:tc>
          <w:tcPr>
            <w:tcW w:w="757" w:type="pct"/>
            <w:tcBorders>
              <w:top w:val="single" w:sz="4" w:space="0" w:color="auto"/>
              <w:left w:val="nil"/>
              <w:bottom w:val="single" w:sz="4" w:space="0" w:color="auto"/>
              <w:right w:val="nil"/>
            </w:tcBorders>
          </w:tcPr>
          <w:p w14:paraId="59D7C02B" w14:textId="77777777" w:rsidR="007174EA" w:rsidRPr="008B1975" w:rsidRDefault="007174EA" w:rsidP="007174EA">
            <w:pPr>
              <w:pStyle w:val="Tabletext"/>
            </w:pPr>
            <w:r w:rsidRPr="008B1975">
              <w:t>Section 13.2</w:t>
            </w:r>
          </w:p>
        </w:tc>
        <w:tc>
          <w:tcPr>
            <w:tcW w:w="3874" w:type="pct"/>
            <w:tcBorders>
              <w:top w:val="single" w:sz="4" w:space="0" w:color="auto"/>
              <w:left w:val="nil"/>
              <w:bottom w:val="single" w:sz="4" w:space="0" w:color="auto"/>
              <w:right w:val="nil"/>
            </w:tcBorders>
          </w:tcPr>
          <w:p w14:paraId="44F40744" w14:textId="77777777" w:rsidR="007174EA" w:rsidRPr="008B1975" w:rsidRDefault="007174EA" w:rsidP="007174EA">
            <w:pPr>
              <w:pStyle w:val="Tablea"/>
            </w:pPr>
            <w:r w:rsidRPr="008B1975">
              <w:t>(a) on and after the commencement day to lift landings provided on or after that day; and</w:t>
            </w:r>
          </w:p>
          <w:p w14:paraId="60C786C8" w14:textId="77777777" w:rsidR="007174EA" w:rsidRPr="008B1975" w:rsidRDefault="007174EA" w:rsidP="007174EA">
            <w:pPr>
              <w:pStyle w:val="Tablea"/>
            </w:pPr>
            <w:r w:rsidRPr="008B1975">
              <w:t>(b) after the end of the 5</w:t>
            </w:r>
            <w:r w:rsidRPr="008B1975">
              <w:noBreakHyphen/>
              <w:t>year transitional period to lift landings that:</w:t>
            </w:r>
          </w:p>
          <w:p w14:paraId="618A80A5" w14:textId="77777777" w:rsidR="007174EA" w:rsidRPr="008B1975" w:rsidRDefault="007174EA" w:rsidP="007174EA">
            <w:pPr>
              <w:pStyle w:val="Tablei"/>
            </w:pPr>
            <w:r w:rsidRPr="008B1975">
              <w:t>(i) existed before the commencement day; and</w:t>
            </w:r>
          </w:p>
          <w:p w14:paraId="1976198D" w14:textId="77777777" w:rsidR="007174EA" w:rsidRPr="008B1975" w:rsidRDefault="007174EA" w:rsidP="007174EA">
            <w:pPr>
              <w:pStyle w:val="Tablei"/>
            </w:pPr>
            <w:r w:rsidRPr="008B1975">
              <w:t>(ii) that remain in service after the end of that period.</w:t>
            </w:r>
          </w:p>
        </w:tc>
      </w:tr>
      <w:tr w:rsidR="007174EA" w:rsidRPr="008B1975" w14:paraId="449342AC" w14:textId="77777777" w:rsidTr="007174EA">
        <w:trPr>
          <w:trHeight w:val="50"/>
        </w:trPr>
        <w:tc>
          <w:tcPr>
            <w:tcW w:w="369" w:type="pct"/>
            <w:tcBorders>
              <w:top w:val="single" w:sz="4" w:space="0" w:color="auto"/>
              <w:left w:val="nil"/>
              <w:bottom w:val="single" w:sz="4" w:space="0" w:color="auto"/>
              <w:right w:val="nil"/>
            </w:tcBorders>
          </w:tcPr>
          <w:p w14:paraId="558A967C" w14:textId="77777777" w:rsidR="007174EA" w:rsidRPr="008B1975" w:rsidRDefault="007174EA" w:rsidP="007174EA">
            <w:pPr>
              <w:pStyle w:val="Tabletext"/>
            </w:pPr>
            <w:r w:rsidRPr="008B1975">
              <w:t>3</w:t>
            </w:r>
          </w:p>
        </w:tc>
        <w:tc>
          <w:tcPr>
            <w:tcW w:w="757" w:type="pct"/>
            <w:tcBorders>
              <w:top w:val="single" w:sz="4" w:space="0" w:color="auto"/>
              <w:left w:val="nil"/>
              <w:bottom w:val="single" w:sz="4" w:space="0" w:color="auto"/>
              <w:right w:val="nil"/>
            </w:tcBorders>
          </w:tcPr>
          <w:p w14:paraId="40BBFE1F" w14:textId="77777777" w:rsidR="007174EA" w:rsidRPr="008B1975" w:rsidRDefault="007174EA" w:rsidP="007174EA">
            <w:pPr>
              <w:pStyle w:val="Tabletext"/>
            </w:pPr>
            <w:r w:rsidRPr="008B1975">
              <w:t>Section 13.3</w:t>
            </w:r>
          </w:p>
        </w:tc>
        <w:tc>
          <w:tcPr>
            <w:tcW w:w="3874" w:type="pct"/>
            <w:tcBorders>
              <w:top w:val="single" w:sz="4" w:space="0" w:color="auto"/>
              <w:left w:val="nil"/>
              <w:bottom w:val="single" w:sz="4" w:space="0" w:color="auto"/>
              <w:right w:val="nil"/>
            </w:tcBorders>
          </w:tcPr>
          <w:p w14:paraId="0710B465" w14:textId="77777777" w:rsidR="007174EA" w:rsidRPr="008B1975" w:rsidRDefault="007174EA" w:rsidP="007174EA">
            <w:pPr>
              <w:pStyle w:val="Tablea"/>
            </w:pPr>
            <w:r w:rsidRPr="008B1975">
              <w:t>(a) on and after the commencement day to new premises and infrastructure; and</w:t>
            </w:r>
          </w:p>
          <w:p w14:paraId="26E544F5" w14:textId="77777777" w:rsidR="007174EA" w:rsidRPr="008B1975" w:rsidRDefault="007174EA" w:rsidP="007174EA">
            <w:pPr>
              <w:pStyle w:val="Tablea"/>
            </w:pPr>
            <w:r w:rsidRPr="008B1975">
              <w:t>(b) on and after the commencement day to lifts installed on or after that day.</w:t>
            </w:r>
          </w:p>
        </w:tc>
      </w:tr>
      <w:tr w:rsidR="007174EA" w:rsidRPr="008B1975" w14:paraId="6F7E9C8E" w14:textId="77777777" w:rsidTr="00EF7451">
        <w:trPr>
          <w:trHeight w:val="50"/>
        </w:trPr>
        <w:tc>
          <w:tcPr>
            <w:tcW w:w="369" w:type="pct"/>
            <w:tcBorders>
              <w:top w:val="single" w:sz="4" w:space="0" w:color="auto"/>
              <w:left w:val="nil"/>
              <w:bottom w:val="single" w:sz="12" w:space="0" w:color="auto"/>
              <w:right w:val="nil"/>
            </w:tcBorders>
          </w:tcPr>
          <w:p w14:paraId="607187E4" w14:textId="77777777" w:rsidR="007174EA" w:rsidRPr="008B1975" w:rsidRDefault="007174EA" w:rsidP="007174EA">
            <w:pPr>
              <w:pStyle w:val="Tabletext"/>
            </w:pPr>
            <w:r w:rsidRPr="008B1975">
              <w:t>4</w:t>
            </w:r>
          </w:p>
        </w:tc>
        <w:tc>
          <w:tcPr>
            <w:tcW w:w="757" w:type="pct"/>
            <w:tcBorders>
              <w:top w:val="single" w:sz="4" w:space="0" w:color="auto"/>
              <w:left w:val="nil"/>
              <w:bottom w:val="single" w:sz="12" w:space="0" w:color="auto"/>
              <w:right w:val="nil"/>
            </w:tcBorders>
          </w:tcPr>
          <w:p w14:paraId="7E7713A3" w14:textId="77777777" w:rsidR="007174EA" w:rsidRPr="008B1975" w:rsidRDefault="007174EA" w:rsidP="007174EA">
            <w:pPr>
              <w:pStyle w:val="Tabletext"/>
            </w:pPr>
            <w:r w:rsidRPr="008B1975">
              <w:t>Section 13.4</w:t>
            </w:r>
          </w:p>
        </w:tc>
        <w:tc>
          <w:tcPr>
            <w:tcW w:w="3874" w:type="pct"/>
            <w:tcBorders>
              <w:top w:val="single" w:sz="4" w:space="0" w:color="auto"/>
              <w:left w:val="nil"/>
              <w:bottom w:val="single" w:sz="12" w:space="0" w:color="auto"/>
              <w:right w:val="nil"/>
            </w:tcBorders>
          </w:tcPr>
          <w:p w14:paraId="39393DF0" w14:textId="77777777" w:rsidR="007174EA" w:rsidRPr="008B1975" w:rsidRDefault="007174EA" w:rsidP="007174EA">
            <w:pPr>
              <w:pStyle w:val="Tablea"/>
            </w:pPr>
            <w:r w:rsidRPr="008B1975">
              <w:t>(a) on and after the commencement day to new premises and infrastructure; and</w:t>
            </w:r>
          </w:p>
          <w:p w14:paraId="640A056A" w14:textId="77777777" w:rsidR="007174EA" w:rsidRPr="008B1975" w:rsidRDefault="007174EA" w:rsidP="007174EA">
            <w:pPr>
              <w:pStyle w:val="Tablea"/>
            </w:pPr>
            <w:r w:rsidRPr="008B1975">
              <w:t>(b) on and after the commencement day to lifts installed on or after that day.</w:t>
            </w:r>
          </w:p>
        </w:tc>
      </w:tr>
    </w:tbl>
    <w:p w14:paraId="6748E6C0" w14:textId="77777777" w:rsidR="007174EA" w:rsidRPr="008B1975" w:rsidRDefault="007174EA" w:rsidP="007174EA">
      <w:pPr>
        <w:pStyle w:val="ActHead5"/>
        <w:ind w:left="0" w:firstLine="0"/>
        <w:outlineLvl w:val="9"/>
      </w:pPr>
      <w:r w:rsidRPr="008B1975">
        <w:t>35.16  Application of Part 14 amendments</w:t>
      </w:r>
    </w:p>
    <w:p w14:paraId="72C934A1" w14:textId="77777777" w:rsidR="007174EA" w:rsidRPr="008B1975" w:rsidRDefault="007174EA" w:rsidP="007174EA">
      <w:pPr>
        <w:pStyle w:val="subsection"/>
      </w:pPr>
      <w:r w:rsidRPr="008B1975">
        <w:tab/>
      </w:r>
      <w:r w:rsidRPr="008B1975">
        <w:tab/>
        <w:t>The following table provides for the application of certain provisions of Part 14 of the amended Standards.</w:t>
      </w:r>
    </w:p>
    <w:p w14:paraId="2BF4FF5F"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1D338A9D" w14:textId="77777777" w:rsidTr="007174EA">
        <w:trPr>
          <w:trHeight w:val="300"/>
          <w:tblHeader/>
        </w:trPr>
        <w:tc>
          <w:tcPr>
            <w:tcW w:w="5000" w:type="pct"/>
            <w:gridSpan w:val="3"/>
            <w:tcBorders>
              <w:top w:val="single" w:sz="12" w:space="0" w:color="auto"/>
              <w:left w:val="nil"/>
              <w:bottom w:val="single" w:sz="6" w:space="0" w:color="auto"/>
              <w:right w:val="nil"/>
            </w:tcBorders>
          </w:tcPr>
          <w:p w14:paraId="70F5B527" w14:textId="77777777" w:rsidR="007174EA" w:rsidRPr="008B1975" w:rsidRDefault="007174EA" w:rsidP="007174EA">
            <w:pPr>
              <w:pStyle w:val="TableHeading"/>
            </w:pPr>
            <w:r w:rsidRPr="008B1975">
              <w:t>Application of Part 14 amendments</w:t>
            </w:r>
          </w:p>
        </w:tc>
      </w:tr>
      <w:tr w:rsidR="007174EA" w:rsidRPr="008B1975" w14:paraId="6A5CA2F8" w14:textId="77777777" w:rsidTr="007174EA">
        <w:trPr>
          <w:trHeight w:val="300"/>
          <w:tblHeader/>
        </w:trPr>
        <w:tc>
          <w:tcPr>
            <w:tcW w:w="369" w:type="pct"/>
            <w:tcBorders>
              <w:top w:val="single" w:sz="6" w:space="0" w:color="auto"/>
              <w:left w:val="nil"/>
              <w:bottom w:val="single" w:sz="12" w:space="0" w:color="auto"/>
              <w:right w:val="nil"/>
            </w:tcBorders>
          </w:tcPr>
          <w:p w14:paraId="5D595CCF"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484A5EBF"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68218E4A" w14:textId="77777777" w:rsidR="007174EA" w:rsidRPr="008B1975" w:rsidRDefault="007174EA" w:rsidP="007174EA">
            <w:pPr>
              <w:pStyle w:val="TableHeading"/>
            </w:pPr>
            <w:r w:rsidRPr="008B1975">
              <w:t>applies…</w:t>
            </w:r>
          </w:p>
        </w:tc>
      </w:tr>
      <w:tr w:rsidR="007174EA" w:rsidRPr="008B1975" w14:paraId="6E971B05" w14:textId="77777777" w:rsidTr="007174EA">
        <w:trPr>
          <w:trHeight w:val="50"/>
        </w:trPr>
        <w:tc>
          <w:tcPr>
            <w:tcW w:w="369" w:type="pct"/>
            <w:tcBorders>
              <w:top w:val="single" w:sz="4" w:space="0" w:color="auto"/>
              <w:left w:val="nil"/>
              <w:bottom w:val="single" w:sz="4" w:space="0" w:color="auto"/>
              <w:right w:val="nil"/>
            </w:tcBorders>
          </w:tcPr>
          <w:p w14:paraId="7EE4E81F"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2EA9D9E9" w14:textId="77777777" w:rsidR="007174EA" w:rsidRPr="008B1975" w:rsidRDefault="007174EA" w:rsidP="007174EA">
            <w:pPr>
              <w:pStyle w:val="Tabletext"/>
            </w:pPr>
            <w:r w:rsidRPr="008B1975">
              <w:t>Subsection 14.1(2)</w:t>
            </w:r>
          </w:p>
        </w:tc>
        <w:tc>
          <w:tcPr>
            <w:tcW w:w="3874" w:type="pct"/>
            <w:tcBorders>
              <w:top w:val="single" w:sz="4" w:space="0" w:color="auto"/>
              <w:left w:val="nil"/>
              <w:bottom w:val="single" w:sz="4" w:space="0" w:color="auto"/>
              <w:right w:val="nil"/>
            </w:tcBorders>
          </w:tcPr>
          <w:p w14:paraId="451981CE" w14:textId="77777777" w:rsidR="007174EA" w:rsidRPr="008B1975" w:rsidRDefault="007174EA" w:rsidP="007174EA">
            <w:pPr>
              <w:pStyle w:val="Tabletext"/>
            </w:pPr>
            <w:r w:rsidRPr="008B1975">
              <w:t>on and after the commencement day to:</w:t>
            </w:r>
          </w:p>
          <w:p w14:paraId="7E95A495" w14:textId="77777777" w:rsidR="007174EA" w:rsidRPr="008B1975" w:rsidRDefault="007174EA" w:rsidP="007174EA">
            <w:pPr>
              <w:pStyle w:val="Tablea"/>
            </w:pPr>
            <w:r w:rsidRPr="008B1975">
              <w:t>(a) new premises and infrastructure; and</w:t>
            </w:r>
          </w:p>
          <w:p w14:paraId="4DD7E5C8" w14:textId="77777777" w:rsidR="007174EA" w:rsidRPr="008B1975" w:rsidRDefault="007174EA" w:rsidP="007174EA">
            <w:pPr>
              <w:pStyle w:val="Tablea"/>
            </w:pPr>
            <w:r w:rsidRPr="008B1975">
              <w:t>(b) new conveyances.</w:t>
            </w:r>
          </w:p>
        </w:tc>
      </w:tr>
      <w:tr w:rsidR="007174EA" w:rsidRPr="008B1975" w14:paraId="127B91AB" w14:textId="77777777" w:rsidTr="007174EA">
        <w:trPr>
          <w:trHeight w:val="50"/>
        </w:trPr>
        <w:tc>
          <w:tcPr>
            <w:tcW w:w="369" w:type="pct"/>
            <w:tcBorders>
              <w:top w:val="single" w:sz="4" w:space="0" w:color="auto"/>
              <w:left w:val="nil"/>
              <w:bottom w:val="single" w:sz="4" w:space="0" w:color="auto"/>
              <w:right w:val="nil"/>
            </w:tcBorders>
          </w:tcPr>
          <w:p w14:paraId="35F48834" w14:textId="77777777" w:rsidR="007174EA" w:rsidRPr="008B1975" w:rsidRDefault="007174EA" w:rsidP="007174EA">
            <w:pPr>
              <w:pStyle w:val="Tabletext"/>
            </w:pPr>
            <w:r w:rsidRPr="008B1975">
              <w:t>2</w:t>
            </w:r>
          </w:p>
        </w:tc>
        <w:tc>
          <w:tcPr>
            <w:tcW w:w="757" w:type="pct"/>
            <w:tcBorders>
              <w:top w:val="single" w:sz="4" w:space="0" w:color="auto"/>
              <w:left w:val="nil"/>
              <w:bottom w:val="single" w:sz="4" w:space="0" w:color="auto"/>
              <w:right w:val="nil"/>
            </w:tcBorders>
          </w:tcPr>
          <w:p w14:paraId="0119F043" w14:textId="77777777" w:rsidR="007174EA" w:rsidRPr="008B1975" w:rsidRDefault="007174EA" w:rsidP="007174EA">
            <w:pPr>
              <w:pStyle w:val="Tabletext"/>
            </w:pPr>
            <w:r w:rsidRPr="008B1975">
              <w:t>Section 14.2</w:t>
            </w:r>
          </w:p>
        </w:tc>
        <w:tc>
          <w:tcPr>
            <w:tcW w:w="3874" w:type="pct"/>
            <w:tcBorders>
              <w:top w:val="single" w:sz="4" w:space="0" w:color="auto"/>
              <w:left w:val="nil"/>
              <w:bottom w:val="single" w:sz="4" w:space="0" w:color="auto"/>
              <w:right w:val="nil"/>
            </w:tcBorders>
          </w:tcPr>
          <w:p w14:paraId="5B22E4BF" w14:textId="77777777" w:rsidR="007174EA" w:rsidRPr="008B1975" w:rsidRDefault="007174EA" w:rsidP="007174EA">
            <w:pPr>
              <w:pStyle w:val="Tablea"/>
            </w:pPr>
            <w:r w:rsidRPr="008B1975">
              <w:t>(a) on and after the commencement day to new premises and infrastructure; and</w:t>
            </w:r>
          </w:p>
          <w:p w14:paraId="64AE6C3F" w14:textId="77777777" w:rsidR="007174EA" w:rsidRPr="008B1975" w:rsidRDefault="007174EA" w:rsidP="007174EA">
            <w:pPr>
              <w:pStyle w:val="Tablea"/>
            </w:pPr>
            <w:r w:rsidRPr="008B1975">
              <w:t>(b) on and after the commencement day to stairways and handrails installed on or after that day.</w:t>
            </w:r>
          </w:p>
        </w:tc>
      </w:tr>
      <w:tr w:rsidR="007174EA" w:rsidRPr="008B1975" w14:paraId="565CF66C" w14:textId="77777777" w:rsidTr="007174EA">
        <w:trPr>
          <w:trHeight w:val="50"/>
        </w:trPr>
        <w:tc>
          <w:tcPr>
            <w:tcW w:w="369" w:type="pct"/>
            <w:tcBorders>
              <w:top w:val="single" w:sz="4" w:space="0" w:color="auto"/>
              <w:left w:val="nil"/>
              <w:bottom w:val="single" w:sz="4" w:space="0" w:color="auto"/>
              <w:right w:val="nil"/>
            </w:tcBorders>
          </w:tcPr>
          <w:p w14:paraId="29900C5D" w14:textId="77777777" w:rsidR="007174EA" w:rsidRPr="008B1975" w:rsidRDefault="007174EA" w:rsidP="007174EA">
            <w:pPr>
              <w:pStyle w:val="Tabletext"/>
            </w:pPr>
            <w:r w:rsidRPr="008B1975">
              <w:lastRenderedPageBreak/>
              <w:t>3</w:t>
            </w:r>
          </w:p>
        </w:tc>
        <w:tc>
          <w:tcPr>
            <w:tcW w:w="757" w:type="pct"/>
            <w:tcBorders>
              <w:top w:val="single" w:sz="4" w:space="0" w:color="auto"/>
              <w:left w:val="nil"/>
              <w:bottom w:val="single" w:sz="4" w:space="0" w:color="auto"/>
              <w:right w:val="nil"/>
            </w:tcBorders>
          </w:tcPr>
          <w:p w14:paraId="16370AF4" w14:textId="77777777" w:rsidR="007174EA" w:rsidRPr="008B1975" w:rsidRDefault="007174EA" w:rsidP="007174EA">
            <w:pPr>
              <w:pStyle w:val="Tabletext"/>
            </w:pPr>
            <w:r w:rsidRPr="008B1975">
              <w:t>Section 14.3A</w:t>
            </w:r>
          </w:p>
        </w:tc>
        <w:tc>
          <w:tcPr>
            <w:tcW w:w="3874" w:type="pct"/>
            <w:tcBorders>
              <w:top w:val="single" w:sz="4" w:space="0" w:color="auto"/>
              <w:left w:val="nil"/>
              <w:bottom w:val="single" w:sz="4" w:space="0" w:color="auto"/>
              <w:right w:val="nil"/>
            </w:tcBorders>
          </w:tcPr>
          <w:p w14:paraId="58ABEAD6" w14:textId="77777777" w:rsidR="007174EA" w:rsidRPr="008B1975" w:rsidRDefault="007174EA" w:rsidP="007174EA">
            <w:pPr>
              <w:pStyle w:val="Tabletext"/>
              <w:ind w:left="286" w:hanging="283"/>
            </w:pPr>
            <w:r w:rsidRPr="008B1975">
              <w:t>on and after the commencement day to new conveyances.</w:t>
            </w:r>
          </w:p>
        </w:tc>
      </w:tr>
      <w:tr w:rsidR="007174EA" w:rsidRPr="008B1975" w14:paraId="090C7DE3" w14:textId="77777777" w:rsidTr="007174EA">
        <w:trPr>
          <w:trHeight w:val="50"/>
        </w:trPr>
        <w:tc>
          <w:tcPr>
            <w:tcW w:w="369" w:type="pct"/>
            <w:tcBorders>
              <w:top w:val="single" w:sz="4" w:space="0" w:color="auto"/>
              <w:left w:val="nil"/>
              <w:bottom w:val="single" w:sz="4" w:space="0" w:color="auto"/>
              <w:right w:val="nil"/>
            </w:tcBorders>
          </w:tcPr>
          <w:p w14:paraId="47666F8A" w14:textId="77777777" w:rsidR="007174EA" w:rsidRPr="008B1975" w:rsidRDefault="007174EA" w:rsidP="007174EA">
            <w:pPr>
              <w:pStyle w:val="Tabletext"/>
            </w:pPr>
            <w:r w:rsidRPr="008B1975">
              <w:t>4</w:t>
            </w:r>
          </w:p>
        </w:tc>
        <w:tc>
          <w:tcPr>
            <w:tcW w:w="757" w:type="pct"/>
            <w:tcBorders>
              <w:top w:val="single" w:sz="4" w:space="0" w:color="auto"/>
              <w:left w:val="nil"/>
              <w:bottom w:val="single" w:sz="4" w:space="0" w:color="auto"/>
              <w:right w:val="nil"/>
            </w:tcBorders>
          </w:tcPr>
          <w:p w14:paraId="3FD1E6F6" w14:textId="77777777" w:rsidR="007174EA" w:rsidRPr="008B1975" w:rsidRDefault="007174EA" w:rsidP="007174EA">
            <w:pPr>
              <w:pStyle w:val="Tabletext"/>
            </w:pPr>
            <w:r w:rsidRPr="008B1975">
              <w:t>Section 14.4</w:t>
            </w:r>
          </w:p>
        </w:tc>
        <w:tc>
          <w:tcPr>
            <w:tcW w:w="3874" w:type="pct"/>
            <w:tcBorders>
              <w:top w:val="single" w:sz="4" w:space="0" w:color="auto"/>
              <w:left w:val="nil"/>
              <w:bottom w:val="single" w:sz="4" w:space="0" w:color="auto"/>
              <w:right w:val="nil"/>
            </w:tcBorders>
          </w:tcPr>
          <w:p w14:paraId="72963F6F" w14:textId="77777777" w:rsidR="007174EA" w:rsidRPr="008B1975" w:rsidRDefault="007174EA" w:rsidP="007174EA">
            <w:pPr>
              <w:pStyle w:val="Tabletext"/>
              <w:ind w:left="286" w:hanging="283"/>
            </w:pPr>
            <w:r w:rsidRPr="008B1975">
              <w:t>on and after the commencement day to new conveyances.</w:t>
            </w:r>
          </w:p>
        </w:tc>
      </w:tr>
      <w:tr w:rsidR="007174EA" w:rsidRPr="008B1975" w14:paraId="26A6FCE7" w14:textId="77777777" w:rsidTr="00EF7451">
        <w:trPr>
          <w:trHeight w:val="50"/>
        </w:trPr>
        <w:tc>
          <w:tcPr>
            <w:tcW w:w="369" w:type="pct"/>
            <w:tcBorders>
              <w:top w:val="single" w:sz="4" w:space="0" w:color="auto"/>
              <w:left w:val="nil"/>
              <w:bottom w:val="single" w:sz="12" w:space="0" w:color="auto"/>
              <w:right w:val="nil"/>
            </w:tcBorders>
          </w:tcPr>
          <w:p w14:paraId="3F462AFB" w14:textId="77777777" w:rsidR="007174EA" w:rsidRPr="008B1975" w:rsidRDefault="007174EA" w:rsidP="007174EA">
            <w:pPr>
              <w:pStyle w:val="Tabletext"/>
            </w:pPr>
            <w:r w:rsidRPr="008B1975">
              <w:t>5</w:t>
            </w:r>
          </w:p>
        </w:tc>
        <w:tc>
          <w:tcPr>
            <w:tcW w:w="757" w:type="pct"/>
            <w:tcBorders>
              <w:top w:val="single" w:sz="4" w:space="0" w:color="auto"/>
              <w:left w:val="nil"/>
              <w:bottom w:val="single" w:sz="12" w:space="0" w:color="auto"/>
              <w:right w:val="nil"/>
            </w:tcBorders>
          </w:tcPr>
          <w:p w14:paraId="01EBBDE6" w14:textId="77777777" w:rsidR="007174EA" w:rsidRPr="008B1975" w:rsidRDefault="007174EA" w:rsidP="007174EA">
            <w:pPr>
              <w:pStyle w:val="Tabletext"/>
            </w:pPr>
            <w:r w:rsidRPr="008B1975">
              <w:t>Section 14.5</w:t>
            </w:r>
          </w:p>
        </w:tc>
        <w:tc>
          <w:tcPr>
            <w:tcW w:w="3874" w:type="pct"/>
            <w:tcBorders>
              <w:top w:val="single" w:sz="4" w:space="0" w:color="auto"/>
              <w:left w:val="nil"/>
              <w:bottom w:val="single" w:sz="12" w:space="0" w:color="auto"/>
              <w:right w:val="nil"/>
            </w:tcBorders>
          </w:tcPr>
          <w:p w14:paraId="4BE0C472" w14:textId="77777777" w:rsidR="007174EA" w:rsidRPr="008B1975" w:rsidRDefault="007174EA" w:rsidP="007174EA">
            <w:pPr>
              <w:pStyle w:val="Tablea"/>
            </w:pPr>
            <w:r w:rsidRPr="008B1975">
              <w:t>(a) on and after the commencement day to new premises and infrastructure; and</w:t>
            </w:r>
          </w:p>
          <w:p w14:paraId="08DD237C" w14:textId="77777777" w:rsidR="007174EA" w:rsidRPr="008B1975" w:rsidRDefault="007174EA" w:rsidP="007174EA">
            <w:pPr>
              <w:pStyle w:val="Tablea"/>
            </w:pPr>
            <w:r w:rsidRPr="008B1975">
              <w:t>(b) on and after the commencement day to escalators and inclined travellators installed on or after that day.</w:t>
            </w:r>
          </w:p>
        </w:tc>
      </w:tr>
    </w:tbl>
    <w:p w14:paraId="6F40EDE0" w14:textId="77777777" w:rsidR="007174EA" w:rsidRPr="008B1975" w:rsidRDefault="007174EA" w:rsidP="007174EA">
      <w:pPr>
        <w:pStyle w:val="ActHead5"/>
        <w:ind w:left="0" w:firstLine="0"/>
        <w:outlineLvl w:val="9"/>
      </w:pPr>
      <w:r w:rsidRPr="008B1975">
        <w:t>35.17  Application of Part 15 amendments</w:t>
      </w:r>
    </w:p>
    <w:p w14:paraId="28F2A0EA" w14:textId="77777777" w:rsidR="007174EA" w:rsidRPr="008B1975" w:rsidRDefault="007174EA" w:rsidP="007174EA">
      <w:pPr>
        <w:pStyle w:val="subsection"/>
      </w:pPr>
      <w:r w:rsidRPr="008B1975">
        <w:tab/>
      </w:r>
      <w:r w:rsidRPr="008B1975">
        <w:tab/>
        <w:t>The following table provides for the application of certain provisions of Part 15 of the amended Standards</w:t>
      </w:r>
    </w:p>
    <w:p w14:paraId="7F13F244"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73429A43" w14:textId="77777777" w:rsidTr="007174EA">
        <w:trPr>
          <w:trHeight w:val="300"/>
          <w:tblHeader/>
        </w:trPr>
        <w:tc>
          <w:tcPr>
            <w:tcW w:w="5000" w:type="pct"/>
            <w:gridSpan w:val="3"/>
            <w:tcBorders>
              <w:top w:val="single" w:sz="12" w:space="0" w:color="auto"/>
              <w:left w:val="nil"/>
              <w:bottom w:val="single" w:sz="6" w:space="0" w:color="auto"/>
              <w:right w:val="nil"/>
            </w:tcBorders>
          </w:tcPr>
          <w:p w14:paraId="3B4222EC" w14:textId="77777777" w:rsidR="007174EA" w:rsidRPr="008B1975" w:rsidRDefault="007174EA" w:rsidP="007174EA">
            <w:pPr>
              <w:pStyle w:val="TableHeading"/>
            </w:pPr>
            <w:r w:rsidRPr="008B1975">
              <w:t>Application of Part 15 amendments</w:t>
            </w:r>
          </w:p>
        </w:tc>
      </w:tr>
      <w:tr w:rsidR="007174EA" w:rsidRPr="008B1975" w14:paraId="238DB772" w14:textId="77777777" w:rsidTr="007174EA">
        <w:trPr>
          <w:trHeight w:val="300"/>
          <w:tblHeader/>
        </w:trPr>
        <w:tc>
          <w:tcPr>
            <w:tcW w:w="369" w:type="pct"/>
            <w:tcBorders>
              <w:top w:val="single" w:sz="6" w:space="0" w:color="auto"/>
              <w:left w:val="nil"/>
              <w:bottom w:val="single" w:sz="12" w:space="0" w:color="auto"/>
              <w:right w:val="nil"/>
            </w:tcBorders>
          </w:tcPr>
          <w:p w14:paraId="5D24F712"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6E275BC2"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76F802BB" w14:textId="77777777" w:rsidR="007174EA" w:rsidRPr="008B1975" w:rsidRDefault="007174EA" w:rsidP="007174EA">
            <w:pPr>
              <w:pStyle w:val="TableHeading"/>
            </w:pPr>
            <w:r w:rsidRPr="008B1975">
              <w:t>applies…</w:t>
            </w:r>
          </w:p>
        </w:tc>
      </w:tr>
      <w:tr w:rsidR="007174EA" w:rsidRPr="008B1975" w14:paraId="0FA6F9C0" w14:textId="77777777" w:rsidTr="007174EA">
        <w:trPr>
          <w:trHeight w:val="50"/>
        </w:trPr>
        <w:tc>
          <w:tcPr>
            <w:tcW w:w="369" w:type="pct"/>
            <w:tcBorders>
              <w:top w:val="single" w:sz="4" w:space="0" w:color="auto"/>
              <w:left w:val="nil"/>
              <w:bottom w:val="single" w:sz="4" w:space="0" w:color="auto"/>
              <w:right w:val="nil"/>
            </w:tcBorders>
          </w:tcPr>
          <w:p w14:paraId="0EC35F77"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783223E8" w14:textId="77777777" w:rsidR="007174EA" w:rsidRPr="008B1975" w:rsidRDefault="007174EA" w:rsidP="007174EA">
            <w:pPr>
              <w:pStyle w:val="Tabletext"/>
            </w:pPr>
            <w:r w:rsidRPr="008B1975">
              <w:t>Section 15.1</w:t>
            </w:r>
          </w:p>
        </w:tc>
        <w:tc>
          <w:tcPr>
            <w:tcW w:w="3874" w:type="pct"/>
            <w:tcBorders>
              <w:top w:val="single" w:sz="4" w:space="0" w:color="auto"/>
              <w:left w:val="nil"/>
              <w:bottom w:val="single" w:sz="4" w:space="0" w:color="auto"/>
              <w:right w:val="nil"/>
            </w:tcBorders>
          </w:tcPr>
          <w:p w14:paraId="369866A8" w14:textId="77777777" w:rsidR="007174EA" w:rsidRPr="008B1975" w:rsidRDefault="007174EA" w:rsidP="007174EA">
            <w:pPr>
              <w:pStyle w:val="Tabletext"/>
            </w:pPr>
            <w:r w:rsidRPr="008B1975">
              <w:t>on and after the commencement day to new premises and infrastructure.</w:t>
            </w:r>
          </w:p>
        </w:tc>
      </w:tr>
      <w:tr w:rsidR="007174EA" w:rsidRPr="008B1975" w14:paraId="35118655" w14:textId="77777777" w:rsidTr="007174EA">
        <w:trPr>
          <w:trHeight w:val="50"/>
        </w:trPr>
        <w:tc>
          <w:tcPr>
            <w:tcW w:w="369" w:type="pct"/>
            <w:tcBorders>
              <w:top w:val="single" w:sz="4" w:space="0" w:color="auto"/>
              <w:left w:val="nil"/>
              <w:bottom w:val="single" w:sz="4" w:space="0" w:color="auto"/>
              <w:right w:val="nil"/>
            </w:tcBorders>
          </w:tcPr>
          <w:p w14:paraId="13C7EF81" w14:textId="77777777" w:rsidR="007174EA" w:rsidRPr="008B1975" w:rsidRDefault="007174EA" w:rsidP="007174EA">
            <w:pPr>
              <w:pStyle w:val="Tabletext"/>
            </w:pPr>
            <w:r w:rsidRPr="008B1975">
              <w:t>2</w:t>
            </w:r>
          </w:p>
        </w:tc>
        <w:tc>
          <w:tcPr>
            <w:tcW w:w="757" w:type="pct"/>
            <w:tcBorders>
              <w:top w:val="single" w:sz="4" w:space="0" w:color="auto"/>
              <w:left w:val="nil"/>
              <w:bottom w:val="single" w:sz="4" w:space="0" w:color="auto"/>
              <w:right w:val="nil"/>
            </w:tcBorders>
          </w:tcPr>
          <w:p w14:paraId="783BD68A" w14:textId="77777777" w:rsidR="007174EA" w:rsidRPr="008B1975" w:rsidRDefault="007174EA" w:rsidP="007174EA">
            <w:pPr>
              <w:pStyle w:val="Tabletext"/>
            </w:pPr>
            <w:r w:rsidRPr="008B1975">
              <w:t>Subsection 15.3(2)</w:t>
            </w:r>
          </w:p>
        </w:tc>
        <w:tc>
          <w:tcPr>
            <w:tcW w:w="3874" w:type="pct"/>
            <w:tcBorders>
              <w:top w:val="single" w:sz="4" w:space="0" w:color="auto"/>
              <w:left w:val="nil"/>
              <w:bottom w:val="single" w:sz="4" w:space="0" w:color="auto"/>
              <w:right w:val="nil"/>
            </w:tcBorders>
          </w:tcPr>
          <w:p w14:paraId="2AA2728E" w14:textId="77777777" w:rsidR="007174EA" w:rsidRPr="008B1975" w:rsidRDefault="007174EA" w:rsidP="007174EA">
            <w:pPr>
              <w:pStyle w:val="Tabletext"/>
            </w:pPr>
            <w:r w:rsidRPr="008B1975">
              <w:t>on and after the commencement day to new conveyances.</w:t>
            </w:r>
          </w:p>
        </w:tc>
      </w:tr>
      <w:tr w:rsidR="007174EA" w:rsidRPr="008B1975" w14:paraId="1C29A878" w14:textId="77777777" w:rsidTr="00EF7451">
        <w:trPr>
          <w:trHeight w:val="50"/>
        </w:trPr>
        <w:tc>
          <w:tcPr>
            <w:tcW w:w="369" w:type="pct"/>
            <w:tcBorders>
              <w:top w:val="single" w:sz="4" w:space="0" w:color="auto"/>
              <w:left w:val="nil"/>
              <w:bottom w:val="single" w:sz="12" w:space="0" w:color="auto"/>
              <w:right w:val="nil"/>
            </w:tcBorders>
          </w:tcPr>
          <w:p w14:paraId="7C5B2F0F" w14:textId="77777777" w:rsidR="007174EA" w:rsidRPr="008B1975" w:rsidRDefault="007174EA" w:rsidP="007174EA">
            <w:pPr>
              <w:pStyle w:val="Tabletext"/>
            </w:pPr>
            <w:r w:rsidRPr="008B1975">
              <w:t>3</w:t>
            </w:r>
          </w:p>
        </w:tc>
        <w:tc>
          <w:tcPr>
            <w:tcW w:w="757" w:type="pct"/>
            <w:tcBorders>
              <w:top w:val="single" w:sz="4" w:space="0" w:color="auto"/>
              <w:left w:val="nil"/>
              <w:bottom w:val="single" w:sz="12" w:space="0" w:color="auto"/>
              <w:right w:val="nil"/>
            </w:tcBorders>
          </w:tcPr>
          <w:p w14:paraId="51295DE4" w14:textId="77777777" w:rsidR="007174EA" w:rsidRPr="008B1975" w:rsidRDefault="007174EA" w:rsidP="007174EA">
            <w:pPr>
              <w:pStyle w:val="Tabletext"/>
            </w:pPr>
            <w:r w:rsidRPr="008B1975">
              <w:t>Subsections 15.4(2) to (6)</w:t>
            </w:r>
          </w:p>
        </w:tc>
        <w:tc>
          <w:tcPr>
            <w:tcW w:w="3874" w:type="pct"/>
            <w:tcBorders>
              <w:top w:val="single" w:sz="4" w:space="0" w:color="auto"/>
              <w:left w:val="nil"/>
              <w:bottom w:val="single" w:sz="12" w:space="0" w:color="auto"/>
              <w:right w:val="nil"/>
            </w:tcBorders>
          </w:tcPr>
          <w:p w14:paraId="3B03CF04" w14:textId="77777777" w:rsidR="007174EA" w:rsidRPr="008B1975" w:rsidRDefault="007174EA" w:rsidP="007174EA">
            <w:pPr>
              <w:pStyle w:val="Tabletext"/>
            </w:pPr>
            <w:r w:rsidRPr="008B1975">
              <w:t>on and after the commencement day to new conveyances.</w:t>
            </w:r>
          </w:p>
        </w:tc>
      </w:tr>
    </w:tbl>
    <w:p w14:paraId="0530B92C" w14:textId="77777777" w:rsidR="007174EA" w:rsidRPr="008B1975" w:rsidRDefault="007174EA" w:rsidP="007174EA">
      <w:pPr>
        <w:pStyle w:val="ActHead5"/>
        <w:ind w:left="0" w:firstLine="0"/>
        <w:outlineLvl w:val="9"/>
      </w:pPr>
      <w:r w:rsidRPr="008B1975">
        <w:t>35.18  Application of Part 16 amendments</w:t>
      </w:r>
    </w:p>
    <w:p w14:paraId="393C7B97" w14:textId="77777777" w:rsidR="007174EA" w:rsidRPr="008B1975" w:rsidRDefault="007174EA" w:rsidP="007174EA">
      <w:pPr>
        <w:pStyle w:val="subsection"/>
      </w:pPr>
      <w:r w:rsidRPr="008B1975">
        <w:tab/>
      </w:r>
      <w:r w:rsidRPr="008B1975">
        <w:tab/>
        <w:t>The following table provides for the application of certain provisions of Part 16 of the amended Standards.</w:t>
      </w:r>
    </w:p>
    <w:p w14:paraId="605E28F2"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4B9990BA" w14:textId="77777777" w:rsidTr="007174EA">
        <w:trPr>
          <w:trHeight w:val="300"/>
          <w:tblHeader/>
        </w:trPr>
        <w:tc>
          <w:tcPr>
            <w:tcW w:w="5000" w:type="pct"/>
            <w:gridSpan w:val="3"/>
            <w:tcBorders>
              <w:top w:val="single" w:sz="12" w:space="0" w:color="auto"/>
              <w:left w:val="nil"/>
              <w:bottom w:val="single" w:sz="6" w:space="0" w:color="auto"/>
              <w:right w:val="nil"/>
            </w:tcBorders>
          </w:tcPr>
          <w:p w14:paraId="1755A4A2" w14:textId="77777777" w:rsidR="007174EA" w:rsidRPr="008B1975" w:rsidRDefault="007174EA" w:rsidP="007174EA">
            <w:pPr>
              <w:pStyle w:val="TableHeading"/>
            </w:pPr>
            <w:r w:rsidRPr="008B1975">
              <w:t>Application of Part 16 amendments</w:t>
            </w:r>
          </w:p>
        </w:tc>
      </w:tr>
      <w:tr w:rsidR="007174EA" w:rsidRPr="008B1975" w14:paraId="49903915" w14:textId="77777777" w:rsidTr="007174EA">
        <w:trPr>
          <w:trHeight w:val="300"/>
          <w:tblHeader/>
        </w:trPr>
        <w:tc>
          <w:tcPr>
            <w:tcW w:w="369" w:type="pct"/>
            <w:tcBorders>
              <w:top w:val="single" w:sz="6" w:space="0" w:color="auto"/>
              <w:left w:val="nil"/>
              <w:bottom w:val="single" w:sz="12" w:space="0" w:color="auto"/>
              <w:right w:val="nil"/>
            </w:tcBorders>
          </w:tcPr>
          <w:p w14:paraId="5D51FA0C"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2CF28D54"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7024A9BA" w14:textId="77777777" w:rsidR="007174EA" w:rsidRPr="008B1975" w:rsidRDefault="007174EA" w:rsidP="007174EA">
            <w:pPr>
              <w:pStyle w:val="TableHeading"/>
            </w:pPr>
            <w:r w:rsidRPr="008B1975">
              <w:t>applies…</w:t>
            </w:r>
          </w:p>
        </w:tc>
      </w:tr>
      <w:tr w:rsidR="007174EA" w:rsidRPr="008B1975" w14:paraId="3FD130FC" w14:textId="77777777" w:rsidTr="00EF7451">
        <w:trPr>
          <w:trHeight w:val="50"/>
        </w:trPr>
        <w:tc>
          <w:tcPr>
            <w:tcW w:w="369" w:type="pct"/>
            <w:tcBorders>
              <w:top w:val="single" w:sz="4" w:space="0" w:color="auto"/>
              <w:left w:val="nil"/>
              <w:bottom w:val="single" w:sz="12" w:space="0" w:color="auto"/>
              <w:right w:val="nil"/>
            </w:tcBorders>
          </w:tcPr>
          <w:p w14:paraId="3CEAC5DA"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15B51344" w14:textId="77777777" w:rsidR="007174EA" w:rsidRPr="008B1975" w:rsidRDefault="007174EA" w:rsidP="007174EA">
            <w:pPr>
              <w:pStyle w:val="Tabletext"/>
            </w:pPr>
            <w:r w:rsidRPr="008B1975">
              <w:t>Section 16.1</w:t>
            </w:r>
          </w:p>
        </w:tc>
        <w:tc>
          <w:tcPr>
            <w:tcW w:w="3874" w:type="pct"/>
            <w:tcBorders>
              <w:top w:val="single" w:sz="4" w:space="0" w:color="auto"/>
              <w:left w:val="nil"/>
              <w:bottom w:val="single" w:sz="12" w:space="0" w:color="auto"/>
              <w:right w:val="nil"/>
            </w:tcBorders>
          </w:tcPr>
          <w:p w14:paraId="5EB0CDBA" w14:textId="77777777" w:rsidR="007174EA" w:rsidRPr="008B1975" w:rsidRDefault="007174EA" w:rsidP="007174EA">
            <w:pPr>
              <w:pStyle w:val="Tabletext"/>
            </w:pPr>
            <w:r w:rsidRPr="008B1975">
              <w:t>on and after the commencement day to signage installed on or after that day.</w:t>
            </w:r>
          </w:p>
        </w:tc>
      </w:tr>
    </w:tbl>
    <w:p w14:paraId="57511A46" w14:textId="77777777" w:rsidR="007174EA" w:rsidRPr="008B1975" w:rsidRDefault="007174EA" w:rsidP="007174EA">
      <w:pPr>
        <w:pStyle w:val="ActHead5"/>
        <w:ind w:left="0" w:firstLine="0"/>
        <w:outlineLvl w:val="9"/>
      </w:pPr>
      <w:r w:rsidRPr="008B1975">
        <w:t>35.19  Application of Part 17 amendments</w:t>
      </w:r>
    </w:p>
    <w:p w14:paraId="5D69CA64" w14:textId="77777777" w:rsidR="007174EA" w:rsidRPr="008B1975" w:rsidRDefault="007174EA" w:rsidP="007174EA">
      <w:pPr>
        <w:pStyle w:val="subsection"/>
      </w:pPr>
      <w:r w:rsidRPr="008B1975">
        <w:tab/>
      </w:r>
      <w:r w:rsidRPr="008B1975">
        <w:tab/>
        <w:t>The following table provides for the application of certain provisions of Part 17 of the amended Standards.</w:t>
      </w:r>
    </w:p>
    <w:p w14:paraId="3E864BCC" w14:textId="77777777" w:rsidR="007174EA" w:rsidRPr="008B1975" w:rsidRDefault="007174EA" w:rsidP="007174EA">
      <w:pPr>
        <w:pStyle w:val="Tabletext"/>
        <w:tabs>
          <w:tab w:val="left" w:pos="1783"/>
        </w:tabs>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7174EA" w:rsidRPr="008B1975" w14:paraId="1FD3C4FE" w14:textId="77777777" w:rsidTr="007174EA">
        <w:trPr>
          <w:trHeight w:val="300"/>
          <w:tblHeader/>
        </w:trPr>
        <w:tc>
          <w:tcPr>
            <w:tcW w:w="5000" w:type="pct"/>
            <w:gridSpan w:val="3"/>
            <w:tcBorders>
              <w:top w:val="single" w:sz="12" w:space="0" w:color="auto"/>
              <w:left w:val="nil"/>
              <w:bottom w:val="single" w:sz="6" w:space="0" w:color="auto"/>
              <w:right w:val="nil"/>
            </w:tcBorders>
          </w:tcPr>
          <w:p w14:paraId="4116B969" w14:textId="77777777" w:rsidR="007174EA" w:rsidRPr="008B1975" w:rsidRDefault="007174EA" w:rsidP="007174EA">
            <w:pPr>
              <w:pStyle w:val="TableHeading"/>
            </w:pPr>
            <w:r w:rsidRPr="008B1975">
              <w:t>Application of Part 17 amendments</w:t>
            </w:r>
          </w:p>
        </w:tc>
      </w:tr>
      <w:tr w:rsidR="007174EA" w:rsidRPr="008B1975" w14:paraId="3E251CEA" w14:textId="77777777" w:rsidTr="00B9444D">
        <w:trPr>
          <w:trHeight w:val="300"/>
          <w:tblHeader/>
        </w:trPr>
        <w:tc>
          <w:tcPr>
            <w:tcW w:w="369" w:type="pct"/>
            <w:tcBorders>
              <w:top w:val="single" w:sz="6" w:space="0" w:color="auto"/>
              <w:left w:val="nil"/>
              <w:bottom w:val="single" w:sz="12" w:space="0" w:color="auto"/>
              <w:right w:val="nil"/>
            </w:tcBorders>
          </w:tcPr>
          <w:p w14:paraId="1A390191" w14:textId="77777777" w:rsidR="007174EA" w:rsidRPr="008B1975" w:rsidRDefault="007174EA" w:rsidP="007174EA">
            <w:pPr>
              <w:pStyle w:val="TableHeading"/>
            </w:pPr>
            <w:r w:rsidRPr="008B1975">
              <w:t>Item</w:t>
            </w:r>
          </w:p>
        </w:tc>
        <w:tc>
          <w:tcPr>
            <w:tcW w:w="739" w:type="pct"/>
            <w:tcBorders>
              <w:top w:val="single" w:sz="6" w:space="0" w:color="auto"/>
              <w:left w:val="nil"/>
              <w:bottom w:val="single" w:sz="12" w:space="0" w:color="auto"/>
              <w:right w:val="nil"/>
            </w:tcBorders>
            <w:hideMark/>
          </w:tcPr>
          <w:p w14:paraId="17FDE17C" w14:textId="77777777" w:rsidR="007174EA" w:rsidRPr="008B1975" w:rsidRDefault="007174EA" w:rsidP="007174EA">
            <w:pPr>
              <w:pStyle w:val="TableHeading"/>
            </w:pPr>
            <w:r w:rsidRPr="008B1975">
              <w:t>This provision…</w:t>
            </w:r>
          </w:p>
        </w:tc>
        <w:tc>
          <w:tcPr>
            <w:tcW w:w="3891" w:type="pct"/>
            <w:tcBorders>
              <w:top w:val="single" w:sz="6" w:space="0" w:color="auto"/>
              <w:left w:val="nil"/>
              <w:bottom w:val="single" w:sz="12" w:space="0" w:color="auto"/>
              <w:right w:val="nil"/>
            </w:tcBorders>
            <w:hideMark/>
          </w:tcPr>
          <w:p w14:paraId="01C0024E" w14:textId="77777777" w:rsidR="007174EA" w:rsidRPr="008B1975" w:rsidRDefault="007174EA" w:rsidP="007174EA">
            <w:pPr>
              <w:pStyle w:val="TableHeading"/>
            </w:pPr>
            <w:r w:rsidRPr="008B1975">
              <w:t>applies…</w:t>
            </w:r>
          </w:p>
        </w:tc>
      </w:tr>
      <w:tr w:rsidR="007174EA" w:rsidRPr="008B1975" w14:paraId="5C873984" w14:textId="77777777" w:rsidTr="00B9444D">
        <w:trPr>
          <w:trHeight w:val="50"/>
        </w:trPr>
        <w:tc>
          <w:tcPr>
            <w:tcW w:w="369" w:type="pct"/>
            <w:tcBorders>
              <w:top w:val="single" w:sz="4" w:space="0" w:color="auto"/>
              <w:left w:val="nil"/>
              <w:bottom w:val="single" w:sz="4" w:space="0" w:color="auto"/>
              <w:right w:val="nil"/>
            </w:tcBorders>
          </w:tcPr>
          <w:p w14:paraId="30D307CA" w14:textId="77777777" w:rsidR="007174EA" w:rsidRPr="008B1975" w:rsidRDefault="00F9683F" w:rsidP="007174EA">
            <w:pPr>
              <w:pStyle w:val="Tabletext"/>
            </w:pPr>
            <w:r w:rsidRPr="008B1975">
              <w:t>1</w:t>
            </w:r>
          </w:p>
        </w:tc>
        <w:tc>
          <w:tcPr>
            <w:tcW w:w="739" w:type="pct"/>
            <w:tcBorders>
              <w:top w:val="single" w:sz="4" w:space="0" w:color="auto"/>
              <w:left w:val="nil"/>
              <w:bottom w:val="single" w:sz="4" w:space="0" w:color="auto"/>
              <w:right w:val="nil"/>
            </w:tcBorders>
          </w:tcPr>
          <w:p w14:paraId="2ADEA581" w14:textId="77777777" w:rsidR="007174EA" w:rsidRPr="008B1975" w:rsidRDefault="007174EA" w:rsidP="007174EA">
            <w:pPr>
              <w:pStyle w:val="Tabletext"/>
            </w:pPr>
            <w:r w:rsidRPr="008B1975">
              <w:t>Section 17.1</w:t>
            </w:r>
          </w:p>
        </w:tc>
        <w:tc>
          <w:tcPr>
            <w:tcW w:w="3891" w:type="pct"/>
            <w:tcBorders>
              <w:top w:val="single" w:sz="4" w:space="0" w:color="auto"/>
              <w:left w:val="nil"/>
              <w:bottom w:val="single" w:sz="4" w:space="0" w:color="auto"/>
              <w:right w:val="nil"/>
            </w:tcBorders>
          </w:tcPr>
          <w:p w14:paraId="3A800687" w14:textId="77777777" w:rsidR="007174EA" w:rsidRPr="008B1975" w:rsidRDefault="007174EA" w:rsidP="007174EA">
            <w:pPr>
              <w:pStyle w:val="Tabletext"/>
            </w:pPr>
            <w:r w:rsidRPr="008B1975">
              <w:t>on and after the commencement day to signage installed on or after that day.</w:t>
            </w:r>
          </w:p>
        </w:tc>
      </w:tr>
      <w:tr w:rsidR="007174EA" w:rsidRPr="008B1975" w14:paraId="5761AE15" w14:textId="77777777" w:rsidTr="00B9444D">
        <w:trPr>
          <w:trHeight w:val="50"/>
        </w:trPr>
        <w:tc>
          <w:tcPr>
            <w:tcW w:w="369" w:type="pct"/>
            <w:tcBorders>
              <w:top w:val="single" w:sz="4" w:space="0" w:color="auto"/>
              <w:left w:val="nil"/>
              <w:bottom w:val="single" w:sz="4" w:space="0" w:color="auto"/>
              <w:right w:val="nil"/>
            </w:tcBorders>
          </w:tcPr>
          <w:p w14:paraId="4AB659F0" w14:textId="77777777" w:rsidR="007174EA" w:rsidRPr="008B1975" w:rsidRDefault="00F9683F" w:rsidP="007174EA">
            <w:pPr>
              <w:pStyle w:val="Tabletext"/>
            </w:pPr>
            <w:r w:rsidRPr="008B1975">
              <w:t>2</w:t>
            </w:r>
          </w:p>
        </w:tc>
        <w:tc>
          <w:tcPr>
            <w:tcW w:w="739" w:type="pct"/>
            <w:tcBorders>
              <w:top w:val="single" w:sz="4" w:space="0" w:color="auto"/>
              <w:left w:val="nil"/>
              <w:bottom w:val="single" w:sz="4" w:space="0" w:color="auto"/>
              <w:right w:val="nil"/>
            </w:tcBorders>
          </w:tcPr>
          <w:p w14:paraId="50A535FC" w14:textId="77777777" w:rsidR="007174EA" w:rsidRPr="008B1975" w:rsidRDefault="007174EA" w:rsidP="007174EA">
            <w:pPr>
              <w:pStyle w:val="Tabletext"/>
            </w:pPr>
            <w:r w:rsidRPr="008B1975">
              <w:t>Section 17.2</w:t>
            </w:r>
          </w:p>
        </w:tc>
        <w:tc>
          <w:tcPr>
            <w:tcW w:w="3891" w:type="pct"/>
            <w:tcBorders>
              <w:top w:val="single" w:sz="4" w:space="0" w:color="auto"/>
              <w:left w:val="nil"/>
              <w:bottom w:val="single" w:sz="4" w:space="0" w:color="auto"/>
              <w:right w:val="nil"/>
            </w:tcBorders>
          </w:tcPr>
          <w:p w14:paraId="6D14F0AA" w14:textId="77777777" w:rsidR="007174EA" w:rsidRPr="008B1975" w:rsidRDefault="007174EA" w:rsidP="007174EA">
            <w:pPr>
              <w:pStyle w:val="Tabletext"/>
            </w:pPr>
            <w:r w:rsidRPr="008B1975">
              <w:t>on and after the commencement day to signage installed on or after that day.</w:t>
            </w:r>
          </w:p>
        </w:tc>
      </w:tr>
      <w:tr w:rsidR="007174EA" w:rsidRPr="008B1975" w14:paraId="7F58F03B" w14:textId="77777777" w:rsidTr="00B9444D">
        <w:trPr>
          <w:trHeight w:val="50"/>
        </w:trPr>
        <w:tc>
          <w:tcPr>
            <w:tcW w:w="369" w:type="pct"/>
            <w:tcBorders>
              <w:top w:val="single" w:sz="4" w:space="0" w:color="auto"/>
              <w:left w:val="nil"/>
              <w:bottom w:val="single" w:sz="4" w:space="0" w:color="auto"/>
              <w:right w:val="nil"/>
            </w:tcBorders>
          </w:tcPr>
          <w:p w14:paraId="59602D13" w14:textId="77777777" w:rsidR="007174EA" w:rsidRPr="008B1975" w:rsidRDefault="00F9683F" w:rsidP="007174EA">
            <w:pPr>
              <w:pStyle w:val="Tabletext"/>
            </w:pPr>
            <w:r w:rsidRPr="008B1975">
              <w:t>3</w:t>
            </w:r>
          </w:p>
        </w:tc>
        <w:tc>
          <w:tcPr>
            <w:tcW w:w="739" w:type="pct"/>
            <w:tcBorders>
              <w:top w:val="single" w:sz="4" w:space="0" w:color="auto"/>
              <w:left w:val="nil"/>
              <w:bottom w:val="single" w:sz="4" w:space="0" w:color="auto"/>
              <w:right w:val="nil"/>
            </w:tcBorders>
          </w:tcPr>
          <w:p w14:paraId="59AE1CC0" w14:textId="77777777" w:rsidR="007174EA" w:rsidRPr="008B1975" w:rsidRDefault="007174EA" w:rsidP="007174EA">
            <w:pPr>
              <w:pStyle w:val="Tabletext"/>
            </w:pPr>
            <w:r w:rsidRPr="008B1975">
              <w:t>Section 17.3</w:t>
            </w:r>
          </w:p>
        </w:tc>
        <w:tc>
          <w:tcPr>
            <w:tcW w:w="3891" w:type="pct"/>
            <w:tcBorders>
              <w:top w:val="single" w:sz="4" w:space="0" w:color="auto"/>
              <w:left w:val="nil"/>
              <w:bottom w:val="single" w:sz="4" w:space="0" w:color="auto"/>
              <w:right w:val="nil"/>
            </w:tcBorders>
          </w:tcPr>
          <w:p w14:paraId="0791CC58" w14:textId="77777777" w:rsidR="007174EA" w:rsidRPr="008B1975" w:rsidRDefault="007174EA" w:rsidP="007174EA">
            <w:pPr>
              <w:pStyle w:val="Tabletext"/>
            </w:pPr>
            <w:r w:rsidRPr="008B1975">
              <w:t>on and after the commencement day to signage installed on or after that day.</w:t>
            </w:r>
          </w:p>
        </w:tc>
      </w:tr>
      <w:tr w:rsidR="007174EA" w:rsidRPr="008B1975" w14:paraId="6ABF5AC0" w14:textId="77777777" w:rsidTr="00B9444D">
        <w:trPr>
          <w:trHeight w:val="50"/>
        </w:trPr>
        <w:tc>
          <w:tcPr>
            <w:tcW w:w="369" w:type="pct"/>
            <w:tcBorders>
              <w:top w:val="single" w:sz="4" w:space="0" w:color="auto"/>
              <w:left w:val="nil"/>
              <w:bottom w:val="single" w:sz="4" w:space="0" w:color="auto"/>
              <w:right w:val="nil"/>
            </w:tcBorders>
          </w:tcPr>
          <w:p w14:paraId="12050458" w14:textId="77777777" w:rsidR="007174EA" w:rsidRPr="008B1975" w:rsidRDefault="00F9683F" w:rsidP="007174EA">
            <w:pPr>
              <w:pStyle w:val="Tabletext"/>
            </w:pPr>
            <w:r w:rsidRPr="008B1975">
              <w:lastRenderedPageBreak/>
              <w:t>4</w:t>
            </w:r>
          </w:p>
        </w:tc>
        <w:tc>
          <w:tcPr>
            <w:tcW w:w="739" w:type="pct"/>
            <w:tcBorders>
              <w:top w:val="single" w:sz="4" w:space="0" w:color="auto"/>
              <w:left w:val="nil"/>
              <w:bottom w:val="single" w:sz="4" w:space="0" w:color="auto"/>
              <w:right w:val="nil"/>
            </w:tcBorders>
          </w:tcPr>
          <w:p w14:paraId="65844FA6" w14:textId="77777777" w:rsidR="007174EA" w:rsidRPr="008B1975" w:rsidRDefault="007174EA" w:rsidP="007174EA">
            <w:pPr>
              <w:pStyle w:val="Tabletext"/>
            </w:pPr>
            <w:r w:rsidRPr="008B1975">
              <w:t>Section 17.3A</w:t>
            </w:r>
          </w:p>
        </w:tc>
        <w:tc>
          <w:tcPr>
            <w:tcW w:w="3891" w:type="pct"/>
            <w:tcBorders>
              <w:top w:val="single" w:sz="4" w:space="0" w:color="auto"/>
              <w:left w:val="nil"/>
              <w:bottom w:val="single" w:sz="4" w:space="0" w:color="auto"/>
              <w:right w:val="nil"/>
            </w:tcBorders>
          </w:tcPr>
          <w:p w14:paraId="1FF08F8A" w14:textId="77777777" w:rsidR="007174EA" w:rsidRPr="008B1975" w:rsidRDefault="007174EA" w:rsidP="007174EA">
            <w:pPr>
              <w:pStyle w:val="Tabletext"/>
            </w:pPr>
            <w:r w:rsidRPr="008B1975">
              <w:t>on and after the commencement day to signage installed on or after that day.</w:t>
            </w:r>
          </w:p>
        </w:tc>
      </w:tr>
      <w:tr w:rsidR="007174EA" w:rsidRPr="008B1975" w14:paraId="62982250" w14:textId="77777777" w:rsidTr="00B9444D">
        <w:trPr>
          <w:trHeight w:val="50"/>
        </w:trPr>
        <w:tc>
          <w:tcPr>
            <w:tcW w:w="369" w:type="pct"/>
            <w:tcBorders>
              <w:top w:val="single" w:sz="4" w:space="0" w:color="auto"/>
              <w:left w:val="nil"/>
              <w:bottom w:val="single" w:sz="4" w:space="0" w:color="auto"/>
              <w:right w:val="nil"/>
            </w:tcBorders>
          </w:tcPr>
          <w:p w14:paraId="4A096BBD" w14:textId="77777777" w:rsidR="007174EA" w:rsidRPr="008B1975" w:rsidRDefault="00F9683F" w:rsidP="007174EA">
            <w:pPr>
              <w:pStyle w:val="Tabletext"/>
            </w:pPr>
            <w:r w:rsidRPr="008B1975">
              <w:t>5</w:t>
            </w:r>
          </w:p>
        </w:tc>
        <w:tc>
          <w:tcPr>
            <w:tcW w:w="739" w:type="pct"/>
            <w:tcBorders>
              <w:top w:val="single" w:sz="4" w:space="0" w:color="auto"/>
              <w:left w:val="nil"/>
              <w:bottom w:val="single" w:sz="4" w:space="0" w:color="auto"/>
              <w:right w:val="nil"/>
            </w:tcBorders>
          </w:tcPr>
          <w:p w14:paraId="66771264" w14:textId="77777777" w:rsidR="007174EA" w:rsidRPr="008B1975" w:rsidRDefault="007174EA" w:rsidP="007174EA">
            <w:pPr>
              <w:pStyle w:val="Tabletext"/>
            </w:pPr>
            <w:r w:rsidRPr="008B1975">
              <w:t>Section 17.5</w:t>
            </w:r>
          </w:p>
        </w:tc>
        <w:tc>
          <w:tcPr>
            <w:tcW w:w="3891" w:type="pct"/>
            <w:tcBorders>
              <w:top w:val="single" w:sz="4" w:space="0" w:color="auto"/>
              <w:left w:val="nil"/>
              <w:bottom w:val="single" w:sz="4" w:space="0" w:color="auto"/>
              <w:right w:val="nil"/>
            </w:tcBorders>
          </w:tcPr>
          <w:p w14:paraId="01097347" w14:textId="77777777" w:rsidR="007174EA" w:rsidRPr="008B1975" w:rsidRDefault="007174EA" w:rsidP="007174EA">
            <w:pPr>
              <w:pStyle w:val="Tabletext"/>
            </w:pPr>
            <w:r w:rsidRPr="008B1975">
              <w:t>on and after the commencement day to digital information display screens installed on or after that day.</w:t>
            </w:r>
          </w:p>
        </w:tc>
      </w:tr>
      <w:tr w:rsidR="007174EA" w:rsidRPr="008B1975" w14:paraId="03D58AB2" w14:textId="77777777" w:rsidTr="00B9444D">
        <w:trPr>
          <w:trHeight w:val="50"/>
        </w:trPr>
        <w:tc>
          <w:tcPr>
            <w:tcW w:w="369" w:type="pct"/>
            <w:tcBorders>
              <w:top w:val="single" w:sz="4" w:space="0" w:color="auto"/>
              <w:left w:val="nil"/>
              <w:bottom w:val="single" w:sz="4" w:space="0" w:color="auto"/>
              <w:right w:val="nil"/>
            </w:tcBorders>
          </w:tcPr>
          <w:p w14:paraId="016947C3" w14:textId="77777777" w:rsidR="007174EA" w:rsidRPr="008B1975" w:rsidRDefault="00F9683F" w:rsidP="007174EA">
            <w:pPr>
              <w:pStyle w:val="Tabletext"/>
            </w:pPr>
            <w:r w:rsidRPr="008B1975">
              <w:t>6</w:t>
            </w:r>
          </w:p>
        </w:tc>
        <w:tc>
          <w:tcPr>
            <w:tcW w:w="739" w:type="pct"/>
            <w:tcBorders>
              <w:top w:val="single" w:sz="4" w:space="0" w:color="auto"/>
              <w:left w:val="nil"/>
              <w:bottom w:val="single" w:sz="4" w:space="0" w:color="auto"/>
              <w:right w:val="nil"/>
            </w:tcBorders>
          </w:tcPr>
          <w:p w14:paraId="3EF2A39C" w14:textId="77777777" w:rsidR="007174EA" w:rsidRPr="008B1975" w:rsidRDefault="007174EA" w:rsidP="007174EA">
            <w:pPr>
              <w:pStyle w:val="Tabletext"/>
            </w:pPr>
            <w:r w:rsidRPr="008B1975">
              <w:t>Section 17.6</w:t>
            </w:r>
          </w:p>
        </w:tc>
        <w:tc>
          <w:tcPr>
            <w:tcW w:w="3891" w:type="pct"/>
            <w:tcBorders>
              <w:top w:val="single" w:sz="4" w:space="0" w:color="auto"/>
              <w:left w:val="nil"/>
              <w:bottom w:val="single" w:sz="4" w:space="0" w:color="auto"/>
              <w:right w:val="nil"/>
            </w:tcBorders>
          </w:tcPr>
          <w:p w14:paraId="7D7B721C" w14:textId="77777777" w:rsidR="007174EA" w:rsidRPr="008B1975" w:rsidRDefault="007174EA" w:rsidP="007174EA">
            <w:pPr>
              <w:pStyle w:val="Tabletext"/>
            </w:pPr>
            <w:r w:rsidRPr="008B1975">
              <w:t>on and after the commencement day to signage installed on or after that day.</w:t>
            </w:r>
          </w:p>
        </w:tc>
      </w:tr>
      <w:tr w:rsidR="007174EA" w:rsidRPr="008B1975" w14:paraId="56A95E44" w14:textId="77777777" w:rsidTr="00B9444D">
        <w:trPr>
          <w:trHeight w:val="50"/>
        </w:trPr>
        <w:tc>
          <w:tcPr>
            <w:tcW w:w="369" w:type="pct"/>
            <w:tcBorders>
              <w:top w:val="single" w:sz="4" w:space="0" w:color="auto"/>
              <w:left w:val="nil"/>
              <w:bottom w:val="single" w:sz="4" w:space="0" w:color="auto"/>
              <w:right w:val="nil"/>
            </w:tcBorders>
          </w:tcPr>
          <w:p w14:paraId="32367F25" w14:textId="77777777" w:rsidR="007174EA" w:rsidRPr="008B1975" w:rsidRDefault="00F9683F" w:rsidP="007174EA">
            <w:pPr>
              <w:pStyle w:val="Tabletext"/>
            </w:pPr>
            <w:r w:rsidRPr="008B1975">
              <w:t>7</w:t>
            </w:r>
          </w:p>
        </w:tc>
        <w:tc>
          <w:tcPr>
            <w:tcW w:w="739" w:type="pct"/>
            <w:tcBorders>
              <w:top w:val="single" w:sz="4" w:space="0" w:color="auto"/>
              <w:left w:val="nil"/>
              <w:bottom w:val="single" w:sz="4" w:space="0" w:color="auto"/>
              <w:right w:val="nil"/>
            </w:tcBorders>
          </w:tcPr>
          <w:p w14:paraId="6FB875EC" w14:textId="77777777" w:rsidR="007174EA" w:rsidRPr="008B1975" w:rsidRDefault="007174EA" w:rsidP="007174EA">
            <w:pPr>
              <w:pStyle w:val="Tabletext"/>
            </w:pPr>
            <w:r w:rsidRPr="008B1975">
              <w:t>Section 17.6A</w:t>
            </w:r>
          </w:p>
        </w:tc>
        <w:tc>
          <w:tcPr>
            <w:tcW w:w="3891" w:type="pct"/>
            <w:tcBorders>
              <w:top w:val="single" w:sz="4" w:space="0" w:color="auto"/>
              <w:left w:val="nil"/>
              <w:bottom w:val="single" w:sz="4" w:space="0" w:color="auto"/>
              <w:right w:val="nil"/>
            </w:tcBorders>
          </w:tcPr>
          <w:p w14:paraId="1290C384" w14:textId="77777777" w:rsidR="007174EA" w:rsidRPr="008B1975" w:rsidRDefault="007174EA" w:rsidP="007174EA">
            <w:pPr>
              <w:pStyle w:val="Tabletext"/>
            </w:pPr>
            <w:r w:rsidRPr="008B1975">
              <w:t>on and after the commencement day to signage installed on or after that day.</w:t>
            </w:r>
          </w:p>
        </w:tc>
      </w:tr>
      <w:tr w:rsidR="007174EA" w:rsidRPr="008B1975" w14:paraId="6CBFC8CD" w14:textId="77777777" w:rsidTr="00B9444D">
        <w:trPr>
          <w:trHeight w:val="50"/>
        </w:trPr>
        <w:tc>
          <w:tcPr>
            <w:tcW w:w="369" w:type="pct"/>
            <w:tcBorders>
              <w:top w:val="single" w:sz="4" w:space="0" w:color="auto"/>
              <w:left w:val="nil"/>
              <w:bottom w:val="single" w:sz="4" w:space="0" w:color="auto"/>
              <w:right w:val="nil"/>
            </w:tcBorders>
          </w:tcPr>
          <w:p w14:paraId="3A924333" w14:textId="77777777" w:rsidR="007174EA" w:rsidRPr="008B1975" w:rsidRDefault="00F9683F" w:rsidP="007174EA">
            <w:pPr>
              <w:pStyle w:val="Tabletext"/>
            </w:pPr>
            <w:r w:rsidRPr="008B1975">
              <w:t>8</w:t>
            </w:r>
          </w:p>
        </w:tc>
        <w:tc>
          <w:tcPr>
            <w:tcW w:w="739" w:type="pct"/>
            <w:tcBorders>
              <w:top w:val="single" w:sz="4" w:space="0" w:color="auto"/>
              <w:left w:val="nil"/>
              <w:bottom w:val="single" w:sz="4" w:space="0" w:color="auto"/>
              <w:right w:val="nil"/>
            </w:tcBorders>
          </w:tcPr>
          <w:p w14:paraId="1828D5F8" w14:textId="77777777" w:rsidR="007174EA" w:rsidRPr="008B1975" w:rsidRDefault="007174EA" w:rsidP="007174EA">
            <w:pPr>
              <w:pStyle w:val="Tabletext"/>
            </w:pPr>
            <w:r w:rsidRPr="008B1975">
              <w:t>Section 17.6B</w:t>
            </w:r>
          </w:p>
        </w:tc>
        <w:tc>
          <w:tcPr>
            <w:tcW w:w="3891" w:type="pct"/>
            <w:tcBorders>
              <w:top w:val="single" w:sz="4" w:space="0" w:color="auto"/>
              <w:left w:val="nil"/>
              <w:bottom w:val="single" w:sz="4" w:space="0" w:color="auto"/>
              <w:right w:val="nil"/>
            </w:tcBorders>
          </w:tcPr>
          <w:p w14:paraId="71A547C8" w14:textId="77777777" w:rsidR="007174EA" w:rsidRPr="008B1975" w:rsidRDefault="007174EA" w:rsidP="007174EA">
            <w:pPr>
              <w:pStyle w:val="Tabletext"/>
            </w:pPr>
            <w:r w:rsidRPr="008B1975">
              <w:t>on and after the commencement day to signage installed on or after that day.</w:t>
            </w:r>
          </w:p>
        </w:tc>
      </w:tr>
      <w:tr w:rsidR="007174EA" w:rsidRPr="008B1975" w14:paraId="413AF9C1" w14:textId="77777777" w:rsidTr="00B9444D">
        <w:trPr>
          <w:trHeight w:val="50"/>
        </w:trPr>
        <w:tc>
          <w:tcPr>
            <w:tcW w:w="369" w:type="pct"/>
            <w:tcBorders>
              <w:top w:val="single" w:sz="4" w:space="0" w:color="auto"/>
              <w:left w:val="nil"/>
              <w:bottom w:val="single" w:sz="4" w:space="0" w:color="auto"/>
              <w:right w:val="nil"/>
            </w:tcBorders>
          </w:tcPr>
          <w:p w14:paraId="14875823" w14:textId="77777777" w:rsidR="007174EA" w:rsidRPr="008B1975" w:rsidRDefault="00F9683F" w:rsidP="007174EA">
            <w:pPr>
              <w:pStyle w:val="Tabletext"/>
            </w:pPr>
            <w:r w:rsidRPr="008B1975">
              <w:t>9</w:t>
            </w:r>
          </w:p>
        </w:tc>
        <w:tc>
          <w:tcPr>
            <w:tcW w:w="739" w:type="pct"/>
            <w:tcBorders>
              <w:top w:val="single" w:sz="4" w:space="0" w:color="auto"/>
              <w:left w:val="nil"/>
              <w:bottom w:val="single" w:sz="4" w:space="0" w:color="auto"/>
              <w:right w:val="nil"/>
            </w:tcBorders>
          </w:tcPr>
          <w:p w14:paraId="274CED57" w14:textId="77777777" w:rsidR="007174EA" w:rsidRPr="008B1975" w:rsidRDefault="007174EA" w:rsidP="007174EA">
            <w:pPr>
              <w:pStyle w:val="Tabletext"/>
            </w:pPr>
            <w:r w:rsidRPr="008B1975">
              <w:t>Section 17.6C</w:t>
            </w:r>
          </w:p>
        </w:tc>
        <w:tc>
          <w:tcPr>
            <w:tcW w:w="3891" w:type="pct"/>
            <w:tcBorders>
              <w:top w:val="single" w:sz="4" w:space="0" w:color="auto"/>
              <w:left w:val="nil"/>
              <w:bottom w:val="single" w:sz="4" w:space="0" w:color="auto"/>
              <w:right w:val="nil"/>
            </w:tcBorders>
          </w:tcPr>
          <w:p w14:paraId="4D39E60A" w14:textId="77777777" w:rsidR="007174EA" w:rsidRPr="008B1975" w:rsidRDefault="007174EA" w:rsidP="007174EA">
            <w:pPr>
              <w:pStyle w:val="Tabletext"/>
            </w:pPr>
            <w:r w:rsidRPr="008B1975">
              <w:t>on and after the commencement day to signage installed on or after that day.</w:t>
            </w:r>
          </w:p>
        </w:tc>
      </w:tr>
      <w:tr w:rsidR="007174EA" w:rsidRPr="008B1975" w14:paraId="697A3D84" w14:textId="77777777" w:rsidTr="00B9444D">
        <w:trPr>
          <w:trHeight w:val="50"/>
        </w:trPr>
        <w:tc>
          <w:tcPr>
            <w:tcW w:w="369" w:type="pct"/>
            <w:tcBorders>
              <w:top w:val="single" w:sz="4" w:space="0" w:color="auto"/>
              <w:left w:val="nil"/>
              <w:bottom w:val="single" w:sz="12" w:space="0" w:color="auto"/>
              <w:right w:val="nil"/>
            </w:tcBorders>
          </w:tcPr>
          <w:p w14:paraId="0E8C3F14" w14:textId="77777777" w:rsidR="007174EA" w:rsidRPr="008B1975" w:rsidRDefault="00F9683F" w:rsidP="007174EA">
            <w:pPr>
              <w:pStyle w:val="Tabletext"/>
            </w:pPr>
            <w:r w:rsidRPr="008B1975">
              <w:t>10</w:t>
            </w:r>
          </w:p>
        </w:tc>
        <w:tc>
          <w:tcPr>
            <w:tcW w:w="739" w:type="pct"/>
            <w:tcBorders>
              <w:top w:val="single" w:sz="4" w:space="0" w:color="auto"/>
              <w:left w:val="nil"/>
              <w:bottom w:val="single" w:sz="12" w:space="0" w:color="auto"/>
              <w:right w:val="nil"/>
            </w:tcBorders>
          </w:tcPr>
          <w:p w14:paraId="355C8D33" w14:textId="77777777" w:rsidR="007174EA" w:rsidRPr="008B1975" w:rsidRDefault="007174EA" w:rsidP="007174EA">
            <w:pPr>
              <w:pStyle w:val="Tabletext"/>
            </w:pPr>
            <w:r w:rsidRPr="008B1975">
              <w:t>Section 17.6D</w:t>
            </w:r>
          </w:p>
        </w:tc>
        <w:tc>
          <w:tcPr>
            <w:tcW w:w="3891" w:type="pct"/>
            <w:tcBorders>
              <w:top w:val="single" w:sz="4" w:space="0" w:color="auto"/>
              <w:left w:val="nil"/>
              <w:bottom w:val="single" w:sz="12" w:space="0" w:color="auto"/>
              <w:right w:val="nil"/>
            </w:tcBorders>
          </w:tcPr>
          <w:p w14:paraId="3AA1BA70" w14:textId="77777777" w:rsidR="007174EA" w:rsidRPr="008B1975" w:rsidRDefault="007174EA" w:rsidP="007174EA">
            <w:pPr>
              <w:pStyle w:val="Tabletext"/>
            </w:pPr>
            <w:r w:rsidRPr="008B1975">
              <w:t>on and after the commencement day to signage installed on or after that day.</w:t>
            </w:r>
          </w:p>
        </w:tc>
      </w:tr>
    </w:tbl>
    <w:p w14:paraId="1196E133" w14:textId="77777777" w:rsidR="007174EA" w:rsidRPr="008B1975" w:rsidRDefault="007174EA" w:rsidP="007174EA">
      <w:pPr>
        <w:pStyle w:val="ActHead5"/>
        <w:ind w:left="0" w:firstLine="0"/>
        <w:outlineLvl w:val="9"/>
      </w:pPr>
      <w:r w:rsidRPr="008B1975">
        <w:t>35.20  Application of Part 18 amendments</w:t>
      </w:r>
    </w:p>
    <w:p w14:paraId="644A18BF" w14:textId="77777777" w:rsidR="007174EA" w:rsidRPr="008B1975" w:rsidRDefault="007174EA" w:rsidP="007174EA">
      <w:pPr>
        <w:pStyle w:val="subsection"/>
      </w:pPr>
      <w:r w:rsidRPr="008B1975">
        <w:tab/>
      </w:r>
      <w:r w:rsidRPr="008B1975">
        <w:tab/>
        <w:t>The following table provides for the application of certain provisions of Part 18 of the amended Standards.</w:t>
      </w:r>
    </w:p>
    <w:p w14:paraId="09A45293"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2CC316C2" w14:textId="77777777" w:rsidTr="007174EA">
        <w:trPr>
          <w:trHeight w:val="300"/>
          <w:tblHeader/>
        </w:trPr>
        <w:tc>
          <w:tcPr>
            <w:tcW w:w="5000" w:type="pct"/>
            <w:gridSpan w:val="3"/>
            <w:tcBorders>
              <w:top w:val="single" w:sz="12" w:space="0" w:color="auto"/>
              <w:left w:val="nil"/>
              <w:bottom w:val="single" w:sz="6" w:space="0" w:color="auto"/>
              <w:right w:val="nil"/>
            </w:tcBorders>
          </w:tcPr>
          <w:p w14:paraId="00007632" w14:textId="77777777" w:rsidR="007174EA" w:rsidRPr="008B1975" w:rsidRDefault="007174EA" w:rsidP="007174EA">
            <w:pPr>
              <w:pStyle w:val="TableHeading"/>
            </w:pPr>
            <w:r w:rsidRPr="008B1975">
              <w:t>Application of Part 18 amendments</w:t>
            </w:r>
          </w:p>
        </w:tc>
      </w:tr>
      <w:tr w:rsidR="007174EA" w:rsidRPr="008B1975" w14:paraId="05AB1787" w14:textId="77777777" w:rsidTr="007174EA">
        <w:trPr>
          <w:trHeight w:val="300"/>
          <w:tblHeader/>
        </w:trPr>
        <w:tc>
          <w:tcPr>
            <w:tcW w:w="369" w:type="pct"/>
            <w:tcBorders>
              <w:top w:val="single" w:sz="6" w:space="0" w:color="auto"/>
              <w:left w:val="nil"/>
              <w:bottom w:val="single" w:sz="12" w:space="0" w:color="auto"/>
              <w:right w:val="nil"/>
            </w:tcBorders>
          </w:tcPr>
          <w:p w14:paraId="534CEBF7"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4905420A"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69C35545" w14:textId="77777777" w:rsidR="007174EA" w:rsidRPr="008B1975" w:rsidRDefault="007174EA" w:rsidP="007174EA">
            <w:pPr>
              <w:pStyle w:val="TableHeading"/>
            </w:pPr>
            <w:r w:rsidRPr="008B1975">
              <w:t>applies…</w:t>
            </w:r>
          </w:p>
        </w:tc>
      </w:tr>
      <w:tr w:rsidR="007174EA" w:rsidRPr="008B1975" w14:paraId="3519C68B" w14:textId="77777777" w:rsidTr="007174EA">
        <w:trPr>
          <w:trHeight w:val="50"/>
        </w:trPr>
        <w:tc>
          <w:tcPr>
            <w:tcW w:w="369" w:type="pct"/>
            <w:tcBorders>
              <w:top w:val="single" w:sz="4" w:space="0" w:color="auto"/>
              <w:left w:val="nil"/>
              <w:bottom w:val="single" w:sz="4" w:space="0" w:color="auto"/>
              <w:right w:val="nil"/>
            </w:tcBorders>
          </w:tcPr>
          <w:p w14:paraId="0FB25942"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4816E9D4" w14:textId="77777777" w:rsidR="007174EA" w:rsidRPr="008B1975" w:rsidRDefault="007174EA" w:rsidP="007174EA">
            <w:pPr>
              <w:pStyle w:val="Tabletext"/>
            </w:pPr>
            <w:r w:rsidRPr="008B1975">
              <w:t>Section 18.1</w:t>
            </w:r>
          </w:p>
        </w:tc>
        <w:tc>
          <w:tcPr>
            <w:tcW w:w="3874" w:type="pct"/>
            <w:tcBorders>
              <w:top w:val="single" w:sz="4" w:space="0" w:color="auto"/>
              <w:left w:val="nil"/>
              <w:bottom w:val="single" w:sz="4" w:space="0" w:color="auto"/>
              <w:right w:val="nil"/>
            </w:tcBorders>
          </w:tcPr>
          <w:p w14:paraId="32155457" w14:textId="77777777" w:rsidR="007174EA" w:rsidRPr="008B1975" w:rsidRDefault="007174EA" w:rsidP="007174EA">
            <w:pPr>
              <w:pStyle w:val="Tablea"/>
            </w:pPr>
            <w:r w:rsidRPr="008B1975">
              <w:t>(a) on and after the commencement day to tactile ground surface indicators installed on or after that day; and</w:t>
            </w:r>
          </w:p>
          <w:p w14:paraId="77515DC7" w14:textId="77777777" w:rsidR="007174EA" w:rsidRPr="008B1975" w:rsidRDefault="007174EA" w:rsidP="007174EA">
            <w:pPr>
              <w:pStyle w:val="Tablea"/>
            </w:pPr>
            <w:r w:rsidRPr="008B1975">
              <w:t>(b) after the end of the 10</w:t>
            </w:r>
            <w:r w:rsidRPr="008B1975">
              <w:noBreakHyphen/>
              <w:t>year transitional period to tactile ground surface indicators that:</w:t>
            </w:r>
          </w:p>
          <w:p w14:paraId="078782C6" w14:textId="77777777" w:rsidR="007174EA" w:rsidRPr="008B1975" w:rsidRDefault="007174EA" w:rsidP="007174EA">
            <w:pPr>
              <w:pStyle w:val="Tablei"/>
            </w:pPr>
            <w:r w:rsidRPr="008B1975">
              <w:t>(i) existed before the commencement day; and</w:t>
            </w:r>
          </w:p>
          <w:p w14:paraId="74B0938F" w14:textId="77777777" w:rsidR="007174EA" w:rsidRPr="008B1975" w:rsidRDefault="007174EA" w:rsidP="007174EA">
            <w:pPr>
              <w:pStyle w:val="Tablei"/>
            </w:pPr>
            <w:r w:rsidRPr="008B1975">
              <w:t>(ii) that remain in service after the end of that period.</w:t>
            </w:r>
          </w:p>
        </w:tc>
      </w:tr>
      <w:tr w:rsidR="007174EA" w:rsidRPr="008B1975" w14:paraId="5364FA99" w14:textId="77777777" w:rsidTr="008150FF">
        <w:trPr>
          <w:trHeight w:val="1559"/>
        </w:trPr>
        <w:tc>
          <w:tcPr>
            <w:tcW w:w="369" w:type="pct"/>
            <w:tcBorders>
              <w:top w:val="single" w:sz="4" w:space="0" w:color="auto"/>
              <w:left w:val="nil"/>
              <w:bottom w:val="single" w:sz="12" w:space="0" w:color="auto"/>
              <w:right w:val="nil"/>
            </w:tcBorders>
          </w:tcPr>
          <w:p w14:paraId="38E2840F" w14:textId="77777777" w:rsidR="007174EA" w:rsidRPr="008B1975" w:rsidRDefault="007174EA" w:rsidP="007174EA">
            <w:pPr>
              <w:pStyle w:val="Tabletext"/>
            </w:pPr>
            <w:r w:rsidRPr="008B1975">
              <w:t>2</w:t>
            </w:r>
          </w:p>
        </w:tc>
        <w:tc>
          <w:tcPr>
            <w:tcW w:w="757" w:type="pct"/>
            <w:tcBorders>
              <w:top w:val="single" w:sz="4" w:space="0" w:color="auto"/>
              <w:left w:val="nil"/>
              <w:bottom w:val="single" w:sz="12" w:space="0" w:color="auto"/>
              <w:right w:val="nil"/>
            </w:tcBorders>
          </w:tcPr>
          <w:p w14:paraId="64F10AD0" w14:textId="77777777" w:rsidR="007174EA" w:rsidRPr="008B1975" w:rsidRDefault="007174EA" w:rsidP="007174EA">
            <w:pPr>
              <w:pStyle w:val="Tabletext"/>
            </w:pPr>
            <w:r w:rsidRPr="008B1975">
              <w:t>Section 18.2</w:t>
            </w:r>
          </w:p>
        </w:tc>
        <w:tc>
          <w:tcPr>
            <w:tcW w:w="3874" w:type="pct"/>
            <w:tcBorders>
              <w:top w:val="single" w:sz="4" w:space="0" w:color="auto"/>
              <w:left w:val="nil"/>
              <w:bottom w:val="single" w:sz="12" w:space="0" w:color="auto"/>
              <w:right w:val="nil"/>
            </w:tcBorders>
          </w:tcPr>
          <w:p w14:paraId="0E38C5D3" w14:textId="2470EECC" w:rsidR="007174EA" w:rsidRPr="008B1975" w:rsidRDefault="007174EA" w:rsidP="007174EA">
            <w:pPr>
              <w:pStyle w:val="Tablea"/>
            </w:pPr>
            <w:r w:rsidRPr="008B1975">
              <w:t>(a) on and after the commencement day to tactile ground surface indicators installed on or after that day; and</w:t>
            </w:r>
          </w:p>
          <w:p w14:paraId="3309F796" w14:textId="5550D528" w:rsidR="007174EA" w:rsidRPr="008B1975" w:rsidRDefault="007174EA" w:rsidP="007174EA">
            <w:pPr>
              <w:pStyle w:val="Tablea"/>
            </w:pPr>
            <w:r w:rsidRPr="008B1975">
              <w:t>(b) after the end of the 10</w:t>
            </w:r>
            <w:r w:rsidRPr="008B1975">
              <w:noBreakHyphen/>
              <w:t>year transitional period to tactile ground surface indicators that:</w:t>
            </w:r>
          </w:p>
          <w:p w14:paraId="206BF75B" w14:textId="77777777" w:rsidR="007174EA" w:rsidRPr="008B1975" w:rsidRDefault="007174EA" w:rsidP="007174EA">
            <w:pPr>
              <w:pStyle w:val="Tablei"/>
            </w:pPr>
            <w:r w:rsidRPr="008B1975">
              <w:t>(i) existed before the commencement day; and</w:t>
            </w:r>
          </w:p>
          <w:p w14:paraId="68FD2AEF" w14:textId="77777777" w:rsidR="007174EA" w:rsidRPr="008B1975" w:rsidRDefault="007174EA" w:rsidP="007174EA">
            <w:pPr>
              <w:pStyle w:val="Tablei"/>
            </w:pPr>
            <w:r w:rsidRPr="008B1975">
              <w:t>(ii) that remain in service after the end of that period.</w:t>
            </w:r>
          </w:p>
        </w:tc>
      </w:tr>
    </w:tbl>
    <w:p w14:paraId="56CAD003" w14:textId="77777777" w:rsidR="007174EA" w:rsidRPr="008B1975" w:rsidRDefault="007174EA" w:rsidP="007174EA">
      <w:pPr>
        <w:pStyle w:val="ActHead5"/>
        <w:outlineLvl w:val="9"/>
      </w:pPr>
      <w:r w:rsidRPr="008B1975">
        <w:t>35.21  Application of Part 21 amendments</w:t>
      </w:r>
    </w:p>
    <w:p w14:paraId="3D9AF0A3" w14:textId="77777777" w:rsidR="007174EA" w:rsidRPr="008B1975" w:rsidRDefault="007174EA" w:rsidP="007174EA">
      <w:pPr>
        <w:pStyle w:val="subsection"/>
      </w:pPr>
      <w:r w:rsidRPr="008B1975">
        <w:tab/>
      </w:r>
      <w:r w:rsidRPr="008B1975">
        <w:tab/>
        <w:t>The following table provides for the application of certain provisions of Part 21 of the amended Standards.</w:t>
      </w:r>
    </w:p>
    <w:p w14:paraId="7C0E661E"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2A5DE194" w14:textId="77777777" w:rsidTr="007174EA">
        <w:trPr>
          <w:trHeight w:val="300"/>
          <w:tblHeader/>
        </w:trPr>
        <w:tc>
          <w:tcPr>
            <w:tcW w:w="5000" w:type="pct"/>
            <w:gridSpan w:val="3"/>
            <w:tcBorders>
              <w:top w:val="single" w:sz="12" w:space="0" w:color="auto"/>
              <w:left w:val="nil"/>
              <w:bottom w:val="single" w:sz="6" w:space="0" w:color="auto"/>
              <w:right w:val="nil"/>
            </w:tcBorders>
          </w:tcPr>
          <w:p w14:paraId="4F7082FC" w14:textId="77777777" w:rsidR="007174EA" w:rsidRPr="008B1975" w:rsidRDefault="007174EA" w:rsidP="007174EA">
            <w:pPr>
              <w:pStyle w:val="TableHeading"/>
            </w:pPr>
            <w:r w:rsidRPr="008B1975">
              <w:t>Application of Part 21 amendments</w:t>
            </w:r>
          </w:p>
        </w:tc>
      </w:tr>
      <w:tr w:rsidR="007174EA" w:rsidRPr="008B1975" w14:paraId="63EF4593" w14:textId="77777777" w:rsidTr="007174EA">
        <w:trPr>
          <w:trHeight w:val="300"/>
          <w:tblHeader/>
        </w:trPr>
        <w:tc>
          <w:tcPr>
            <w:tcW w:w="369" w:type="pct"/>
            <w:tcBorders>
              <w:top w:val="single" w:sz="6" w:space="0" w:color="auto"/>
              <w:left w:val="nil"/>
              <w:bottom w:val="single" w:sz="12" w:space="0" w:color="auto"/>
              <w:right w:val="nil"/>
            </w:tcBorders>
          </w:tcPr>
          <w:p w14:paraId="6EA3B10C"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18CC01BD"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656B642F" w14:textId="77777777" w:rsidR="007174EA" w:rsidRPr="008B1975" w:rsidRDefault="007174EA" w:rsidP="007174EA">
            <w:pPr>
              <w:pStyle w:val="TableHeading"/>
            </w:pPr>
            <w:r w:rsidRPr="008B1975">
              <w:t>applies…</w:t>
            </w:r>
          </w:p>
        </w:tc>
      </w:tr>
      <w:tr w:rsidR="007174EA" w:rsidRPr="008B1975" w14:paraId="68BAE557" w14:textId="77777777" w:rsidTr="008150FF">
        <w:trPr>
          <w:trHeight w:val="50"/>
        </w:trPr>
        <w:tc>
          <w:tcPr>
            <w:tcW w:w="369" w:type="pct"/>
            <w:tcBorders>
              <w:top w:val="single" w:sz="4" w:space="0" w:color="auto"/>
              <w:left w:val="nil"/>
              <w:bottom w:val="single" w:sz="12" w:space="0" w:color="auto"/>
              <w:right w:val="nil"/>
            </w:tcBorders>
          </w:tcPr>
          <w:p w14:paraId="6D4D04D2"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3EBEE61F" w14:textId="77777777" w:rsidR="007174EA" w:rsidRPr="008B1975" w:rsidRDefault="007174EA" w:rsidP="007174EA">
            <w:pPr>
              <w:pStyle w:val="Tabletext"/>
            </w:pPr>
            <w:r w:rsidRPr="008B1975">
              <w:t>Section 21.3</w:t>
            </w:r>
          </w:p>
        </w:tc>
        <w:tc>
          <w:tcPr>
            <w:tcW w:w="3874" w:type="pct"/>
            <w:tcBorders>
              <w:top w:val="single" w:sz="4" w:space="0" w:color="auto"/>
              <w:left w:val="nil"/>
              <w:bottom w:val="single" w:sz="12" w:space="0" w:color="auto"/>
              <w:right w:val="nil"/>
            </w:tcBorders>
          </w:tcPr>
          <w:p w14:paraId="3C8F1A97" w14:textId="77777777" w:rsidR="007174EA" w:rsidRPr="008B1975" w:rsidRDefault="007174EA" w:rsidP="007174EA">
            <w:pPr>
              <w:pStyle w:val="Tabletext"/>
            </w:pPr>
            <w:r w:rsidRPr="008B1975">
              <w:t>(a) on and after the commencement day to new conveyances; and</w:t>
            </w:r>
          </w:p>
          <w:p w14:paraId="58FBD8D6" w14:textId="77777777" w:rsidR="007174EA" w:rsidRPr="008B1975" w:rsidRDefault="007174EA" w:rsidP="007174EA">
            <w:pPr>
              <w:pStyle w:val="Tablea"/>
            </w:pPr>
            <w:r w:rsidRPr="008B1975">
              <w:lastRenderedPageBreak/>
              <w:t>(b) on and after the commencement day to controls installed, on or after that day, in:</w:t>
            </w:r>
          </w:p>
          <w:p w14:paraId="50BA7C9B" w14:textId="77777777" w:rsidR="007174EA" w:rsidRPr="008B1975" w:rsidRDefault="007174EA" w:rsidP="007174EA">
            <w:pPr>
              <w:pStyle w:val="Tablei"/>
            </w:pPr>
            <w:r w:rsidRPr="008B1975">
              <w:t>(i) existing conveyances; and</w:t>
            </w:r>
          </w:p>
          <w:p w14:paraId="1D4B319C" w14:textId="77777777" w:rsidR="007174EA" w:rsidRPr="008B1975" w:rsidRDefault="007174EA" w:rsidP="007174EA">
            <w:pPr>
              <w:pStyle w:val="Tablei"/>
            </w:pPr>
            <w:r w:rsidRPr="008B1975">
              <w:t>(ii) existing trains and trams.</w:t>
            </w:r>
          </w:p>
        </w:tc>
      </w:tr>
    </w:tbl>
    <w:p w14:paraId="64FD393B" w14:textId="77777777" w:rsidR="007174EA" w:rsidRPr="008B1975" w:rsidRDefault="007174EA" w:rsidP="007174EA">
      <w:pPr>
        <w:pStyle w:val="ActHead5"/>
        <w:outlineLvl w:val="9"/>
      </w:pPr>
      <w:r w:rsidRPr="008B1975">
        <w:lastRenderedPageBreak/>
        <w:t>35.22  Application of Part 24 amendments</w:t>
      </w:r>
    </w:p>
    <w:p w14:paraId="61898B96" w14:textId="77777777" w:rsidR="007174EA" w:rsidRPr="008B1975" w:rsidRDefault="007174EA" w:rsidP="007174EA">
      <w:pPr>
        <w:pStyle w:val="subsection"/>
      </w:pPr>
      <w:r w:rsidRPr="008B1975">
        <w:tab/>
      </w:r>
      <w:r w:rsidRPr="008B1975">
        <w:tab/>
        <w:t>The following table provides for the application of certain provisions of Part 24 of the amended Standards.</w:t>
      </w:r>
    </w:p>
    <w:p w14:paraId="74BCDCB2"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13E8F006" w14:textId="77777777" w:rsidTr="007174EA">
        <w:trPr>
          <w:trHeight w:val="300"/>
          <w:tblHeader/>
        </w:trPr>
        <w:tc>
          <w:tcPr>
            <w:tcW w:w="5000" w:type="pct"/>
            <w:gridSpan w:val="3"/>
            <w:tcBorders>
              <w:top w:val="single" w:sz="12" w:space="0" w:color="auto"/>
              <w:left w:val="nil"/>
              <w:bottom w:val="single" w:sz="6" w:space="0" w:color="auto"/>
              <w:right w:val="nil"/>
            </w:tcBorders>
          </w:tcPr>
          <w:p w14:paraId="0C6B8563" w14:textId="77777777" w:rsidR="007174EA" w:rsidRPr="008B1975" w:rsidRDefault="007174EA" w:rsidP="007174EA">
            <w:pPr>
              <w:pStyle w:val="TableHeading"/>
            </w:pPr>
            <w:r w:rsidRPr="008B1975">
              <w:t>Application of Part 24 amendments</w:t>
            </w:r>
          </w:p>
        </w:tc>
      </w:tr>
      <w:tr w:rsidR="007174EA" w:rsidRPr="008B1975" w14:paraId="24E46639" w14:textId="77777777" w:rsidTr="007174EA">
        <w:trPr>
          <w:trHeight w:val="300"/>
          <w:tblHeader/>
        </w:trPr>
        <w:tc>
          <w:tcPr>
            <w:tcW w:w="369" w:type="pct"/>
            <w:tcBorders>
              <w:top w:val="single" w:sz="6" w:space="0" w:color="auto"/>
              <w:left w:val="nil"/>
              <w:bottom w:val="single" w:sz="12" w:space="0" w:color="auto"/>
              <w:right w:val="nil"/>
            </w:tcBorders>
          </w:tcPr>
          <w:p w14:paraId="6A4CCD79"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1F739D1C"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315F0235" w14:textId="77777777" w:rsidR="007174EA" w:rsidRPr="008B1975" w:rsidRDefault="007174EA" w:rsidP="007174EA">
            <w:pPr>
              <w:pStyle w:val="TableHeading"/>
            </w:pPr>
            <w:r w:rsidRPr="008B1975">
              <w:t>applies…</w:t>
            </w:r>
          </w:p>
        </w:tc>
      </w:tr>
      <w:tr w:rsidR="007174EA" w:rsidRPr="008B1975" w14:paraId="74970343" w14:textId="77777777" w:rsidTr="008150FF">
        <w:trPr>
          <w:trHeight w:val="50"/>
        </w:trPr>
        <w:tc>
          <w:tcPr>
            <w:tcW w:w="369" w:type="pct"/>
            <w:tcBorders>
              <w:top w:val="single" w:sz="4" w:space="0" w:color="auto"/>
              <w:left w:val="nil"/>
              <w:bottom w:val="single" w:sz="12" w:space="0" w:color="auto"/>
              <w:right w:val="nil"/>
            </w:tcBorders>
          </w:tcPr>
          <w:p w14:paraId="693270AC"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4F1959C4" w14:textId="77777777" w:rsidR="007174EA" w:rsidRPr="008B1975" w:rsidRDefault="007174EA" w:rsidP="007174EA">
            <w:pPr>
              <w:pStyle w:val="Tabletext"/>
            </w:pPr>
            <w:r w:rsidRPr="008B1975">
              <w:t>Section 24.1</w:t>
            </w:r>
          </w:p>
        </w:tc>
        <w:tc>
          <w:tcPr>
            <w:tcW w:w="3874" w:type="pct"/>
            <w:tcBorders>
              <w:top w:val="single" w:sz="4" w:space="0" w:color="auto"/>
              <w:left w:val="nil"/>
              <w:bottom w:val="single" w:sz="12" w:space="0" w:color="auto"/>
              <w:right w:val="nil"/>
            </w:tcBorders>
          </w:tcPr>
          <w:p w14:paraId="64A6CAC3" w14:textId="62C80773" w:rsidR="00721129" w:rsidRPr="008B1975" w:rsidRDefault="00721129" w:rsidP="00721129">
            <w:pPr>
              <w:pStyle w:val="Tablea"/>
            </w:pPr>
            <w:r w:rsidRPr="008B1975">
              <w:t>(a) on and after the commencement day to new premises and infrastructure; and</w:t>
            </w:r>
          </w:p>
          <w:p w14:paraId="1A958188" w14:textId="48364458" w:rsidR="007174EA" w:rsidRPr="008B1975" w:rsidRDefault="00721129" w:rsidP="00D93658">
            <w:pPr>
              <w:pStyle w:val="Tablea"/>
            </w:pPr>
            <w:r w:rsidRPr="008B1975">
              <w:t xml:space="preserve">(b) on and after the commencement day to </w:t>
            </w:r>
            <w:r w:rsidR="00A32ED1" w:rsidRPr="008B1975">
              <w:t>access gates i</w:t>
            </w:r>
            <w:r w:rsidRPr="008B1975">
              <w:t>nstalled on or after that day.</w:t>
            </w:r>
          </w:p>
        </w:tc>
      </w:tr>
    </w:tbl>
    <w:p w14:paraId="225A481B" w14:textId="77777777" w:rsidR="007174EA" w:rsidRPr="008B1975" w:rsidRDefault="007174EA" w:rsidP="007174EA">
      <w:pPr>
        <w:pStyle w:val="ActHead5"/>
        <w:ind w:left="0" w:firstLine="0"/>
        <w:outlineLvl w:val="9"/>
      </w:pPr>
      <w:r w:rsidRPr="008B1975">
        <w:t>35.23  Application of Part 25 amendments</w:t>
      </w:r>
    </w:p>
    <w:p w14:paraId="7C8CF3CB" w14:textId="77777777" w:rsidR="007174EA" w:rsidRPr="008B1975" w:rsidRDefault="007174EA" w:rsidP="007174EA">
      <w:pPr>
        <w:pStyle w:val="subsection"/>
      </w:pPr>
      <w:r w:rsidRPr="008B1975">
        <w:tab/>
      </w:r>
      <w:r w:rsidRPr="008B1975">
        <w:tab/>
        <w:t>The following table provides for the application of certain provisions of Part 25 of the amended Standards.</w:t>
      </w:r>
    </w:p>
    <w:p w14:paraId="4671B798"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0D94F9C3" w14:textId="77777777" w:rsidTr="007174EA">
        <w:trPr>
          <w:trHeight w:val="300"/>
          <w:tblHeader/>
        </w:trPr>
        <w:tc>
          <w:tcPr>
            <w:tcW w:w="5000" w:type="pct"/>
            <w:gridSpan w:val="3"/>
            <w:tcBorders>
              <w:top w:val="single" w:sz="12" w:space="0" w:color="auto"/>
              <w:left w:val="nil"/>
              <w:bottom w:val="single" w:sz="6" w:space="0" w:color="auto"/>
              <w:right w:val="nil"/>
            </w:tcBorders>
          </w:tcPr>
          <w:p w14:paraId="139D1E02" w14:textId="77777777" w:rsidR="007174EA" w:rsidRPr="008B1975" w:rsidRDefault="007174EA" w:rsidP="007174EA">
            <w:pPr>
              <w:pStyle w:val="TableHeading"/>
            </w:pPr>
            <w:r w:rsidRPr="008B1975">
              <w:t>Application of Part 25 amendments</w:t>
            </w:r>
          </w:p>
        </w:tc>
      </w:tr>
      <w:tr w:rsidR="007174EA" w:rsidRPr="008B1975" w14:paraId="21FEBE76" w14:textId="77777777" w:rsidTr="007174EA">
        <w:trPr>
          <w:trHeight w:val="300"/>
          <w:tblHeader/>
        </w:trPr>
        <w:tc>
          <w:tcPr>
            <w:tcW w:w="369" w:type="pct"/>
            <w:tcBorders>
              <w:top w:val="single" w:sz="6" w:space="0" w:color="auto"/>
              <w:left w:val="nil"/>
              <w:bottom w:val="single" w:sz="12" w:space="0" w:color="auto"/>
              <w:right w:val="nil"/>
            </w:tcBorders>
          </w:tcPr>
          <w:p w14:paraId="273E68CF"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2047A52B"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77981F89" w14:textId="77777777" w:rsidR="007174EA" w:rsidRPr="008B1975" w:rsidRDefault="007174EA" w:rsidP="007174EA">
            <w:pPr>
              <w:pStyle w:val="TableHeading"/>
            </w:pPr>
            <w:r w:rsidRPr="008B1975">
              <w:t>applies…</w:t>
            </w:r>
          </w:p>
        </w:tc>
      </w:tr>
      <w:tr w:rsidR="007174EA" w:rsidRPr="008B1975" w14:paraId="66D7F404" w14:textId="77777777" w:rsidTr="008150FF">
        <w:trPr>
          <w:trHeight w:val="50"/>
        </w:trPr>
        <w:tc>
          <w:tcPr>
            <w:tcW w:w="369" w:type="pct"/>
            <w:tcBorders>
              <w:top w:val="single" w:sz="4" w:space="0" w:color="auto"/>
              <w:left w:val="nil"/>
              <w:bottom w:val="single" w:sz="12" w:space="0" w:color="auto"/>
              <w:right w:val="nil"/>
            </w:tcBorders>
          </w:tcPr>
          <w:p w14:paraId="44DD79BA"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7F93ABA2" w14:textId="77777777" w:rsidR="007174EA" w:rsidRPr="008B1975" w:rsidRDefault="007174EA" w:rsidP="007174EA">
            <w:pPr>
              <w:pStyle w:val="Tabletext"/>
            </w:pPr>
            <w:r w:rsidRPr="008B1975">
              <w:t>Section 25.2</w:t>
            </w:r>
          </w:p>
        </w:tc>
        <w:tc>
          <w:tcPr>
            <w:tcW w:w="3874" w:type="pct"/>
            <w:tcBorders>
              <w:top w:val="single" w:sz="4" w:space="0" w:color="auto"/>
              <w:left w:val="nil"/>
              <w:bottom w:val="single" w:sz="12" w:space="0" w:color="auto"/>
              <w:right w:val="nil"/>
            </w:tcBorders>
          </w:tcPr>
          <w:p w14:paraId="5F2C689A" w14:textId="77777777" w:rsidR="007174EA" w:rsidRPr="008B1975" w:rsidRDefault="007174EA" w:rsidP="007174EA">
            <w:pPr>
              <w:pStyle w:val="Tablea"/>
            </w:pPr>
            <w:r w:rsidRPr="008B1975">
              <w:t>(a) on and after the commencement day to new conveyances and new premises and infrastructure; and</w:t>
            </w:r>
          </w:p>
          <w:p w14:paraId="45B5B470" w14:textId="77777777" w:rsidR="007174EA" w:rsidRPr="008B1975" w:rsidRDefault="007174EA" w:rsidP="007174EA">
            <w:pPr>
              <w:pStyle w:val="Tablea"/>
            </w:pPr>
            <w:r w:rsidRPr="008B1975">
              <w:t>(b) on and after the commencement day to fare system elements installed on or after that day.</w:t>
            </w:r>
          </w:p>
        </w:tc>
      </w:tr>
    </w:tbl>
    <w:p w14:paraId="05B93AAA" w14:textId="77777777" w:rsidR="007174EA" w:rsidRPr="008B1975" w:rsidRDefault="007174EA" w:rsidP="007174EA">
      <w:pPr>
        <w:pStyle w:val="ActHead5"/>
        <w:ind w:left="0" w:firstLine="0"/>
        <w:outlineLvl w:val="9"/>
      </w:pPr>
      <w:r w:rsidRPr="008B1975">
        <w:t>35.24  Application of Part 27 amendments</w:t>
      </w:r>
    </w:p>
    <w:p w14:paraId="2E0C2CE1" w14:textId="77777777" w:rsidR="007174EA" w:rsidRPr="008B1975" w:rsidRDefault="007174EA" w:rsidP="007174EA">
      <w:pPr>
        <w:pStyle w:val="subsection"/>
      </w:pPr>
      <w:r w:rsidRPr="008B1975">
        <w:tab/>
      </w:r>
      <w:bookmarkStart w:id="377" w:name="_Hlk191542054"/>
      <w:r w:rsidRPr="008B1975">
        <w:tab/>
        <w:t>The following table provides for the application of certain provisions of Part 27 of the amended Standards.</w:t>
      </w:r>
      <w:bookmarkEnd w:id="377"/>
    </w:p>
    <w:p w14:paraId="24227228"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143C9619" w14:textId="77777777" w:rsidTr="007174EA">
        <w:trPr>
          <w:trHeight w:val="300"/>
          <w:tblHeader/>
        </w:trPr>
        <w:tc>
          <w:tcPr>
            <w:tcW w:w="5000" w:type="pct"/>
            <w:gridSpan w:val="3"/>
            <w:tcBorders>
              <w:top w:val="single" w:sz="12" w:space="0" w:color="auto"/>
              <w:left w:val="nil"/>
              <w:bottom w:val="single" w:sz="6" w:space="0" w:color="auto"/>
              <w:right w:val="nil"/>
            </w:tcBorders>
          </w:tcPr>
          <w:p w14:paraId="588227C5" w14:textId="77777777" w:rsidR="007174EA" w:rsidRPr="008B1975" w:rsidRDefault="007174EA" w:rsidP="007174EA">
            <w:pPr>
              <w:pStyle w:val="TableHeading"/>
            </w:pPr>
            <w:r w:rsidRPr="008B1975">
              <w:t>Application of Part 27 amendments</w:t>
            </w:r>
          </w:p>
        </w:tc>
      </w:tr>
      <w:tr w:rsidR="007174EA" w:rsidRPr="008B1975" w14:paraId="4C77430A" w14:textId="77777777" w:rsidTr="007174EA">
        <w:trPr>
          <w:trHeight w:val="300"/>
          <w:tblHeader/>
        </w:trPr>
        <w:tc>
          <w:tcPr>
            <w:tcW w:w="369" w:type="pct"/>
            <w:tcBorders>
              <w:top w:val="single" w:sz="6" w:space="0" w:color="auto"/>
              <w:left w:val="nil"/>
              <w:bottom w:val="single" w:sz="12" w:space="0" w:color="auto"/>
              <w:right w:val="nil"/>
            </w:tcBorders>
          </w:tcPr>
          <w:p w14:paraId="7356F547"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6A0C8779"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7DB60F56" w14:textId="77777777" w:rsidR="007174EA" w:rsidRPr="008B1975" w:rsidRDefault="007174EA" w:rsidP="007174EA">
            <w:pPr>
              <w:pStyle w:val="TableHeading"/>
            </w:pPr>
            <w:r w:rsidRPr="008B1975">
              <w:t>applies…</w:t>
            </w:r>
          </w:p>
        </w:tc>
      </w:tr>
      <w:tr w:rsidR="007174EA" w:rsidRPr="008B1975" w14:paraId="54F2B15F" w14:textId="77777777" w:rsidTr="007174EA">
        <w:trPr>
          <w:trHeight w:val="50"/>
        </w:trPr>
        <w:tc>
          <w:tcPr>
            <w:tcW w:w="369" w:type="pct"/>
            <w:tcBorders>
              <w:top w:val="single" w:sz="4" w:space="0" w:color="auto"/>
              <w:left w:val="nil"/>
              <w:bottom w:val="single" w:sz="4" w:space="0" w:color="auto"/>
              <w:right w:val="nil"/>
            </w:tcBorders>
          </w:tcPr>
          <w:p w14:paraId="1653A696"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222A74B4" w14:textId="77777777" w:rsidR="007174EA" w:rsidRPr="008B1975" w:rsidRDefault="007174EA" w:rsidP="007174EA">
            <w:pPr>
              <w:pStyle w:val="Tabletext"/>
            </w:pPr>
            <w:r w:rsidRPr="008B1975">
              <w:t>Subsections 27.1 (2) and (3)</w:t>
            </w:r>
          </w:p>
        </w:tc>
        <w:tc>
          <w:tcPr>
            <w:tcW w:w="3874" w:type="pct"/>
            <w:tcBorders>
              <w:top w:val="single" w:sz="4" w:space="0" w:color="auto"/>
              <w:left w:val="nil"/>
              <w:bottom w:val="single" w:sz="4" w:space="0" w:color="auto"/>
              <w:right w:val="nil"/>
            </w:tcBorders>
          </w:tcPr>
          <w:p w14:paraId="51CBD74F"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140FDB34" w14:textId="77777777" w:rsidR="007174EA" w:rsidRPr="008B1975" w:rsidRDefault="007174EA" w:rsidP="007174EA">
            <w:pPr>
              <w:pStyle w:val="Tablea"/>
            </w:pPr>
            <w:r w:rsidRPr="008B1975">
              <w:t>(a) conveyances (including existing conveyances and existing trains and trams); and</w:t>
            </w:r>
          </w:p>
          <w:p w14:paraId="3F5903C7" w14:textId="35596A86" w:rsidR="007174EA" w:rsidRPr="008B1975" w:rsidRDefault="007174EA" w:rsidP="007174EA">
            <w:pPr>
              <w:pStyle w:val="Tablea"/>
            </w:pPr>
            <w:r w:rsidRPr="008B1975">
              <w:t>(b) premises and infrastructure (including existing premises and infrastructure)</w:t>
            </w:r>
            <w:r w:rsidR="00D93658" w:rsidRPr="008B1975">
              <w:t>.</w:t>
            </w:r>
          </w:p>
        </w:tc>
      </w:tr>
      <w:tr w:rsidR="007174EA" w:rsidRPr="008B1975" w14:paraId="2ACE3BDA" w14:textId="77777777" w:rsidTr="007174EA">
        <w:trPr>
          <w:trHeight w:val="50"/>
        </w:trPr>
        <w:tc>
          <w:tcPr>
            <w:tcW w:w="369" w:type="pct"/>
            <w:tcBorders>
              <w:top w:val="single" w:sz="4" w:space="0" w:color="auto"/>
              <w:left w:val="nil"/>
              <w:bottom w:val="single" w:sz="4" w:space="0" w:color="auto"/>
              <w:right w:val="nil"/>
            </w:tcBorders>
          </w:tcPr>
          <w:p w14:paraId="7D8B7FAC" w14:textId="77777777" w:rsidR="007174EA" w:rsidRPr="008B1975" w:rsidRDefault="007174EA" w:rsidP="007174EA">
            <w:pPr>
              <w:pStyle w:val="Tabletext"/>
            </w:pPr>
            <w:r w:rsidRPr="008B1975">
              <w:lastRenderedPageBreak/>
              <w:t>2</w:t>
            </w:r>
          </w:p>
        </w:tc>
        <w:tc>
          <w:tcPr>
            <w:tcW w:w="757" w:type="pct"/>
            <w:tcBorders>
              <w:top w:val="single" w:sz="4" w:space="0" w:color="auto"/>
              <w:left w:val="nil"/>
              <w:bottom w:val="single" w:sz="4" w:space="0" w:color="auto"/>
              <w:right w:val="nil"/>
            </w:tcBorders>
          </w:tcPr>
          <w:p w14:paraId="6BADD47B" w14:textId="77777777" w:rsidR="007174EA" w:rsidRPr="008B1975" w:rsidRDefault="007174EA" w:rsidP="007174EA">
            <w:pPr>
              <w:pStyle w:val="Tabletext"/>
            </w:pPr>
            <w:r w:rsidRPr="008B1975">
              <w:t>Subsections 27.2(2) and (3)</w:t>
            </w:r>
          </w:p>
        </w:tc>
        <w:tc>
          <w:tcPr>
            <w:tcW w:w="3874" w:type="pct"/>
            <w:tcBorders>
              <w:top w:val="single" w:sz="4" w:space="0" w:color="auto"/>
              <w:left w:val="nil"/>
              <w:bottom w:val="single" w:sz="4" w:space="0" w:color="auto"/>
              <w:right w:val="nil"/>
            </w:tcBorders>
          </w:tcPr>
          <w:p w14:paraId="06BD5B36"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2960E915" w14:textId="77777777" w:rsidR="007174EA" w:rsidRPr="008B1975" w:rsidRDefault="007174EA" w:rsidP="007174EA">
            <w:pPr>
              <w:pStyle w:val="Tablea"/>
            </w:pPr>
            <w:r w:rsidRPr="008B1975">
              <w:t>(a) conveyances (including existing conveyances and existing trains and trams); and</w:t>
            </w:r>
          </w:p>
          <w:p w14:paraId="05DA8287" w14:textId="2BBA2883" w:rsidR="007174EA" w:rsidRPr="008B1975" w:rsidRDefault="007174EA" w:rsidP="007174EA">
            <w:pPr>
              <w:pStyle w:val="Tablea"/>
            </w:pPr>
            <w:r w:rsidRPr="008B1975">
              <w:t>(b) premises and infrastructure (including existing premises and infrastructure)</w:t>
            </w:r>
            <w:r w:rsidR="00D93658" w:rsidRPr="008B1975">
              <w:t>.</w:t>
            </w:r>
          </w:p>
        </w:tc>
      </w:tr>
      <w:tr w:rsidR="007174EA" w:rsidRPr="008B1975" w14:paraId="7E29F37A" w14:textId="77777777" w:rsidTr="007174EA">
        <w:trPr>
          <w:trHeight w:val="50"/>
        </w:trPr>
        <w:tc>
          <w:tcPr>
            <w:tcW w:w="369" w:type="pct"/>
            <w:tcBorders>
              <w:top w:val="single" w:sz="4" w:space="0" w:color="auto"/>
              <w:left w:val="nil"/>
              <w:bottom w:val="single" w:sz="4" w:space="0" w:color="auto"/>
              <w:right w:val="nil"/>
            </w:tcBorders>
          </w:tcPr>
          <w:p w14:paraId="44DAE69F" w14:textId="77777777" w:rsidR="007174EA" w:rsidRPr="008B1975" w:rsidRDefault="007174EA" w:rsidP="007174EA">
            <w:pPr>
              <w:pStyle w:val="Tabletext"/>
            </w:pPr>
            <w:r w:rsidRPr="008B1975">
              <w:t>3</w:t>
            </w:r>
          </w:p>
        </w:tc>
        <w:tc>
          <w:tcPr>
            <w:tcW w:w="757" w:type="pct"/>
            <w:tcBorders>
              <w:top w:val="single" w:sz="4" w:space="0" w:color="auto"/>
              <w:left w:val="nil"/>
              <w:bottom w:val="single" w:sz="4" w:space="0" w:color="auto"/>
              <w:right w:val="nil"/>
            </w:tcBorders>
          </w:tcPr>
          <w:p w14:paraId="1CCE4618" w14:textId="77777777" w:rsidR="007174EA" w:rsidRPr="008B1975" w:rsidRDefault="007174EA" w:rsidP="007174EA">
            <w:pPr>
              <w:pStyle w:val="Tabletext"/>
            </w:pPr>
            <w:r w:rsidRPr="008B1975">
              <w:t>Section 27.3</w:t>
            </w:r>
          </w:p>
        </w:tc>
        <w:tc>
          <w:tcPr>
            <w:tcW w:w="3874" w:type="pct"/>
            <w:tcBorders>
              <w:top w:val="single" w:sz="4" w:space="0" w:color="auto"/>
              <w:left w:val="nil"/>
              <w:bottom w:val="single" w:sz="4" w:space="0" w:color="auto"/>
              <w:right w:val="nil"/>
            </w:tcBorders>
          </w:tcPr>
          <w:p w14:paraId="3063C283" w14:textId="77777777" w:rsidR="007174EA" w:rsidRPr="008B1975" w:rsidRDefault="007174EA" w:rsidP="007174EA">
            <w:pPr>
              <w:pStyle w:val="Tabletext"/>
            </w:pPr>
            <w:r w:rsidRPr="008B1975">
              <w:t>on and after the commencement day to new or updated information provided to the public on or after that day.</w:t>
            </w:r>
          </w:p>
        </w:tc>
      </w:tr>
      <w:tr w:rsidR="007174EA" w:rsidRPr="008B1975" w14:paraId="1BECAFC1" w14:textId="77777777" w:rsidTr="007174EA">
        <w:trPr>
          <w:trHeight w:val="50"/>
        </w:trPr>
        <w:tc>
          <w:tcPr>
            <w:tcW w:w="369" w:type="pct"/>
            <w:tcBorders>
              <w:top w:val="single" w:sz="4" w:space="0" w:color="auto"/>
              <w:left w:val="nil"/>
              <w:bottom w:val="single" w:sz="4" w:space="0" w:color="auto"/>
              <w:right w:val="nil"/>
            </w:tcBorders>
          </w:tcPr>
          <w:p w14:paraId="2A6E91FF" w14:textId="77777777" w:rsidR="007174EA" w:rsidRPr="008B1975" w:rsidRDefault="007174EA" w:rsidP="007174EA">
            <w:pPr>
              <w:pStyle w:val="Tabletext"/>
            </w:pPr>
            <w:r w:rsidRPr="008B1975">
              <w:t>4</w:t>
            </w:r>
          </w:p>
        </w:tc>
        <w:tc>
          <w:tcPr>
            <w:tcW w:w="757" w:type="pct"/>
            <w:tcBorders>
              <w:top w:val="single" w:sz="4" w:space="0" w:color="auto"/>
              <w:left w:val="nil"/>
              <w:bottom w:val="single" w:sz="4" w:space="0" w:color="auto"/>
              <w:right w:val="nil"/>
            </w:tcBorders>
          </w:tcPr>
          <w:p w14:paraId="6EE3B515" w14:textId="77777777" w:rsidR="007174EA" w:rsidRPr="008B1975" w:rsidRDefault="007174EA" w:rsidP="007174EA">
            <w:pPr>
              <w:pStyle w:val="Tabletext"/>
            </w:pPr>
            <w:r w:rsidRPr="008B1975">
              <w:t>Section 27.5</w:t>
            </w:r>
          </w:p>
        </w:tc>
        <w:tc>
          <w:tcPr>
            <w:tcW w:w="3874" w:type="pct"/>
            <w:tcBorders>
              <w:top w:val="single" w:sz="4" w:space="0" w:color="auto"/>
              <w:left w:val="nil"/>
              <w:bottom w:val="single" w:sz="4" w:space="0" w:color="auto"/>
              <w:right w:val="nil"/>
            </w:tcBorders>
          </w:tcPr>
          <w:p w14:paraId="30A6D17A"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0ABF1010" w14:textId="77777777" w:rsidR="007174EA" w:rsidRPr="008B1975" w:rsidRDefault="007174EA" w:rsidP="007174EA">
            <w:pPr>
              <w:pStyle w:val="Tablea"/>
            </w:pPr>
            <w:r w:rsidRPr="008B1975">
              <w:t>(a) conveyances (including existing conveyances and existing trains and trams); and</w:t>
            </w:r>
          </w:p>
          <w:p w14:paraId="5ED7E803" w14:textId="69969E21" w:rsidR="007174EA" w:rsidRPr="008B1975" w:rsidRDefault="007174EA" w:rsidP="007174EA">
            <w:pPr>
              <w:pStyle w:val="Tablea"/>
            </w:pPr>
            <w:r w:rsidRPr="008B1975">
              <w:t>(b) premises and infrastructure (including existing premises and infrastructure)</w:t>
            </w:r>
            <w:r w:rsidR="00D93658" w:rsidRPr="008B1975">
              <w:t>.</w:t>
            </w:r>
          </w:p>
        </w:tc>
      </w:tr>
      <w:tr w:rsidR="007174EA" w:rsidRPr="008B1975" w14:paraId="5B862DD8" w14:textId="77777777" w:rsidTr="007174EA">
        <w:trPr>
          <w:trHeight w:val="50"/>
        </w:trPr>
        <w:tc>
          <w:tcPr>
            <w:tcW w:w="369" w:type="pct"/>
            <w:tcBorders>
              <w:top w:val="single" w:sz="4" w:space="0" w:color="auto"/>
              <w:left w:val="nil"/>
              <w:bottom w:val="single" w:sz="4" w:space="0" w:color="auto"/>
              <w:right w:val="nil"/>
            </w:tcBorders>
          </w:tcPr>
          <w:p w14:paraId="621F51D5" w14:textId="77777777" w:rsidR="007174EA" w:rsidRPr="008B1975" w:rsidRDefault="007174EA" w:rsidP="007174EA">
            <w:pPr>
              <w:pStyle w:val="Tabletext"/>
            </w:pPr>
            <w:r w:rsidRPr="008B1975">
              <w:t>5</w:t>
            </w:r>
          </w:p>
        </w:tc>
        <w:tc>
          <w:tcPr>
            <w:tcW w:w="757" w:type="pct"/>
            <w:tcBorders>
              <w:top w:val="single" w:sz="4" w:space="0" w:color="auto"/>
              <w:left w:val="nil"/>
              <w:bottom w:val="single" w:sz="4" w:space="0" w:color="auto"/>
              <w:right w:val="nil"/>
            </w:tcBorders>
          </w:tcPr>
          <w:p w14:paraId="66934699" w14:textId="77777777" w:rsidR="007174EA" w:rsidRPr="008B1975" w:rsidRDefault="007174EA" w:rsidP="007174EA">
            <w:pPr>
              <w:pStyle w:val="Tabletext"/>
            </w:pPr>
            <w:r w:rsidRPr="008B1975">
              <w:t>Section 27.6</w:t>
            </w:r>
          </w:p>
        </w:tc>
        <w:tc>
          <w:tcPr>
            <w:tcW w:w="3874" w:type="pct"/>
            <w:tcBorders>
              <w:top w:val="single" w:sz="4" w:space="0" w:color="auto"/>
              <w:left w:val="nil"/>
              <w:bottom w:val="single" w:sz="4" w:space="0" w:color="auto"/>
              <w:right w:val="nil"/>
            </w:tcBorders>
          </w:tcPr>
          <w:p w14:paraId="3B083CD7" w14:textId="77777777" w:rsidR="007174EA" w:rsidRPr="008B1975" w:rsidRDefault="007174EA" w:rsidP="007174EA">
            <w:pPr>
              <w:pStyle w:val="Tablea"/>
            </w:pPr>
            <w:r w:rsidRPr="008B1975">
              <w:t>(a) on and after the commencement day to new conveyances; and</w:t>
            </w:r>
          </w:p>
          <w:p w14:paraId="4612D51A" w14:textId="77777777" w:rsidR="007174EA" w:rsidRPr="008B1975" w:rsidRDefault="007174EA" w:rsidP="007174EA">
            <w:pPr>
              <w:pStyle w:val="Tablea"/>
            </w:pPr>
            <w:r w:rsidRPr="008B1975">
              <w:t>(b) on and after the commencement day to information displays and hearing augmentation systems installed on or after that day.</w:t>
            </w:r>
          </w:p>
        </w:tc>
      </w:tr>
      <w:tr w:rsidR="007174EA" w:rsidRPr="008B1975" w14:paraId="052A4F16" w14:textId="77777777" w:rsidTr="007174EA">
        <w:trPr>
          <w:trHeight w:val="50"/>
        </w:trPr>
        <w:tc>
          <w:tcPr>
            <w:tcW w:w="369" w:type="pct"/>
            <w:tcBorders>
              <w:top w:val="single" w:sz="4" w:space="0" w:color="auto"/>
              <w:left w:val="nil"/>
              <w:bottom w:val="single" w:sz="4" w:space="0" w:color="auto"/>
              <w:right w:val="nil"/>
            </w:tcBorders>
          </w:tcPr>
          <w:p w14:paraId="4599AAC9" w14:textId="77777777" w:rsidR="007174EA" w:rsidRPr="008B1975" w:rsidRDefault="007174EA" w:rsidP="007174EA">
            <w:pPr>
              <w:pStyle w:val="Tabletext"/>
            </w:pPr>
            <w:r w:rsidRPr="008B1975">
              <w:t>6</w:t>
            </w:r>
          </w:p>
        </w:tc>
        <w:tc>
          <w:tcPr>
            <w:tcW w:w="757" w:type="pct"/>
            <w:tcBorders>
              <w:top w:val="single" w:sz="4" w:space="0" w:color="auto"/>
              <w:left w:val="nil"/>
              <w:bottom w:val="single" w:sz="4" w:space="0" w:color="auto"/>
              <w:right w:val="nil"/>
            </w:tcBorders>
          </w:tcPr>
          <w:p w14:paraId="3339A967" w14:textId="77777777" w:rsidR="007174EA" w:rsidRPr="008B1975" w:rsidRDefault="007174EA" w:rsidP="007174EA">
            <w:pPr>
              <w:pStyle w:val="Tabletext"/>
            </w:pPr>
            <w:r w:rsidRPr="008B1975">
              <w:t>Section 27.7</w:t>
            </w:r>
          </w:p>
        </w:tc>
        <w:tc>
          <w:tcPr>
            <w:tcW w:w="3874" w:type="pct"/>
            <w:tcBorders>
              <w:top w:val="single" w:sz="4" w:space="0" w:color="auto"/>
              <w:left w:val="nil"/>
              <w:bottom w:val="single" w:sz="4" w:space="0" w:color="auto"/>
              <w:right w:val="nil"/>
            </w:tcBorders>
          </w:tcPr>
          <w:p w14:paraId="462499BA" w14:textId="77777777" w:rsidR="007174EA" w:rsidRPr="008B1975" w:rsidRDefault="007174EA" w:rsidP="007174EA">
            <w:pPr>
              <w:pStyle w:val="Tabletext"/>
            </w:pPr>
            <w:r w:rsidRPr="008B1975">
              <w:t>on and after the commencement day to new, or substantially refurbished or altered, digital services provided on or after that day.</w:t>
            </w:r>
          </w:p>
        </w:tc>
      </w:tr>
      <w:tr w:rsidR="007174EA" w:rsidRPr="008B1975" w14:paraId="48F1C1F7" w14:textId="77777777" w:rsidTr="007174EA">
        <w:trPr>
          <w:trHeight w:val="50"/>
        </w:trPr>
        <w:tc>
          <w:tcPr>
            <w:tcW w:w="369" w:type="pct"/>
            <w:tcBorders>
              <w:top w:val="single" w:sz="4" w:space="0" w:color="auto"/>
              <w:left w:val="nil"/>
              <w:bottom w:val="single" w:sz="4" w:space="0" w:color="auto"/>
              <w:right w:val="nil"/>
            </w:tcBorders>
          </w:tcPr>
          <w:p w14:paraId="4328C2A7" w14:textId="77777777" w:rsidR="007174EA" w:rsidRPr="008B1975" w:rsidRDefault="007174EA" w:rsidP="007174EA">
            <w:pPr>
              <w:pStyle w:val="Tabletext"/>
            </w:pPr>
            <w:r w:rsidRPr="008B1975">
              <w:t>7</w:t>
            </w:r>
          </w:p>
        </w:tc>
        <w:tc>
          <w:tcPr>
            <w:tcW w:w="757" w:type="pct"/>
            <w:tcBorders>
              <w:top w:val="single" w:sz="4" w:space="0" w:color="auto"/>
              <w:left w:val="nil"/>
              <w:bottom w:val="single" w:sz="4" w:space="0" w:color="auto"/>
              <w:right w:val="nil"/>
            </w:tcBorders>
          </w:tcPr>
          <w:p w14:paraId="0DC05B56" w14:textId="77777777" w:rsidR="007174EA" w:rsidRPr="008B1975" w:rsidRDefault="007174EA" w:rsidP="007174EA">
            <w:pPr>
              <w:pStyle w:val="Tabletext"/>
            </w:pPr>
            <w:r w:rsidRPr="008B1975">
              <w:t>Section 27.8</w:t>
            </w:r>
          </w:p>
        </w:tc>
        <w:tc>
          <w:tcPr>
            <w:tcW w:w="3874" w:type="pct"/>
            <w:tcBorders>
              <w:top w:val="single" w:sz="4" w:space="0" w:color="auto"/>
              <w:left w:val="nil"/>
              <w:bottom w:val="single" w:sz="4" w:space="0" w:color="auto"/>
              <w:right w:val="nil"/>
            </w:tcBorders>
          </w:tcPr>
          <w:p w14:paraId="277C9D7A"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72B223BD" w14:textId="77777777" w:rsidR="007174EA" w:rsidRPr="008B1975" w:rsidRDefault="007174EA" w:rsidP="007174EA">
            <w:pPr>
              <w:pStyle w:val="Tablea"/>
            </w:pPr>
            <w:r w:rsidRPr="008B1975">
              <w:t>(a) conveyances (including existing conveyances and existing trains and trams); and</w:t>
            </w:r>
          </w:p>
          <w:p w14:paraId="3712025F" w14:textId="77777777" w:rsidR="007174EA" w:rsidRPr="008B1975" w:rsidRDefault="007174EA" w:rsidP="007174EA">
            <w:pPr>
              <w:pStyle w:val="Tablea"/>
            </w:pPr>
            <w:r w:rsidRPr="008B1975">
              <w:t>(b) premises and infrastructure (including existing premises and infrastructure).</w:t>
            </w:r>
          </w:p>
        </w:tc>
      </w:tr>
      <w:tr w:rsidR="007174EA" w:rsidRPr="008B1975" w14:paraId="6F37B394" w14:textId="77777777" w:rsidTr="007174EA">
        <w:trPr>
          <w:trHeight w:val="50"/>
        </w:trPr>
        <w:tc>
          <w:tcPr>
            <w:tcW w:w="369" w:type="pct"/>
            <w:tcBorders>
              <w:top w:val="single" w:sz="4" w:space="0" w:color="auto"/>
              <w:left w:val="nil"/>
              <w:bottom w:val="single" w:sz="4" w:space="0" w:color="auto"/>
              <w:right w:val="nil"/>
            </w:tcBorders>
          </w:tcPr>
          <w:p w14:paraId="7DAAF732" w14:textId="77777777" w:rsidR="007174EA" w:rsidRPr="008B1975" w:rsidRDefault="007174EA" w:rsidP="007174EA">
            <w:pPr>
              <w:pStyle w:val="Tabletext"/>
            </w:pPr>
            <w:r w:rsidRPr="008B1975">
              <w:t>8</w:t>
            </w:r>
          </w:p>
        </w:tc>
        <w:tc>
          <w:tcPr>
            <w:tcW w:w="757" w:type="pct"/>
            <w:tcBorders>
              <w:top w:val="single" w:sz="4" w:space="0" w:color="auto"/>
              <w:left w:val="nil"/>
              <w:bottom w:val="single" w:sz="4" w:space="0" w:color="auto"/>
              <w:right w:val="nil"/>
            </w:tcBorders>
          </w:tcPr>
          <w:p w14:paraId="22DA2A88" w14:textId="77777777" w:rsidR="007174EA" w:rsidRPr="008B1975" w:rsidRDefault="007174EA" w:rsidP="007174EA">
            <w:pPr>
              <w:pStyle w:val="Tabletext"/>
            </w:pPr>
            <w:r w:rsidRPr="008B1975">
              <w:t>Section 27.9</w:t>
            </w:r>
          </w:p>
        </w:tc>
        <w:tc>
          <w:tcPr>
            <w:tcW w:w="3874" w:type="pct"/>
            <w:tcBorders>
              <w:top w:val="single" w:sz="4" w:space="0" w:color="auto"/>
              <w:left w:val="nil"/>
              <w:bottom w:val="single" w:sz="4" w:space="0" w:color="auto"/>
              <w:right w:val="nil"/>
            </w:tcBorders>
          </w:tcPr>
          <w:p w14:paraId="269E7681"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2834F733" w14:textId="77777777" w:rsidR="007174EA" w:rsidRPr="008B1975" w:rsidRDefault="007174EA" w:rsidP="007174EA">
            <w:pPr>
              <w:pStyle w:val="Tablea"/>
            </w:pPr>
            <w:r w:rsidRPr="008B1975">
              <w:t>(a) conveyances (including existing conveyances and existing trains and trams); and</w:t>
            </w:r>
          </w:p>
          <w:p w14:paraId="12FC2C2F" w14:textId="77777777" w:rsidR="007174EA" w:rsidRPr="008B1975" w:rsidRDefault="007174EA" w:rsidP="007174EA">
            <w:pPr>
              <w:pStyle w:val="Tablea"/>
            </w:pPr>
            <w:r w:rsidRPr="008B1975">
              <w:t>(b) premises and infrastructure (including existing premises and infrastructure).</w:t>
            </w:r>
          </w:p>
        </w:tc>
      </w:tr>
      <w:tr w:rsidR="007174EA" w:rsidRPr="008B1975" w14:paraId="2EDA8363" w14:textId="77777777" w:rsidTr="008150FF">
        <w:trPr>
          <w:trHeight w:val="50"/>
        </w:trPr>
        <w:tc>
          <w:tcPr>
            <w:tcW w:w="369" w:type="pct"/>
            <w:tcBorders>
              <w:top w:val="single" w:sz="4" w:space="0" w:color="auto"/>
              <w:left w:val="nil"/>
              <w:bottom w:val="single" w:sz="12" w:space="0" w:color="auto"/>
              <w:right w:val="nil"/>
            </w:tcBorders>
          </w:tcPr>
          <w:p w14:paraId="46F130EC" w14:textId="77777777" w:rsidR="007174EA" w:rsidRPr="008B1975" w:rsidRDefault="007174EA" w:rsidP="007174EA">
            <w:pPr>
              <w:pStyle w:val="Tabletext"/>
            </w:pPr>
            <w:r w:rsidRPr="008B1975">
              <w:t>9</w:t>
            </w:r>
          </w:p>
        </w:tc>
        <w:tc>
          <w:tcPr>
            <w:tcW w:w="757" w:type="pct"/>
            <w:tcBorders>
              <w:top w:val="single" w:sz="4" w:space="0" w:color="auto"/>
              <w:left w:val="nil"/>
              <w:bottom w:val="single" w:sz="12" w:space="0" w:color="auto"/>
              <w:right w:val="nil"/>
            </w:tcBorders>
          </w:tcPr>
          <w:p w14:paraId="2DEEA6D3" w14:textId="77777777" w:rsidR="007174EA" w:rsidRPr="008B1975" w:rsidRDefault="007174EA" w:rsidP="007174EA">
            <w:pPr>
              <w:pStyle w:val="Tabletext"/>
            </w:pPr>
            <w:r w:rsidRPr="008B1975">
              <w:t>Section 27.10</w:t>
            </w:r>
          </w:p>
        </w:tc>
        <w:tc>
          <w:tcPr>
            <w:tcW w:w="3874" w:type="pct"/>
            <w:tcBorders>
              <w:top w:val="single" w:sz="4" w:space="0" w:color="auto"/>
              <w:left w:val="nil"/>
              <w:bottom w:val="single" w:sz="12" w:space="0" w:color="auto"/>
              <w:right w:val="nil"/>
            </w:tcBorders>
          </w:tcPr>
          <w:p w14:paraId="3782C55E" w14:textId="77777777" w:rsidR="007174EA" w:rsidRPr="008B1975" w:rsidRDefault="007174EA" w:rsidP="007174EA">
            <w:pPr>
              <w:pStyle w:val="Tabletext"/>
            </w:pPr>
            <w:r w:rsidRPr="008B1975">
              <w:t>on and after the commencement day to information and communication technology procurements made on or after that day.</w:t>
            </w:r>
          </w:p>
        </w:tc>
      </w:tr>
    </w:tbl>
    <w:p w14:paraId="0FEF3772" w14:textId="77777777" w:rsidR="007174EA" w:rsidRPr="008B1975" w:rsidRDefault="007174EA" w:rsidP="007174EA">
      <w:pPr>
        <w:pStyle w:val="ActHead5"/>
        <w:ind w:left="0" w:firstLine="0"/>
        <w:outlineLvl w:val="9"/>
      </w:pPr>
      <w:r w:rsidRPr="008B1975">
        <w:t>35.25  Application of Part 28 amendments</w:t>
      </w:r>
    </w:p>
    <w:p w14:paraId="672ED904" w14:textId="77777777" w:rsidR="007174EA" w:rsidRPr="008B1975" w:rsidRDefault="007174EA" w:rsidP="007174EA">
      <w:pPr>
        <w:pStyle w:val="subsection"/>
      </w:pPr>
      <w:r w:rsidRPr="008B1975">
        <w:tab/>
      </w:r>
      <w:r w:rsidRPr="008B1975">
        <w:tab/>
        <w:t>The following table provides for the application of certain provisions of Part 28 of the amended Standards.</w:t>
      </w:r>
    </w:p>
    <w:p w14:paraId="0B486F09"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2A1D883C" w14:textId="77777777" w:rsidTr="007174EA">
        <w:trPr>
          <w:trHeight w:val="300"/>
          <w:tblHeader/>
        </w:trPr>
        <w:tc>
          <w:tcPr>
            <w:tcW w:w="5000" w:type="pct"/>
            <w:gridSpan w:val="3"/>
            <w:tcBorders>
              <w:top w:val="single" w:sz="12" w:space="0" w:color="auto"/>
              <w:left w:val="nil"/>
              <w:bottom w:val="single" w:sz="6" w:space="0" w:color="auto"/>
              <w:right w:val="nil"/>
            </w:tcBorders>
          </w:tcPr>
          <w:p w14:paraId="74D8540E" w14:textId="77777777" w:rsidR="007174EA" w:rsidRPr="008B1975" w:rsidRDefault="007174EA" w:rsidP="007174EA">
            <w:pPr>
              <w:pStyle w:val="TableHeading"/>
            </w:pPr>
            <w:r w:rsidRPr="008B1975">
              <w:t>Application of Part 28 amendments</w:t>
            </w:r>
          </w:p>
        </w:tc>
      </w:tr>
      <w:tr w:rsidR="007174EA" w:rsidRPr="008B1975" w14:paraId="6B16B7D4" w14:textId="77777777" w:rsidTr="007174EA">
        <w:trPr>
          <w:trHeight w:val="300"/>
          <w:tblHeader/>
        </w:trPr>
        <w:tc>
          <w:tcPr>
            <w:tcW w:w="369" w:type="pct"/>
            <w:tcBorders>
              <w:top w:val="single" w:sz="6" w:space="0" w:color="auto"/>
              <w:left w:val="nil"/>
              <w:bottom w:val="single" w:sz="12" w:space="0" w:color="auto"/>
              <w:right w:val="nil"/>
            </w:tcBorders>
          </w:tcPr>
          <w:p w14:paraId="4A00360B"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05263272"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2569E8DA" w14:textId="77777777" w:rsidR="007174EA" w:rsidRPr="008B1975" w:rsidRDefault="007174EA" w:rsidP="007174EA">
            <w:pPr>
              <w:pStyle w:val="TableHeading"/>
            </w:pPr>
            <w:r w:rsidRPr="008B1975">
              <w:t>applies…</w:t>
            </w:r>
          </w:p>
        </w:tc>
      </w:tr>
      <w:tr w:rsidR="007174EA" w:rsidRPr="008B1975" w14:paraId="5288A6A9" w14:textId="77777777" w:rsidTr="008150FF">
        <w:trPr>
          <w:trHeight w:val="50"/>
        </w:trPr>
        <w:tc>
          <w:tcPr>
            <w:tcW w:w="369" w:type="pct"/>
            <w:tcBorders>
              <w:top w:val="single" w:sz="4" w:space="0" w:color="auto"/>
              <w:left w:val="nil"/>
              <w:bottom w:val="single" w:sz="12" w:space="0" w:color="auto"/>
              <w:right w:val="nil"/>
            </w:tcBorders>
          </w:tcPr>
          <w:p w14:paraId="6197288A"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7EFB1EF4" w14:textId="77777777" w:rsidR="007174EA" w:rsidRPr="008B1975" w:rsidRDefault="007174EA" w:rsidP="007174EA">
            <w:pPr>
              <w:pStyle w:val="Tabletext"/>
            </w:pPr>
            <w:r w:rsidRPr="008B1975">
              <w:t>Subsections 28.4(3) to (4)</w:t>
            </w:r>
          </w:p>
        </w:tc>
        <w:tc>
          <w:tcPr>
            <w:tcW w:w="3874" w:type="pct"/>
            <w:tcBorders>
              <w:top w:val="single" w:sz="4" w:space="0" w:color="auto"/>
              <w:left w:val="nil"/>
              <w:bottom w:val="single" w:sz="12" w:space="0" w:color="auto"/>
              <w:right w:val="nil"/>
            </w:tcBorders>
          </w:tcPr>
          <w:p w14:paraId="02DF7B45" w14:textId="77777777" w:rsidR="007174EA" w:rsidRPr="008B1975" w:rsidRDefault="007174EA" w:rsidP="007174EA">
            <w:pPr>
              <w:pStyle w:val="Tabletext"/>
            </w:pPr>
            <w:r w:rsidRPr="008B1975">
              <w:t>after the end of the 5</w:t>
            </w:r>
            <w:r w:rsidRPr="008B1975">
              <w:noBreakHyphen/>
              <w:t>year transitional period to conveyances (including existing conveyances and existing trains and trams).</w:t>
            </w:r>
          </w:p>
        </w:tc>
      </w:tr>
    </w:tbl>
    <w:p w14:paraId="5F6E7BC2" w14:textId="77777777" w:rsidR="007174EA" w:rsidRPr="008B1975" w:rsidRDefault="007174EA" w:rsidP="007174EA">
      <w:pPr>
        <w:pStyle w:val="ActHead5"/>
        <w:ind w:left="0" w:firstLine="0"/>
        <w:outlineLvl w:val="9"/>
      </w:pPr>
      <w:r w:rsidRPr="008B1975">
        <w:lastRenderedPageBreak/>
        <w:t>35.26  Application of Part 31 amendments</w:t>
      </w:r>
    </w:p>
    <w:p w14:paraId="2C8EB491" w14:textId="77777777" w:rsidR="007174EA" w:rsidRPr="008B1975" w:rsidRDefault="007174EA" w:rsidP="007174EA">
      <w:pPr>
        <w:pStyle w:val="subsection"/>
      </w:pPr>
      <w:r w:rsidRPr="008B1975">
        <w:tab/>
      </w:r>
      <w:r w:rsidRPr="008B1975">
        <w:tab/>
        <w:t>The following table provides for the application of certain provisions of Part 31 of the amended Standards.</w:t>
      </w:r>
    </w:p>
    <w:p w14:paraId="79B1F883"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458620AA" w14:textId="77777777" w:rsidTr="007174EA">
        <w:trPr>
          <w:trHeight w:val="300"/>
          <w:tblHeader/>
        </w:trPr>
        <w:tc>
          <w:tcPr>
            <w:tcW w:w="5000" w:type="pct"/>
            <w:gridSpan w:val="3"/>
            <w:tcBorders>
              <w:top w:val="single" w:sz="12" w:space="0" w:color="auto"/>
              <w:left w:val="nil"/>
              <w:bottom w:val="single" w:sz="6" w:space="0" w:color="auto"/>
              <w:right w:val="nil"/>
            </w:tcBorders>
          </w:tcPr>
          <w:p w14:paraId="3B97B1A0" w14:textId="77777777" w:rsidR="007174EA" w:rsidRPr="008B1975" w:rsidRDefault="007174EA" w:rsidP="007174EA">
            <w:pPr>
              <w:pStyle w:val="TableHeading"/>
            </w:pPr>
            <w:r w:rsidRPr="008B1975">
              <w:t>Application of Part 31 amendments</w:t>
            </w:r>
          </w:p>
        </w:tc>
      </w:tr>
      <w:tr w:rsidR="007174EA" w:rsidRPr="008B1975" w14:paraId="01F53BE1" w14:textId="77777777" w:rsidTr="007174EA">
        <w:trPr>
          <w:trHeight w:val="300"/>
          <w:tblHeader/>
        </w:trPr>
        <w:tc>
          <w:tcPr>
            <w:tcW w:w="369" w:type="pct"/>
            <w:tcBorders>
              <w:top w:val="single" w:sz="6" w:space="0" w:color="auto"/>
              <w:left w:val="nil"/>
              <w:bottom w:val="single" w:sz="12" w:space="0" w:color="auto"/>
              <w:right w:val="nil"/>
            </w:tcBorders>
          </w:tcPr>
          <w:p w14:paraId="459FF5EB"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24AA223F" w14:textId="77777777" w:rsidR="007174EA" w:rsidRPr="008B1975" w:rsidRDefault="007174EA" w:rsidP="007174EA">
            <w:pPr>
              <w:pStyle w:val="TableHeading"/>
            </w:pPr>
            <w:r w:rsidRPr="008B1975">
              <w:t>This provision…</w:t>
            </w:r>
          </w:p>
        </w:tc>
        <w:tc>
          <w:tcPr>
            <w:tcW w:w="3874" w:type="pct"/>
            <w:tcBorders>
              <w:top w:val="single" w:sz="6" w:space="0" w:color="auto"/>
              <w:left w:val="nil"/>
              <w:bottom w:val="single" w:sz="12" w:space="0" w:color="auto"/>
              <w:right w:val="nil"/>
            </w:tcBorders>
            <w:hideMark/>
          </w:tcPr>
          <w:p w14:paraId="2DF0979D" w14:textId="77777777" w:rsidR="007174EA" w:rsidRPr="008B1975" w:rsidRDefault="007174EA" w:rsidP="007174EA">
            <w:pPr>
              <w:pStyle w:val="TableHeading"/>
            </w:pPr>
            <w:r w:rsidRPr="008B1975">
              <w:t>applies…</w:t>
            </w:r>
          </w:p>
        </w:tc>
      </w:tr>
      <w:tr w:rsidR="007174EA" w:rsidRPr="008B1975" w14:paraId="76B6CD43" w14:textId="77777777" w:rsidTr="007174EA">
        <w:trPr>
          <w:trHeight w:val="50"/>
        </w:trPr>
        <w:tc>
          <w:tcPr>
            <w:tcW w:w="369" w:type="pct"/>
            <w:tcBorders>
              <w:top w:val="single" w:sz="4" w:space="0" w:color="auto"/>
              <w:left w:val="nil"/>
              <w:bottom w:val="single" w:sz="4" w:space="0" w:color="auto"/>
              <w:right w:val="nil"/>
            </w:tcBorders>
          </w:tcPr>
          <w:p w14:paraId="3806D20C" w14:textId="77777777" w:rsidR="007174EA" w:rsidRPr="008B1975" w:rsidRDefault="007174EA" w:rsidP="007174EA">
            <w:pPr>
              <w:pStyle w:val="Tabletext"/>
            </w:pPr>
            <w:r w:rsidRPr="008B1975">
              <w:t>1</w:t>
            </w:r>
          </w:p>
        </w:tc>
        <w:tc>
          <w:tcPr>
            <w:tcW w:w="757" w:type="pct"/>
            <w:tcBorders>
              <w:top w:val="single" w:sz="4" w:space="0" w:color="auto"/>
              <w:left w:val="nil"/>
              <w:bottom w:val="single" w:sz="4" w:space="0" w:color="auto"/>
              <w:right w:val="nil"/>
            </w:tcBorders>
          </w:tcPr>
          <w:p w14:paraId="78B4EFBF" w14:textId="77777777" w:rsidR="007174EA" w:rsidRPr="008B1975" w:rsidRDefault="007174EA" w:rsidP="007174EA">
            <w:pPr>
              <w:pStyle w:val="Tabletext"/>
            </w:pPr>
            <w:r w:rsidRPr="008B1975">
              <w:t>Section 31.1</w:t>
            </w:r>
          </w:p>
        </w:tc>
        <w:tc>
          <w:tcPr>
            <w:tcW w:w="3874" w:type="pct"/>
            <w:tcBorders>
              <w:top w:val="single" w:sz="4" w:space="0" w:color="auto"/>
              <w:left w:val="nil"/>
              <w:bottom w:val="single" w:sz="4" w:space="0" w:color="auto"/>
              <w:right w:val="nil"/>
            </w:tcBorders>
          </w:tcPr>
          <w:p w14:paraId="505E7DFA" w14:textId="0BE62FB5" w:rsidR="007174EA" w:rsidRPr="008B1975" w:rsidRDefault="007174EA" w:rsidP="007174EA">
            <w:pPr>
              <w:pStyle w:val="Tablea"/>
            </w:pPr>
            <w:r w:rsidRPr="008B1975">
              <w:t xml:space="preserve">(a) on and after the commencement day to </w:t>
            </w:r>
            <w:r w:rsidR="00721129" w:rsidRPr="008B1975">
              <w:t>new conveyances</w:t>
            </w:r>
            <w:r w:rsidRPr="008B1975">
              <w:t>; and</w:t>
            </w:r>
          </w:p>
          <w:p w14:paraId="5413C8F2" w14:textId="77777777" w:rsidR="007174EA" w:rsidRPr="008B1975" w:rsidRDefault="007174EA" w:rsidP="007174EA">
            <w:pPr>
              <w:pStyle w:val="Tablea"/>
            </w:pPr>
            <w:r w:rsidRPr="008B1975">
              <w:t>(b) after the end of the 5</w:t>
            </w:r>
            <w:r w:rsidRPr="008B1975">
              <w:noBreakHyphen/>
              <w:t>year transitional period to seating in existing conveyances that:</w:t>
            </w:r>
          </w:p>
          <w:p w14:paraId="1610BFB0" w14:textId="77777777" w:rsidR="007174EA" w:rsidRPr="008B1975" w:rsidRDefault="007174EA" w:rsidP="007174EA">
            <w:pPr>
              <w:pStyle w:val="Tablei"/>
            </w:pPr>
            <w:r w:rsidRPr="008B1975">
              <w:t>(i) existed before the commencement day; and</w:t>
            </w:r>
          </w:p>
          <w:p w14:paraId="1B967943" w14:textId="77777777" w:rsidR="007174EA" w:rsidRPr="008B1975" w:rsidRDefault="007174EA" w:rsidP="007174EA">
            <w:pPr>
              <w:pStyle w:val="Tablei"/>
            </w:pPr>
            <w:r w:rsidRPr="008B1975">
              <w:t>(ii) that remain in service after the end of that period.</w:t>
            </w:r>
          </w:p>
        </w:tc>
      </w:tr>
      <w:tr w:rsidR="007174EA" w:rsidRPr="008B1975" w14:paraId="293D6C76" w14:textId="77777777" w:rsidTr="007174EA">
        <w:trPr>
          <w:trHeight w:val="50"/>
        </w:trPr>
        <w:tc>
          <w:tcPr>
            <w:tcW w:w="369" w:type="pct"/>
            <w:tcBorders>
              <w:top w:val="single" w:sz="4" w:space="0" w:color="auto"/>
              <w:left w:val="nil"/>
              <w:bottom w:val="single" w:sz="4" w:space="0" w:color="auto"/>
              <w:right w:val="nil"/>
            </w:tcBorders>
          </w:tcPr>
          <w:p w14:paraId="5DED7FF2" w14:textId="77777777" w:rsidR="007174EA" w:rsidRPr="008B1975" w:rsidRDefault="007174EA" w:rsidP="007174EA">
            <w:pPr>
              <w:pStyle w:val="Tabletext"/>
            </w:pPr>
            <w:r w:rsidRPr="008B1975">
              <w:t>2</w:t>
            </w:r>
          </w:p>
        </w:tc>
        <w:tc>
          <w:tcPr>
            <w:tcW w:w="757" w:type="pct"/>
            <w:tcBorders>
              <w:top w:val="single" w:sz="4" w:space="0" w:color="auto"/>
              <w:left w:val="nil"/>
              <w:bottom w:val="single" w:sz="4" w:space="0" w:color="auto"/>
              <w:right w:val="nil"/>
            </w:tcBorders>
          </w:tcPr>
          <w:p w14:paraId="7B524372" w14:textId="77777777" w:rsidR="007174EA" w:rsidRPr="008B1975" w:rsidRDefault="007174EA" w:rsidP="007174EA">
            <w:pPr>
              <w:pStyle w:val="Tabletext"/>
            </w:pPr>
            <w:r w:rsidRPr="008B1975">
              <w:t>Section 31.2</w:t>
            </w:r>
          </w:p>
        </w:tc>
        <w:tc>
          <w:tcPr>
            <w:tcW w:w="3874" w:type="pct"/>
            <w:tcBorders>
              <w:top w:val="single" w:sz="4" w:space="0" w:color="auto"/>
              <w:left w:val="nil"/>
              <w:bottom w:val="single" w:sz="4" w:space="0" w:color="auto"/>
              <w:right w:val="nil"/>
            </w:tcBorders>
          </w:tcPr>
          <w:p w14:paraId="1DF27922" w14:textId="7685F530" w:rsidR="007174EA" w:rsidRPr="008B1975" w:rsidRDefault="007174EA" w:rsidP="007174EA">
            <w:pPr>
              <w:pStyle w:val="Tablea"/>
            </w:pPr>
            <w:r w:rsidRPr="008B1975">
              <w:t>(a) on and after the commencement day to new conveyances; and</w:t>
            </w:r>
          </w:p>
          <w:p w14:paraId="7A1DC59F" w14:textId="77777777" w:rsidR="007174EA" w:rsidRPr="008B1975" w:rsidRDefault="007174EA" w:rsidP="007174EA">
            <w:pPr>
              <w:pStyle w:val="Tablea"/>
            </w:pPr>
            <w:r w:rsidRPr="008B1975">
              <w:t>(b) after the end of the 5</w:t>
            </w:r>
            <w:r w:rsidRPr="008B1975">
              <w:noBreakHyphen/>
              <w:t>year transitional period to seating in existing conveyances that:</w:t>
            </w:r>
          </w:p>
          <w:p w14:paraId="63334E69" w14:textId="77777777" w:rsidR="007174EA" w:rsidRPr="008B1975" w:rsidRDefault="007174EA" w:rsidP="007174EA">
            <w:pPr>
              <w:pStyle w:val="Tablei"/>
            </w:pPr>
            <w:r w:rsidRPr="008B1975">
              <w:t>(i) existed before the commencement day; and</w:t>
            </w:r>
          </w:p>
          <w:p w14:paraId="4253F07B" w14:textId="77777777" w:rsidR="007174EA" w:rsidRPr="008B1975" w:rsidRDefault="007174EA" w:rsidP="007174EA">
            <w:pPr>
              <w:pStyle w:val="Tablei"/>
            </w:pPr>
            <w:r w:rsidRPr="008B1975">
              <w:t>(ii) that remain in service after the end of that period.</w:t>
            </w:r>
          </w:p>
        </w:tc>
      </w:tr>
      <w:tr w:rsidR="007174EA" w:rsidRPr="008B1975" w14:paraId="3850A9C7" w14:textId="77777777" w:rsidTr="007174EA">
        <w:trPr>
          <w:trHeight w:val="50"/>
        </w:trPr>
        <w:tc>
          <w:tcPr>
            <w:tcW w:w="369" w:type="pct"/>
            <w:tcBorders>
              <w:top w:val="single" w:sz="4" w:space="0" w:color="auto"/>
              <w:left w:val="nil"/>
              <w:bottom w:val="single" w:sz="4" w:space="0" w:color="auto"/>
              <w:right w:val="nil"/>
            </w:tcBorders>
          </w:tcPr>
          <w:p w14:paraId="3476B32D" w14:textId="77777777" w:rsidR="007174EA" w:rsidRPr="008B1975" w:rsidRDefault="007174EA" w:rsidP="007174EA">
            <w:pPr>
              <w:pStyle w:val="Tabletext"/>
            </w:pPr>
            <w:r w:rsidRPr="008B1975">
              <w:t>3</w:t>
            </w:r>
          </w:p>
        </w:tc>
        <w:tc>
          <w:tcPr>
            <w:tcW w:w="757" w:type="pct"/>
            <w:tcBorders>
              <w:top w:val="single" w:sz="4" w:space="0" w:color="auto"/>
              <w:left w:val="nil"/>
              <w:bottom w:val="single" w:sz="4" w:space="0" w:color="auto"/>
              <w:right w:val="nil"/>
            </w:tcBorders>
          </w:tcPr>
          <w:p w14:paraId="48C483B0" w14:textId="77777777" w:rsidR="007174EA" w:rsidRPr="008B1975" w:rsidRDefault="007174EA" w:rsidP="007174EA">
            <w:pPr>
              <w:pStyle w:val="Tabletext"/>
            </w:pPr>
            <w:r w:rsidRPr="008B1975">
              <w:t>Section 31.3</w:t>
            </w:r>
          </w:p>
        </w:tc>
        <w:tc>
          <w:tcPr>
            <w:tcW w:w="3874" w:type="pct"/>
            <w:tcBorders>
              <w:top w:val="single" w:sz="4" w:space="0" w:color="auto"/>
              <w:left w:val="nil"/>
              <w:bottom w:val="single" w:sz="4" w:space="0" w:color="auto"/>
              <w:right w:val="nil"/>
            </w:tcBorders>
          </w:tcPr>
          <w:p w14:paraId="35FCD593" w14:textId="7AC5EFD6" w:rsidR="007174EA" w:rsidRPr="008B1975" w:rsidRDefault="007174EA" w:rsidP="007174EA">
            <w:pPr>
              <w:pStyle w:val="Tablea"/>
            </w:pPr>
            <w:r w:rsidRPr="008B1975">
              <w:t>(a) on and after the commencement day to new conveyances; and</w:t>
            </w:r>
          </w:p>
          <w:p w14:paraId="3F9A2BB0" w14:textId="77777777" w:rsidR="007174EA" w:rsidRPr="008B1975" w:rsidRDefault="007174EA" w:rsidP="007174EA">
            <w:pPr>
              <w:pStyle w:val="Tablea"/>
            </w:pPr>
            <w:r w:rsidRPr="008B1975">
              <w:t>(b) after the end of the 5</w:t>
            </w:r>
            <w:r w:rsidRPr="008B1975">
              <w:noBreakHyphen/>
              <w:t>year transitional period to seating in existing conveyances that:</w:t>
            </w:r>
          </w:p>
          <w:p w14:paraId="188ADD20" w14:textId="77777777" w:rsidR="007174EA" w:rsidRPr="008B1975" w:rsidRDefault="007174EA" w:rsidP="007174EA">
            <w:pPr>
              <w:pStyle w:val="Tablei"/>
            </w:pPr>
            <w:r w:rsidRPr="008B1975">
              <w:t>(i) existed before the commencement day; and</w:t>
            </w:r>
          </w:p>
          <w:p w14:paraId="2251D477" w14:textId="77777777" w:rsidR="007174EA" w:rsidRPr="008B1975" w:rsidRDefault="007174EA" w:rsidP="007174EA">
            <w:pPr>
              <w:pStyle w:val="Tablei"/>
            </w:pPr>
            <w:r w:rsidRPr="008B1975">
              <w:t>(ii) that remain in service after the end of that period.</w:t>
            </w:r>
          </w:p>
        </w:tc>
      </w:tr>
      <w:tr w:rsidR="007174EA" w:rsidRPr="008B1975" w14:paraId="6F3F693B" w14:textId="77777777" w:rsidTr="008150FF">
        <w:trPr>
          <w:trHeight w:val="50"/>
        </w:trPr>
        <w:tc>
          <w:tcPr>
            <w:tcW w:w="369" w:type="pct"/>
            <w:tcBorders>
              <w:top w:val="single" w:sz="4" w:space="0" w:color="auto"/>
              <w:left w:val="nil"/>
              <w:bottom w:val="single" w:sz="12" w:space="0" w:color="auto"/>
              <w:right w:val="nil"/>
            </w:tcBorders>
          </w:tcPr>
          <w:p w14:paraId="098E1B40" w14:textId="77777777" w:rsidR="007174EA" w:rsidRPr="008B1975" w:rsidRDefault="007174EA" w:rsidP="007174EA">
            <w:pPr>
              <w:pStyle w:val="Tabletext"/>
            </w:pPr>
            <w:r w:rsidRPr="008B1975">
              <w:t>4</w:t>
            </w:r>
          </w:p>
        </w:tc>
        <w:tc>
          <w:tcPr>
            <w:tcW w:w="757" w:type="pct"/>
            <w:tcBorders>
              <w:top w:val="single" w:sz="4" w:space="0" w:color="auto"/>
              <w:left w:val="nil"/>
              <w:bottom w:val="single" w:sz="12" w:space="0" w:color="auto"/>
              <w:right w:val="nil"/>
            </w:tcBorders>
          </w:tcPr>
          <w:p w14:paraId="2BB82591" w14:textId="77777777" w:rsidR="007174EA" w:rsidRPr="008B1975" w:rsidRDefault="007174EA" w:rsidP="007174EA">
            <w:pPr>
              <w:pStyle w:val="Tabletext"/>
            </w:pPr>
            <w:r w:rsidRPr="008B1975">
              <w:t>Section 31.4</w:t>
            </w:r>
          </w:p>
        </w:tc>
        <w:tc>
          <w:tcPr>
            <w:tcW w:w="3874" w:type="pct"/>
            <w:tcBorders>
              <w:top w:val="single" w:sz="4" w:space="0" w:color="auto"/>
              <w:left w:val="nil"/>
              <w:bottom w:val="single" w:sz="12" w:space="0" w:color="auto"/>
              <w:right w:val="nil"/>
            </w:tcBorders>
          </w:tcPr>
          <w:p w14:paraId="5285F1CF" w14:textId="2E9D8B3F" w:rsidR="007174EA" w:rsidRPr="008B1975" w:rsidRDefault="007174EA" w:rsidP="007174EA">
            <w:pPr>
              <w:pStyle w:val="Tablea"/>
            </w:pPr>
            <w:r w:rsidRPr="008B1975">
              <w:t>(a) on and after the commencement day to new conveyances; and</w:t>
            </w:r>
          </w:p>
          <w:p w14:paraId="779A6CA2" w14:textId="77777777" w:rsidR="007174EA" w:rsidRPr="008B1975" w:rsidRDefault="007174EA" w:rsidP="007174EA">
            <w:pPr>
              <w:pStyle w:val="Tablea"/>
            </w:pPr>
            <w:r w:rsidRPr="008B1975">
              <w:t>(b) after the end of the 5</w:t>
            </w:r>
            <w:r w:rsidRPr="008B1975">
              <w:noBreakHyphen/>
              <w:t>year transitional period to seating in existing conveyances that:</w:t>
            </w:r>
          </w:p>
          <w:p w14:paraId="7A468C44" w14:textId="77777777" w:rsidR="007174EA" w:rsidRPr="008B1975" w:rsidRDefault="007174EA" w:rsidP="007174EA">
            <w:pPr>
              <w:pStyle w:val="Tablei"/>
            </w:pPr>
            <w:r w:rsidRPr="008B1975">
              <w:t xml:space="preserve">(i) existed before the commencement day; and </w:t>
            </w:r>
          </w:p>
          <w:p w14:paraId="7F8011FF" w14:textId="77777777" w:rsidR="007174EA" w:rsidRPr="008B1975" w:rsidRDefault="007174EA" w:rsidP="007174EA">
            <w:pPr>
              <w:pStyle w:val="Tablei"/>
            </w:pPr>
            <w:r w:rsidRPr="008B1975">
              <w:t>(ii) that remain in service after the end of that period.</w:t>
            </w:r>
          </w:p>
        </w:tc>
      </w:tr>
    </w:tbl>
    <w:p w14:paraId="2F8953C2" w14:textId="77777777" w:rsidR="007174EA" w:rsidRPr="008B1975" w:rsidRDefault="007174EA" w:rsidP="007174EA">
      <w:pPr>
        <w:pStyle w:val="ActHead5"/>
        <w:ind w:left="0" w:firstLine="0"/>
        <w:outlineLvl w:val="9"/>
      </w:pPr>
      <w:r w:rsidRPr="008B1975">
        <w:t>35.27  Application of Part 31A amendments</w:t>
      </w:r>
    </w:p>
    <w:p w14:paraId="425EFF3C" w14:textId="750E5E76" w:rsidR="007174EA" w:rsidRPr="008B1975" w:rsidRDefault="007174EA" w:rsidP="007174EA">
      <w:pPr>
        <w:pStyle w:val="subsection"/>
      </w:pPr>
      <w:r w:rsidRPr="008B1975">
        <w:tab/>
      </w:r>
      <w:r w:rsidRPr="008B1975">
        <w:tab/>
        <w:t xml:space="preserve">The following table provides for the application of </w:t>
      </w:r>
      <w:r w:rsidR="001061F7" w:rsidRPr="008B1975">
        <w:t xml:space="preserve">certain </w:t>
      </w:r>
      <w:r w:rsidRPr="008B1975">
        <w:t>provisions of Part 31A of the amended Standards.</w:t>
      </w:r>
    </w:p>
    <w:p w14:paraId="51727EC2" w14:textId="77777777" w:rsidR="007174EA" w:rsidRPr="008B1975" w:rsidRDefault="007174EA" w:rsidP="007174E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7174EA" w:rsidRPr="008B1975" w14:paraId="2CFEEDD8" w14:textId="77777777" w:rsidTr="007174EA">
        <w:trPr>
          <w:trHeight w:val="300"/>
          <w:tblHeader/>
        </w:trPr>
        <w:tc>
          <w:tcPr>
            <w:tcW w:w="5000" w:type="pct"/>
            <w:gridSpan w:val="3"/>
            <w:tcBorders>
              <w:top w:val="single" w:sz="12" w:space="0" w:color="auto"/>
              <w:left w:val="nil"/>
              <w:bottom w:val="single" w:sz="6" w:space="0" w:color="auto"/>
              <w:right w:val="nil"/>
            </w:tcBorders>
          </w:tcPr>
          <w:p w14:paraId="3075A9C6" w14:textId="77777777" w:rsidR="007174EA" w:rsidRPr="008B1975" w:rsidRDefault="007174EA" w:rsidP="007174EA">
            <w:pPr>
              <w:pStyle w:val="TableHeading"/>
            </w:pPr>
            <w:r w:rsidRPr="008B1975">
              <w:t>Application of Part 31A amendments</w:t>
            </w:r>
          </w:p>
        </w:tc>
      </w:tr>
      <w:tr w:rsidR="007174EA" w:rsidRPr="008B1975" w14:paraId="2FC9BAA9" w14:textId="77777777" w:rsidTr="007174EA">
        <w:trPr>
          <w:trHeight w:val="300"/>
          <w:tblHeader/>
        </w:trPr>
        <w:tc>
          <w:tcPr>
            <w:tcW w:w="369" w:type="pct"/>
            <w:tcBorders>
              <w:top w:val="single" w:sz="6" w:space="0" w:color="auto"/>
              <w:left w:val="nil"/>
              <w:bottom w:val="single" w:sz="12" w:space="0" w:color="auto"/>
              <w:right w:val="nil"/>
            </w:tcBorders>
          </w:tcPr>
          <w:p w14:paraId="4AF733EF" w14:textId="77777777" w:rsidR="007174EA" w:rsidRPr="008B1975" w:rsidRDefault="007174EA" w:rsidP="007174EA">
            <w:pPr>
              <w:pStyle w:val="TableHeading"/>
            </w:pPr>
            <w:r w:rsidRPr="008B1975">
              <w:t>Item</w:t>
            </w:r>
          </w:p>
        </w:tc>
        <w:tc>
          <w:tcPr>
            <w:tcW w:w="757" w:type="pct"/>
            <w:tcBorders>
              <w:top w:val="single" w:sz="6" w:space="0" w:color="auto"/>
              <w:left w:val="nil"/>
              <w:bottom w:val="single" w:sz="12" w:space="0" w:color="auto"/>
              <w:right w:val="nil"/>
            </w:tcBorders>
            <w:hideMark/>
          </w:tcPr>
          <w:p w14:paraId="08904812" w14:textId="77777777" w:rsidR="007174EA" w:rsidRPr="008B1975" w:rsidRDefault="007174EA" w:rsidP="007174EA">
            <w:pPr>
              <w:pStyle w:val="TableHeading"/>
            </w:pPr>
            <w:r w:rsidRPr="008B1975">
              <w:t>This provision…</w:t>
            </w:r>
          </w:p>
        </w:tc>
        <w:tc>
          <w:tcPr>
            <w:tcW w:w="3873" w:type="pct"/>
            <w:tcBorders>
              <w:top w:val="single" w:sz="6" w:space="0" w:color="auto"/>
              <w:left w:val="nil"/>
              <w:bottom w:val="single" w:sz="12" w:space="0" w:color="auto"/>
              <w:right w:val="nil"/>
            </w:tcBorders>
            <w:hideMark/>
          </w:tcPr>
          <w:p w14:paraId="222991C3" w14:textId="77777777" w:rsidR="007174EA" w:rsidRPr="008B1975" w:rsidRDefault="007174EA" w:rsidP="007174EA">
            <w:pPr>
              <w:pStyle w:val="TableHeading"/>
            </w:pPr>
            <w:r w:rsidRPr="008B1975">
              <w:t>applies…</w:t>
            </w:r>
          </w:p>
        </w:tc>
      </w:tr>
      <w:tr w:rsidR="007174EA" w14:paraId="493BD5E4" w14:textId="77777777" w:rsidTr="008150FF">
        <w:trPr>
          <w:trHeight w:val="392"/>
        </w:trPr>
        <w:tc>
          <w:tcPr>
            <w:tcW w:w="369" w:type="pct"/>
            <w:tcBorders>
              <w:top w:val="single" w:sz="4" w:space="0" w:color="auto"/>
              <w:left w:val="nil"/>
              <w:bottom w:val="single" w:sz="12" w:space="0" w:color="auto"/>
              <w:right w:val="nil"/>
            </w:tcBorders>
          </w:tcPr>
          <w:p w14:paraId="690AB08C" w14:textId="77777777" w:rsidR="007174EA" w:rsidRPr="008B1975" w:rsidRDefault="007174EA" w:rsidP="007174EA">
            <w:pPr>
              <w:pStyle w:val="Tabletext"/>
            </w:pPr>
            <w:r w:rsidRPr="008B1975">
              <w:t>1</w:t>
            </w:r>
          </w:p>
        </w:tc>
        <w:tc>
          <w:tcPr>
            <w:tcW w:w="757" w:type="pct"/>
            <w:tcBorders>
              <w:top w:val="single" w:sz="4" w:space="0" w:color="auto"/>
              <w:left w:val="nil"/>
              <w:bottom w:val="single" w:sz="12" w:space="0" w:color="auto"/>
              <w:right w:val="nil"/>
            </w:tcBorders>
          </w:tcPr>
          <w:p w14:paraId="5A23CBD1" w14:textId="77777777" w:rsidR="007174EA" w:rsidRPr="008B1975" w:rsidRDefault="007174EA" w:rsidP="007174EA">
            <w:pPr>
              <w:pStyle w:val="Tabletext"/>
            </w:pPr>
            <w:r w:rsidRPr="008B1975">
              <w:t>Section 31A.1</w:t>
            </w:r>
          </w:p>
        </w:tc>
        <w:tc>
          <w:tcPr>
            <w:tcW w:w="3873" w:type="pct"/>
            <w:tcBorders>
              <w:top w:val="single" w:sz="4" w:space="0" w:color="auto"/>
              <w:left w:val="nil"/>
              <w:bottom w:val="single" w:sz="12" w:space="0" w:color="auto"/>
              <w:right w:val="nil"/>
            </w:tcBorders>
          </w:tcPr>
          <w:p w14:paraId="2A4EEC6A" w14:textId="77777777" w:rsidR="007174EA" w:rsidRPr="008B1975" w:rsidRDefault="007174EA" w:rsidP="007174EA">
            <w:pPr>
              <w:pStyle w:val="Tabletext"/>
            </w:pPr>
            <w:r w:rsidRPr="008B1975">
              <w:t>after the end of the 5</w:t>
            </w:r>
            <w:r w:rsidRPr="008B1975">
              <w:noBreakHyphen/>
              <w:t>year transitional period to operators and providers of:</w:t>
            </w:r>
          </w:p>
          <w:p w14:paraId="30D07008" w14:textId="77777777" w:rsidR="007174EA" w:rsidRPr="008B1975" w:rsidRDefault="007174EA" w:rsidP="007174EA">
            <w:pPr>
              <w:pStyle w:val="Tablea"/>
            </w:pPr>
            <w:r w:rsidRPr="008B1975">
              <w:t>(a) conveyances (including existing conveyances and existing trains and trams); and</w:t>
            </w:r>
          </w:p>
          <w:p w14:paraId="4766AE5C" w14:textId="77777777" w:rsidR="007174EA" w:rsidRDefault="007174EA" w:rsidP="007174EA">
            <w:pPr>
              <w:pStyle w:val="Tablea"/>
            </w:pPr>
            <w:r w:rsidRPr="008B1975">
              <w:t>(b) premises and infrastructure (including existing premises and infrastructure).</w:t>
            </w:r>
          </w:p>
        </w:tc>
      </w:tr>
    </w:tbl>
    <w:p w14:paraId="178956D6" w14:textId="77777777" w:rsidR="00E232F5" w:rsidRPr="001D4DCD" w:rsidRDefault="00E232F5" w:rsidP="00F9683F">
      <w:pPr>
        <w:pStyle w:val="Tabletext"/>
      </w:pPr>
    </w:p>
    <w:sectPr w:rsidR="00E232F5" w:rsidRPr="001D4DCD" w:rsidSect="00B20990">
      <w:headerReference w:type="even" r:id="rId21"/>
      <w:headerReference w:type="default" r:id="rId22"/>
      <w:footerReference w:type="even" r:id="rId23"/>
      <w:footerReference w:type="defaul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50E5A" w14:textId="77777777" w:rsidR="006D7F22" w:rsidRDefault="006D7F22" w:rsidP="0048364F">
      <w:pPr>
        <w:spacing w:line="240" w:lineRule="auto"/>
      </w:pPr>
      <w:r>
        <w:separator/>
      </w:r>
    </w:p>
  </w:endnote>
  <w:endnote w:type="continuationSeparator" w:id="0">
    <w:p w14:paraId="06997763" w14:textId="77777777" w:rsidR="006D7F22" w:rsidRDefault="006D7F22" w:rsidP="0048364F">
      <w:pPr>
        <w:spacing w:line="240" w:lineRule="auto"/>
      </w:pPr>
      <w:r>
        <w:continuationSeparator/>
      </w:r>
    </w:p>
  </w:endnote>
  <w:endnote w:type="continuationNotice" w:id="1">
    <w:p w14:paraId="4C80AF3C" w14:textId="77777777" w:rsidR="006D7F22" w:rsidRDefault="006D7F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D732CB0-431E-40AF-B381-BC651443934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D7F22" w14:paraId="26BCF950" w14:textId="77777777" w:rsidTr="00BE28A3">
      <w:tc>
        <w:tcPr>
          <w:tcW w:w="5000" w:type="pct"/>
        </w:tcPr>
        <w:p w14:paraId="08A7C1A8" w14:textId="77777777" w:rsidR="006D7F22" w:rsidRDefault="006D7F22" w:rsidP="00BE28A3">
          <w:pPr>
            <w:rPr>
              <w:sz w:val="18"/>
            </w:rPr>
          </w:pPr>
        </w:p>
      </w:tc>
    </w:tr>
  </w:tbl>
  <w:p w14:paraId="3AB53D24" w14:textId="77777777" w:rsidR="006D7F22" w:rsidRPr="005F1388" w:rsidRDefault="006D7F22"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D7F22" w14:paraId="78AF772A" w14:textId="77777777" w:rsidTr="00BE28A3">
      <w:tc>
        <w:tcPr>
          <w:tcW w:w="5000" w:type="pct"/>
        </w:tcPr>
        <w:p w14:paraId="0F6033CA" w14:textId="77777777" w:rsidR="006D7F22" w:rsidRDefault="006D7F22" w:rsidP="00BE28A3">
          <w:pPr>
            <w:rPr>
              <w:sz w:val="18"/>
            </w:rPr>
          </w:pPr>
        </w:p>
      </w:tc>
    </w:tr>
  </w:tbl>
  <w:p w14:paraId="7E7B7B98" w14:textId="77777777" w:rsidR="006D7F22" w:rsidRPr="006D3667" w:rsidRDefault="006D7F22" w:rsidP="00BE2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3D42" w14:textId="77777777" w:rsidR="006D7F22" w:rsidRDefault="006D7F22" w:rsidP="00BE28A3">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D7F22" w14:paraId="53767EBB" w14:textId="77777777" w:rsidTr="00BE28A3">
      <w:tc>
        <w:tcPr>
          <w:tcW w:w="5000" w:type="pct"/>
        </w:tcPr>
        <w:p w14:paraId="28D6CCAB" w14:textId="77777777" w:rsidR="006D7F22" w:rsidRDefault="006D7F22" w:rsidP="00BE28A3">
          <w:pPr>
            <w:rPr>
              <w:sz w:val="18"/>
            </w:rPr>
          </w:pPr>
        </w:p>
      </w:tc>
    </w:tr>
  </w:tbl>
  <w:p w14:paraId="03E8B822" w14:textId="77777777" w:rsidR="006D7F22" w:rsidRPr="00486382" w:rsidRDefault="006D7F22"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FE80" w14:textId="77777777" w:rsidR="006D7F22" w:rsidRPr="00E33C1C" w:rsidRDefault="006D7F22" w:rsidP="00BE28A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8313"/>
    </w:tblGrid>
    <w:tr w:rsidR="00FC2E53" w14:paraId="4EBF40EC" w14:textId="77777777" w:rsidTr="00FC2E53">
      <w:tc>
        <w:tcPr>
          <w:tcW w:w="5000" w:type="pct"/>
          <w:tcBorders>
            <w:top w:val="nil"/>
            <w:left w:val="nil"/>
            <w:bottom w:val="nil"/>
            <w:right w:val="nil"/>
          </w:tcBorders>
        </w:tcPr>
        <w:p w14:paraId="36257C4A" w14:textId="77777777" w:rsidR="00FC2E53" w:rsidRDefault="00FC2E53" w:rsidP="00BE28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p w14:paraId="17CDD709" w14:textId="26E8EC9B" w:rsidR="00FC2E53" w:rsidRDefault="00FC2E53" w:rsidP="00BE28A3">
          <w:pPr>
            <w:spacing w:line="0" w:lineRule="atLeast"/>
            <w:jc w:val="right"/>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7080C">
            <w:rPr>
              <w:i/>
              <w:noProof/>
              <w:sz w:val="18"/>
            </w:rPr>
            <w:t>Disability Standards for Accessible Public Transport Amendment 2025</w:t>
          </w:r>
          <w:r w:rsidRPr="00B20990">
            <w:rPr>
              <w:i/>
              <w:sz w:val="18"/>
            </w:rPr>
            <w:fldChar w:fldCharType="end"/>
          </w:r>
        </w:p>
      </w:tc>
    </w:tr>
    <w:tr w:rsidR="006D7F22" w14:paraId="692EC019" w14:textId="77777777" w:rsidTr="00BE2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1A2A709C" w14:textId="77777777" w:rsidR="006D7F22" w:rsidRDefault="006D7F22" w:rsidP="00BE28A3">
          <w:pPr>
            <w:jc w:val="right"/>
            <w:rPr>
              <w:sz w:val="18"/>
            </w:rPr>
          </w:pPr>
        </w:p>
      </w:tc>
    </w:tr>
  </w:tbl>
  <w:p w14:paraId="418C7E76" w14:textId="77777777" w:rsidR="006D7F22" w:rsidRPr="00ED79B6" w:rsidRDefault="006D7F22" w:rsidP="00BE28A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D565" w14:textId="77777777" w:rsidR="006D7F22" w:rsidRPr="00E33C1C" w:rsidRDefault="006D7F22" w:rsidP="00BE28A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8313"/>
    </w:tblGrid>
    <w:tr w:rsidR="00FC2E53" w14:paraId="3CFF84AD" w14:textId="77777777" w:rsidTr="00FC2E53">
      <w:tc>
        <w:tcPr>
          <w:tcW w:w="5000" w:type="pct"/>
          <w:tcBorders>
            <w:top w:val="nil"/>
            <w:left w:val="nil"/>
            <w:bottom w:val="nil"/>
            <w:right w:val="nil"/>
          </w:tcBorders>
        </w:tcPr>
        <w:p w14:paraId="562C2386" w14:textId="06CA2FAD" w:rsidR="00FC2E53" w:rsidRPr="00B20990" w:rsidRDefault="00FC2E53" w:rsidP="00BE28A3">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7080C">
            <w:rPr>
              <w:i/>
              <w:noProof/>
              <w:sz w:val="18"/>
            </w:rPr>
            <w:t>Disability Standards for Accessible Public Transport Amendment 2025</w:t>
          </w:r>
          <w:r w:rsidRPr="00B20990">
            <w:rPr>
              <w:i/>
              <w:sz w:val="18"/>
            </w:rPr>
            <w:fldChar w:fldCharType="end"/>
          </w:r>
        </w:p>
        <w:p w14:paraId="2A20879E" w14:textId="0A861DA6" w:rsidR="00FC2E53" w:rsidRDefault="00FC2E53" w:rsidP="00BE28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D7F22" w14:paraId="3E2F898F" w14:textId="77777777" w:rsidTr="00BE2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3191B73E" w14:textId="77777777" w:rsidR="006D7F22" w:rsidRDefault="006D7F22" w:rsidP="00BE28A3">
          <w:pPr>
            <w:rPr>
              <w:sz w:val="18"/>
            </w:rPr>
          </w:pPr>
        </w:p>
      </w:tc>
    </w:tr>
  </w:tbl>
  <w:p w14:paraId="40BD0A17" w14:textId="77777777" w:rsidR="006D7F22" w:rsidRPr="00ED79B6" w:rsidRDefault="006D7F22" w:rsidP="00BE28A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13AB" w14:textId="77777777" w:rsidR="006D7F22" w:rsidRPr="00E33C1C" w:rsidRDefault="006D7F22"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8472"/>
    </w:tblGrid>
    <w:tr w:rsidR="00FC2E53" w14:paraId="29D29FDB" w14:textId="77777777" w:rsidTr="00FC2E53">
      <w:tc>
        <w:tcPr>
          <w:tcW w:w="8472" w:type="dxa"/>
          <w:tcBorders>
            <w:top w:val="nil"/>
            <w:left w:val="nil"/>
            <w:bottom w:val="nil"/>
            <w:right w:val="nil"/>
          </w:tcBorders>
        </w:tcPr>
        <w:p w14:paraId="5FE1EE0A" w14:textId="77777777" w:rsidR="00FC2E53" w:rsidRDefault="00FC2E53"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p w14:paraId="107D1671" w14:textId="42979CF3" w:rsidR="00FC2E53" w:rsidRDefault="00FC2E53" w:rsidP="00EE57E8">
          <w:pPr>
            <w:spacing w:line="0" w:lineRule="atLeast"/>
            <w:jc w:val="right"/>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7080C">
            <w:rPr>
              <w:i/>
              <w:noProof/>
              <w:sz w:val="18"/>
            </w:rPr>
            <w:t>Disability Standards for Accessible Public Transport Amendment 2025</w:t>
          </w:r>
          <w:r w:rsidRPr="00B20990">
            <w:rPr>
              <w:i/>
              <w:sz w:val="18"/>
            </w:rPr>
            <w:fldChar w:fldCharType="end"/>
          </w:r>
        </w:p>
      </w:tc>
    </w:tr>
    <w:tr w:rsidR="006D7F22" w14:paraId="33F788DB" w14:textId="77777777" w:rsidTr="00FC2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Pr>
        <w:p w14:paraId="104B4DE2" w14:textId="77777777" w:rsidR="006D7F22" w:rsidRDefault="006D7F22" w:rsidP="00EE57E8">
          <w:pPr>
            <w:jc w:val="right"/>
            <w:rPr>
              <w:sz w:val="18"/>
            </w:rPr>
          </w:pPr>
        </w:p>
      </w:tc>
    </w:tr>
  </w:tbl>
  <w:p w14:paraId="3A4A046A" w14:textId="77777777" w:rsidR="006D7F22" w:rsidRPr="00ED79B6" w:rsidRDefault="006D7F22"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5BD4" w14:textId="77777777" w:rsidR="006D7F22" w:rsidRPr="00E33C1C" w:rsidRDefault="006D7F22"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6D7F22" w14:paraId="4099AE51" w14:textId="77777777" w:rsidTr="00FC2E53">
      <w:tc>
        <w:tcPr>
          <w:tcW w:w="1384" w:type="dxa"/>
          <w:tcBorders>
            <w:top w:val="nil"/>
            <w:left w:val="nil"/>
            <w:bottom w:val="nil"/>
            <w:right w:val="nil"/>
          </w:tcBorders>
        </w:tcPr>
        <w:p w14:paraId="0A3AA40B" w14:textId="77777777" w:rsidR="006D7F22" w:rsidRDefault="006D7F22" w:rsidP="00EE57E8">
          <w:pPr>
            <w:spacing w:line="0" w:lineRule="atLeast"/>
            <w:rPr>
              <w:sz w:val="18"/>
            </w:rPr>
          </w:pPr>
        </w:p>
      </w:tc>
      <w:tc>
        <w:tcPr>
          <w:tcW w:w="6379" w:type="dxa"/>
          <w:tcBorders>
            <w:top w:val="nil"/>
            <w:left w:val="nil"/>
            <w:bottom w:val="nil"/>
            <w:right w:val="nil"/>
          </w:tcBorders>
        </w:tcPr>
        <w:p w14:paraId="06B3ED2D" w14:textId="693B89F0" w:rsidR="006D7F22" w:rsidRDefault="006D7F22"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7080C">
            <w:rPr>
              <w:i/>
              <w:noProof/>
              <w:sz w:val="18"/>
            </w:rPr>
            <w:t>Disability Standards for Accessible Public Transport Amendment 2025</w:t>
          </w:r>
          <w:r w:rsidRPr="00B20990">
            <w:rPr>
              <w:i/>
              <w:sz w:val="18"/>
            </w:rPr>
            <w:fldChar w:fldCharType="end"/>
          </w:r>
        </w:p>
      </w:tc>
      <w:tc>
        <w:tcPr>
          <w:tcW w:w="709" w:type="dxa"/>
          <w:tcBorders>
            <w:top w:val="nil"/>
            <w:left w:val="nil"/>
            <w:bottom w:val="nil"/>
            <w:right w:val="nil"/>
          </w:tcBorders>
        </w:tcPr>
        <w:p w14:paraId="3F9E8D26" w14:textId="77777777" w:rsidR="006D7F22" w:rsidRDefault="006D7F22"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FC2E53" w14:paraId="26E18002" w14:textId="77777777" w:rsidTr="00320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C12627" w14:textId="58219A97" w:rsidR="00FC2E53" w:rsidRDefault="00FC2E53" w:rsidP="00EE57E8">
          <w:pPr>
            <w:rPr>
              <w:sz w:val="18"/>
            </w:rPr>
          </w:pPr>
        </w:p>
      </w:tc>
    </w:tr>
  </w:tbl>
  <w:p w14:paraId="33F89E66" w14:textId="77777777" w:rsidR="006D7F22" w:rsidRPr="00ED79B6" w:rsidRDefault="006D7F22"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4BA3" w14:textId="3602BB1B" w:rsidR="006D7F22" w:rsidRPr="00E33C1C" w:rsidRDefault="006D7F22" w:rsidP="00A136F5">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6D7F22" w14:paraId="73F04BA4" w14:textId="77777777" w:rsidTr="00D93658">
      <w:tc>
        <w:tcPr>
          <w:tcW w:w="1384" w:type="dxa"/>
          <w:tcBorders>
            <w:top w:val="nil"/>
            <w:left w:val="nil"/>
            <w:bottom w:val="nil"/>
            <w:right w:val="nil"/>
          </w:tcBorders>
        </w:tcPr>
        <w:p w14:paraId="4A2E9E55" w14:textId="77777777" w:rsidR="006D7F22" w:rsidRDefault="006D7F22" w:rsidP="00EE57E8">
          <w:pPr>
            <w:spacing w:line="0" w:lineRule="atLeast"/>
            <w:rPr>
              <w:sz w:val="18"/>
            </w:rPr>
          </w:pPr>
        </w:p>
      </w:tc>
      <w:tc>
        <w:tcPr>
          <w:tcW w:w="6379" w:type="dxa"/>
          <w:tcBorders>
            <w:top w:val="nil"/>
            <w:left w:val="nil"/>
            <w:bottom w:val="nil"/>
            <w:right w:val="nil"/>
          </w:tcBorders>
        </w:tcPr>
        <w:p w14:paraId="797CEEDA" w14:textId="77777777" w:rsidR="006D7F22" w:rsidRDefault="006D7F22"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8E42871" w14:textId="77777777" w:rsidR="006D7F22" w:rsidRDefault="006D7F22"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4E1F01DC" w14:textId="77777777" w:rsidR="006D7F22" w:rsidRPr="00ED79B6" w:rsidRDefault="006D7F22"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69CC6" w14:textId="77777777" w:rsidR="006D7F22" w:rsidRDefault="006D7F22" w:rsidP="0048364F">
      <w:pPr>
        <w:spacing w:line="240" w:lineRule="auto"/>
      </w:pPr>
      <w:r>
        <w:separator/>
      </w:r>
    </w:p>
  </w:footnote>
  <w:footnote w:type="continuationSeparator" w:id="0">
    <w:p w14:paraId="6E99AEFC" w14:textId="77777777" w:rsidR="006D7F22" w:rsidRDefault="006D7F22" w:rsidP="0048364F">
      <w:pPr>
        <w:spacing w:line="240" w:lineRule="auto"/>
      </w:pPr>
      <w:r>
        <w:continuationSeparator/>
      </w:r>
    </w:p>
  </w:footnote>
  <w:footnote w:type="continuationNotice" w:id="1">
    <w:p w14:paraId="241F0753" w14:textId="77777777" w:rsidR="006D7F22" w:rsidRDefault="006D7F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FC67" w14:textId="77777777" w:rsidR="006D7F22" w:rsidRPr="005F1388" w:rsidRDefault="006D7F2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4125" w14:textId="77777777" w:rsidR="006D7F22" w:rsidRDefault="0047080C" w:rsidP="003D1A8C">
    <w:pPr>
      <w:pStyle w:val="Classificationlegalheader"/>
    </w:pPr>
    <w:sdt>
      <w:sdtPr>
        <w:alias w:val="LegalClassification"/>
        <w:tag w:val="ctLegalClassification"/>
        <w:id w:val="-2090541410"/>
        <w:placeholder>
          <w:docPart w:val="DefaultPlaceholder_-1854013440"/>
        </w:placeholder>
        <w:text/>
      </w:sdtPr>
      <w:sdtEndPr/>
      <w:sdtContent>
        <w:r w:rsidR="006D7F22">
          <w:t>EXPOSURE DRAFT</w:t>
        </w:r>
      </w:sdtContent>
    </w:sdt>
  </w:p>
  <w:p w14:paraId="36311AC8" w14:textId="77777777" w:rsidR="006D7F22" w:rsidRPr="005F1388" w:rsidRDefault="006D7F2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egalClassification"/>
      <w:tag w:val="ctLegalClassification"/>
      <w:id w:val="-780639976"/>
      <w:placeholder>
        <w:docPart w:val="DefaultPlaceholder_-1854013440"/>
      </w:placeholder>
      <w:text/>
    </w:sdtPr>
    <w:sdtEndPr/>
    <w:sdtContent>
      <w:p w14:paraId="01440332" w14:textId="77777777" w:rsidR="006D7F22" w:rsidRDefault="006D7F22" w:rsidP="003D1A8C">
        <w:pPr>
          <w:pStyle w:val="Classificationlegalheader"/>
        </w:pPr>
        <w:r>
          <w:t>EXPOSURE DRAFT</w:t>
        </w:r>
      </w:p>
    </w:sdtContent>
  </w:sdt>
  <w:p w14:paraId="293B5228" w14:textId="77777777" w:rsidR="006D7F22" w:rsidRPr="005F1388" w:rsidRDefault="006D7F2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egalClassification"/>
      <w:tag w:val="ctLegalClassification"/>
      <w:id w:val="884372167"/>
      <w:placeholder>
        <w:docPart w:val="DefaultPlaceholder_-1854013440"/>
      </w:placeholder>
      <w:text/>
    </w:sdtPr>
    <w:sdtEndPr/>
    <w:sdtContent>
      <w:p w14:paraId="3FFF3A8C" w14:textId="77777777" w:rsidR="006D7F22" w:rsidRPr="00ED79B6" w:rsidRDefault="006D7F22" w:rsidP="003D1A8C">
        <w:pPr>
          <w:pStyle w:val="Classificationlegalheader"/>
        </w:pPr>
        <w:r>
          <w:t>EXPOSURE DRAFT</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egalClassification"/>
      <w:tag w:val="ctLegalClassification"/>
      <w:id w:val="426011663"/>
      <w:placeholder>
        <w:docPart w:val="DefaultPlaceholder_-1854013440"/>
      </w:placeholder>
      <w:text/>
    </w:sdtPr>
    <w:sdtEndPr/>
    <w:sdtContent>
      <w:p w14:paraId="6FA46CBF" w14:textId="77777777" w:rsidR="006D7F22" w:rsidRPr="00ED79B6" w:rsidRDefault="006D7F22" w:rsidP="003D1A8C">
        <w:pPr>
          <w:pStyle w:val="Classificationlegalheader"/>
        </w:pPr>
        <w:r>
          <w:t>EXPOSURE DRAFT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egalClassification"/>
      <w:tag w:val="ctLegalClassification"/>
      <w:id w:val="1670360408"/>
      <w:placeholder>
        <w:docPart w:val="DefaultPlaceholder_-1854013440"/>
      </w:placeholder>
      <w:text/>
    </w:sdtPr>
    <w:sdtEndPr/>
    <w:sdtContent>
      <w:p w14:paraId="3783D56A" w14:textId="77777777" w:rsidR="006D7F22" w:rsidRPr="00ED79B6" w:rsidRDefault="006D7F22" w:rsidP="003D1A8C">
        <w:pPr>
          <w:pStyle w:val="Classificationlegalheader"/>
        </w:pPr>
        <w:r>
          <w:t>EXPOSURE DRAFT</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alias w:val="LegalClassification"/>
      <w:tag w:val="ctLegalClassification"/>
      <w:id w:val="53366041"/>
      <w:placeholder>
        <w:docPart w:val="DefaultPlaceholder_-1854013440"/>
      </w:placeholder>
      <w:text/>
    </w:sdtPr>
    <w:sdtEndPr/>
    <w:sdtContent>
      <w:p w14:paraId="0A72BC55" w14:textId="77777777" w:rsidR="006D7F22" w:rsidRDefault="006D7F22" w:rsidP="003D1A8C">
        <w:pPr>
          <w:pStyle w:val="Classificationlegalheader"/>
          <w:rPr>
            <w:b/>
          </w:rPr>
        </w:pPr>
        <w:r>
          <w:rPr>
            <w:b/>
          </w:rPr>
          <w:t>EXPOSURE DRAFT</w:t>
        </w:r>
      </w:p>
    </w:sdtContent>
  </w:sdt>
  <w:p w14:paraId="6EAFBB61" w14:textId="77777777" w:rsidR="006D7F22" w:rsidRPr="00A961C4" w:rsidRDefault="006D7F2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egalClassification"/>
      <w:tag w:val="ctLegalClassification"/>
      <w:id w:val="-1576192727"/>
      <w:placeholder>
        <w:docPart w:val="DefaultPlaceholder_-1854013440"/>
      </w:placeholder>
      <w:text/>
    </w:sdtPr>
    <w:sdtEndPr/>
    <w:sdtContent>
      <w:p w14:paraId="31303ED2" w14:textId="77777777" w:rsidR="006D7F22" w:rsidRDefault="006D7F22" w:rsidP="003D1A8C">
        <w:pPr>
          <w:pStyle w:val="Classificationlegalheader"/>
        </w:pPr>
        <w:r>
          <w:t>EXPOSURE DRAFT</w:t>
        </w:r>
      </w:p>
    </w:sdtContent>
  </w:sdt>
  <w:p w14:paraId="22E6CE9D" w14:textId="77777777" w:rsidR="006D7F22" w:rsidRPr="00A961C4" w:rsidRDefault="006D7F22"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4833FE"/>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773A7C0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singleLevel"/>
    <w:tmpl w:val="87ECD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0E4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8EF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DC57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6A6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706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A863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EFE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094"/>
    <w:multiLevelType w:val="hybridMultilevel"/>
    <w:tmpl w:val="4992DEA2"/>
    <w:lvl w:ilvl="0" w:tplc="2C2A9DAC">
      <w:start w:val="1"/>
      <w:numFmt w:val="lowerLetter"/>
      <w:lvlText w:val="(%1)"/>
      <w:lvlJc w:val="left"/>
      <w:pPr>
        <w:ind w:left="1650" w:hanging="360"/>
      </w:pPr>
    </w:lvl>
    <w:lvl w:ilvl="1" w:tplc="0C090019">
      <w:start w:val="1"/>
      <w:numFmt w:val="lowerLetter"/>
      <w:lvlText w:val="%2."/>
      <w:lvlJc w:val="left"/>
      <w:pPr>
        <w:ind w:left="2370" w:hanging="360"/>
      </w:pPr>
    </w:lvl>
    <w:lvl w:ilvl="2" w:tplc="0C09001B">
      <w:start w:val="1"/>
      <w:numFmt w:val="lowerRoman"/>
      <w:lvlText w:val="%3."/>
      <w:lvlJc w:val="right"/>
      <w:pPr>
        <w:ind w:left="3090" w:hanging="180"/>
      </w:pPr>
    </w:lvl>
    <w:lvl w:ilvl="3" w:tplc="0C09000F">
      <w:start w:val="1"/>
      <w:numFmt w:val="decimal"/>
      <w:lvlText w:val="%4."/>
      <w:lvlJc w:val="left"/>
      <w:pPr>
        <w:ind w:left="786" w:hanging="360"/>
      </w:pPr>
    </w:lvl>
    <w:lvl w:ilvl="4" w:tplc="0C090019">
      <w:start w:val="1"/>
      <w:numFmt w:val="lowerLetter"/>
      <w:lvlText w:val="%5."/>
      <w:lvlJc w:val="left"/>
      <w:pPr>
        <w:ind w:left="4530" w:hanging="360"/>
      </w:pPr>
    </w:lvl>
    <w:lvl w:ilvl="5" w:tplc="0C09001B">
      <w:start w:val="1"/>
      <w:numFmt w:val="lowerRoman"/>
      <w:lvlText w:val="%6."/>
      <w:lvlJc w:val="right"/>
      <w:pPr>
        <w:ind w:left="5250" w:hanging="180"/>
      </w:pPr>
    </w:lvl>
    <w:lvl w:ilvl="6" w:tplc="0C09000F">
      <w:start w:val="1"/>
      <w:numFmt w:val="decimal"/>
      <w:lvlText w:val="%7."/>
      <w:lvlJc w:val="left"/>
      <w:pPr>
        <w:ind w:left="5970" w:hanging="360"/>
      </w:pPr>
    </w:lvl>
    <w:lvl w:ilvl="7" w:tplc="0C090019">
      <w:start w:val="1"/>
      <w:numFmt w:val="lowerLetter"/>
      <w:lvlText w:val="%8."/>
      <w:lvlJc w:val="left"/>
      <w:pPr>
        <w:ind w:left="6690" w:hanging="360"/>
      </w:pPr>
    </w:lvl>
    <w:lvl w:ilvl="8" w:tplc="0C09001B">
      <w:start w:val="1"/>
      <w:numFmt w:val="lowerRoman"/>
      <w:lvlText w:val="%9."/>
      <w:lvlJc w:val="right"/>
      <w:pPr>
        <w:ind w:left="7410" w:hanging="180"/>
      </w:pPr>
    </w:lvl>
  </w:abstractNum>
  <w:abstractNum w:abstractNumId="11" w15:restartNumberingAfterBreak="0">
    <w:nsid w:val="0EA90F49"/>
    <w:multiLevelType w:val="hybridMultilevel"/>
    <w:tmpl w:val="1D98C162"/>
    <w:lvl w:ilvl="0" w:tplc="0810AF9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032F37"/>
    <w:multiLevelType w:val="hybridMultilevel"/>
    <w:tmpl w:val="5192D642"/>
    <w:lvl w:ilvl="0" w:tplc="3D0AF1F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0FB42D7"/>
    <w:multiLevelType w:val="hybridMultilevel"/>
    <w:tmpl w:val="F79E1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715D09"/>
    <w:multiLevelType w:val="hybridMultilevel"/>
    <w:tmpl w:val="9210E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71E77"/>
    <w:multiLevelType w:val="multilevel"/>
    <w:tmpl w:val="07E2D346"/>
    <w:lvl w:ilvl="0">
      <w:start w:val="17"/>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B3D5A99"/>
    <w:multiLevelType w:val="hybridMultilevel"/>
    <w:tmpl w:val="C0983E7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17606EF"/>
    <w:multiLevelType w:val="hybridMultilevel"/>
    <w:tmpl w:val="45540CDE"/>
    <w:lvl w:ilvl="0" w:tplc="42BA4742">
      <w:start w:val="1"/>
      <w:numFmt w:val="decimal"/>
      <w:lvlText w:val="(%1)"/>
      <w:lvlJc w:val="left"/>
      <w:pPr>
        <w:ind w:left="1130" w:hanging="360"/>
      </w:pPr>
    </w:lvl>
    <w:lvl w:ilvl="1" w:tplc="0C090019">
      <w:start w:val="1"/>
      <w:numFmt w:val="lowerLetter"/>
      <w:lvlText w:val="%2."/>
      <w:lvlJc w:val="left"/>
      <w:pPr>
        <w:ind w:left="1850" w:hanging="360"/>
      </w:pPr>
    </w:lvl>
    <w:lvl w:ilvl="2" w:tplc="0C09001B">
      <w:start w:val="1"/>
      <w:numFmt w:val="lowerRoman"/>
      <w:lvlText w:val="%3."/>
      <w:lvlJc w:val="right"/>
      <w:pPr>
        <w:ind w:left="2570" w:hanging="180"/>
      </w:pPr>
    </w:lvl>
    <w:lvl w:ilvl="3" w:tplc="0C09000F">
      <w:start w:val="1"/>
      <w:numFmt w:val="decimal"/>
      <w:lvlText w:val="%4."/>
      <w:lvlJc w:val="left"/>
      <w:pPr>
        <w:ind w:left="3290" w:hanging="360"/>
      </w:pPr>
    </w:lvl>
    <w:lvl w:ilvl="4" w:tplc="0C090019">
      <w:start w:val="1"/>
      <w:numFmt w:val="lowerLetter"/>
      <w:lvlText w:val="%5."/>
      <w:lvlJc w:val="left"/>
      <w:pPr>
        <w:ind w:left="4010" w:hanging="360"/>
      </w:pPr>
    </w:lvl>
    <w:lvl w:ilvl="5" w:tplc="0C09001B">
      <w:start w:val="1"/>
      <w:numFmt w:val="lowerRoman"/>
      <w:lvlText w:val="%6."/>
      <w:lvlJc w:val="right"/>
      <w:pPr>
        <w:ind w:left="4730" w:hanging="180"/>
      </w:pPr>
    </w:lvl>
    <w:lvl w:ilvl="6" w:tplc="0C09000F">
      <w:start w:val="1"/>
      <w:numFmt w:val="decimal"/>
      <w:lvlText w:val="%7."/>
      <w:lvlJc w:val="left"/>
      <w:pPr>
        <w:ind w:left="5450" w:hanging="360"/>
      </w:pPr>
    </w:lvl>
    <w:lvl w:ilvl="7" w:tplc="0C090019">
      <w:start w:val="1"/>
      <w:numFmt w:val="lowerLetter"/>
      <w:lvlText w:val="%8."/>
      <w:lvlJc w:val="left"/>
      <w:pPr>
        <w:ind w:left="6170" w:hanging="360"/>
      </w:pPr>
    </w:lvl>
    <w:lvl w:ilvl="8" w:tplc="0C09001B">
      <w:start w:val="1"/>
      <w:numFmt w:val="lowerRoman"/>
      <w:lvlText w:val="%9."/>
      <w:lvlJc w:val="right"/>
      <w:pPr>
        <w:ind w:left="6890" w:hanging="180"/>
      </w:pPr>
    </w:lvl>
  </w:abstractNum>
  <w:abstractNum w:abstractNumId="20" w15:restartNumberingAfterBreak="0">
    <w:nsid w:val="603F27D4"/>
    <w:multiLevelType w:val="hybridMultilevel"/>
    <w:tmpl w:val="E53230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B8E792A"/>
    <w:multiLevelType w:val="hybridMultilevel"/>
    <w:tmpl w:val="45540CDE"/>
    <w:lvl w:ilvl="0" w:tplc="42BA4742">
      <w:start w:val="1"/>
      <w:numFmt w:val="decimal"/>
      <w:lvlText w:val="(%1)"/>
      <w:lvlJc w:val="left"/>
      <w:pPr>
        <w:ind w:left="1130" w:hanging="360"/>
      </w:pPr>
    </w:lvl>
    <w:lvl w:ilvl="1" w:tplc="0C090019">
      <w:start w:val="1"/>
      <w:numFmt w:val="lowerLetter"/>
      <w:lvlText w:val="%2."/>
      <w:lvlJc w:val="left"/>
      <w:pPr>
        <w:ind w:left="1850" w:hanging="360"/>
      </w:pPr>
    </w:lvl>
    <w:lvl w:ilvl="2" w:tplc="0C09001B">
      <w:start w:val="1"/>
      <w:numFmt w:val="lowerRoman"/>
      <w:lvlText w:val="%3."/>
      <w:lvlJc w:val="right"/>
      <w:pPr>
        <w:ind w:left="2570" w:hanging="180"/>
      </w:pPr>
    </w:lvl>
    <w:lvl w:ilvl="3" w:tplc="0C09000F">
      <w:start w:val="1"/>
      <w:numFmt w:val="decimal"/>
      <w:lvlText w:val="%4."/>
      <w:lvlJc w:val="left"/>
      <w:pPr>
        <w:ind w:left="3290" w:hanging="360"/>
      </w:pPr>
    </w:lvl>
    <w:lvl w:ilvl="4" w:tplc="0C090019">
      <w:start w:val="1"/>
      <w:numFmt w:val="lowerLetter"/>
      <w:lvlText w:val="%5."/>
      <w:lvlJc w:val="left"/>
      <w:pPr>
        <w:ind w:left="4010" w:hanging="360"/>
      </w:pPr>
    </w:lvl>
    <w:lvl w:ilvl="5" w:tplc="0C09001B">
      <w:start w:val="1"/>
      <w:numFmt w:val="lowerRoman"/>
      <w:lvlText w:val="%6."/>
      <w:lvlJc w:val="right"/>
      <w:pPr>
        <w:ind w:left="4730" w:hanging="180"/>
      </w:pPr>
    </w:lvl>
    <w:lvl w:ilvl="6" w:tplc="0C09000F">
      <w:start w:val="1"/>
      <w:numFmt w:val="decimal"/>
      <w:lvlText w:val="%7."/>
      <w:lvlJc w:val="left"/>
      <w:pPr>
        <w:ind w:left="5450" w:hanging="360"/>
      </w:pPr>
    </w:lvl>
    <w:lvl w:ilvl="7" w:tplc="0C090019">
      <w:start w:val="1"/>
      <w:numFmt w:val="lowerLetter"/>
      <w:lvlText w:val="%8."/>
      <w:lvlJc w:val="left"/>
      <w:pPr>
        <w:ind w:left="6170" w:hanging="360"/>
      </w:pPr>
    </w:lvl>
    <w:lvl w:ilvl="8" w:tplc="0C09001B">
      <w:start w:val="1"/>
      <w:numFmt w:val="lowerRoman"/>
      <w:lvlText w:val="%9."/>
      <w:lvlJc w:val="right"/>
      <w:pPr>
        <w:ind w:left="6890" w:hanging="180"/>
      </w:pPr>
    </w:lvl>
  </w:abstractNum>
  <w:num w:numId="1">
    <w:abstractNumId w:val="17"/>
  </w:num>
  <w:num w:numId="2">
    <w:abstractNumId w:val="12"/>
  </w:num>
  <w:num w:numId="3">
    <w:abstractNumId w:val="16"/>
    <w:lvlOverride w:ilvl="0">
      <w:startOverride w:val="1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59"/>
    <w:rsid w:val="00000263"/>
    <w:rsid w:val="0000046C"/>
    <w:rsid w:val="000005E5"/>
    <w:rsid w:val="0000105B"/>
    <w:rsid w:val="00003A24"/>
    <w:rsid w:val="00003ABA"/>
    <w:rsid w:val="00004F04"/>
    <w:rsid w:val="000061AC"/>
    <w:rsid w:val="00007C3D"/>
    <w:rsid w:val="00010AA5"/>
    <w:rsid w:val="000113BC"/>
    <w:rsid w:val="000136AF"/>
    <w:rsid w:val="000154A1"/>
    <w:rsid w:val="000161C7"/>
    <w:rsid w:val="000167F9"/>
    <w:rsid w:val="00016CF1"/>
    <w:rsid w:val="000200CA"/>
    <w:rsid w:val="000202CD"/>
    <w:rsid w:val="000241FF"/>
    <w:rsid w:val="00024986"/>
    <w:rsid w:val="00030D7E"/>
    <w:rsid w:val="00030F19"/>
    <w:rsid w:val="0003152D"/>
    <w:rsid w:val="000339CA"/>
    <w:rsid w:val="00034916"/>
    <w:rsid w:val="000358E0"/>
    <w:rsid w:val="0004044E"/>
    <w:rsid w:val="00042B58"/>
    <w:rsid w:val="00042F6A"/>
    <w:rsid w:val="000451CB"/>
    <w:rsid w:val="000464D5"/>
    <w:rsid w:val="00046BF5"/>
    <w:rsid w:val="0005120E"/>
    <w:rsid w:val="0005446C"/>
    <w:rsid w:val="00054577"/>
    <w:rsid w:val="00054E62"/>
    <w:rsid w:val="000555B8"/>
    <w:rsid w:val="00055FDD"/>
    <w:rsid w:val="00056355"/>
    <w:rsid w:val="00056697"/>
    <w:rsid w:val="000600A9"/>
    <w:rsid w:val="000614BF"/>
    <w:rsid w:val="00064AA0"/>
    <w:rsid w:val="00070633"/>
    <w:rsid w:val="0007169C"/>
    <w:rsid w:val="00071DBE"/>
    <w:rsid w:val="0007354B"/>
    <w:rsid w:val="00073E58"/>
    <w:rsid w:val="0007425A"/>
    <w:rsid w:val="00075591"/>
    <w:rsid w:val="0007702C"/>
    <w:rsid w:val="00077593"/>
    <w:rsid w:val="00080C38"/>
    <w:rsid w:val="00083BC0"/>
    <w:rsid w:val="00083F48"/>
    <w:rsid w:val="00084899"/>
    <w:rsid w:val="00084B22"/>
    <w:rsid w:val="00087AC7"/>
    <w:rsid w:val="00091634"/>
    <w:rsid w:val="00091B6F"/>
    <w:rsid w:val="00093F74"/>
    <w:rsid w:val="00094A79"/>
    <w:rsid w:val="000959DC"/>
    <w:rsid w:val="0009649F"/>
    <w:rsid w:val="00096F84"/>
    <w:rsid w:val="000A171D"/>
    <w:rsid w:val="000A177A"/>
    <w:rsid w:val="000A479A"/>
    <w:rsid w:val="000A511B"/>
    <w:rsid w:val="000A77D0"/>
    <w:rsid w:val="000A7DF9"/>
    <w:rsid w:val="000B00E1"/>
    <w:rsid w:val="000B1AFA"/>
    <w:rsid w:val="000B1B30"/>
    <w:rsid w:val="000B2A44"/>
    <w:rsid w:val="000B5E75"/>
    <w:rsid w:val="000B6B72"/>
    <w:rsid w:val="000B79A5"/>
    <w:rsid w:val="000C0287"/>
    <w:rsid w:val="000C2328"/>
    <w:rsid w:val="000C49A9"/>
    <w:rsid w:val="000C5E8C"/>
    <w:rsid w:val="000C7596"/>
    <w:rsid w:val="000C77A5"/>
    <w:rsid w:val="000D0030"/>
    <w:rsid w:val="000D05EF"/>
    <w:rsid w:val="000D08F2"/>
    <w:rsid w:val="000D1393"/>
    <w:rsid w:val="000D1C38"/>
    <w:rsid w:val="000D27CF"/>
    <w:rsid w:val="000D30DD"/>
    <w:rsid w:val="000D3FB9"/>
    <w:rsid w:val="000D51F6"/>
    <w:rsid w:val="000D5485"/>
    <w:rsid w:val="000D7E54"/>
    <w:rsid w:val="000E13EC"/>
    <w:rsid w:val="000E2B6A"/>
    <w:rsid w:val="000E2EA6"/>
    <w:rsid w:val="000E48AA"/>
    <w:rsid w:val="000E598E"/>
    <w:rsid w:val="000E5A3D"/>
    <w:rsid w:val="000E5FDD"/>
    <w:rsid w:val="000F0ADA"/>
    <w:rsid w:val="000F0CEE"/>
    <w:rsid w:val="000F0FE7"/>
    <w:rsid w:val="000F21C1"/>
    <w:rsid w:val="000F36A7"/>
    <w:rsid w:val="000F4635"/>
    <w:rsid w:val="00100D32"/>
    <w:rsid w:val="001024C7"/>
    <w:rsid w:val="00102718"/>
    <w:rsid w:val="0010439E"/>
    <w:rsid w:val="001051BA"/>
    <w:rsid w:val="001061F7"/>
    <w:rsid w:val="00106B1B"/>
    <w:rsid w:val="0010745C"/>
    <w:rsid w:val="00107933"/>
    <w:rsid w:val="00110FB0"/>
    <w:rsid w:val="001122FF"/>
    <w:rsid w:val="00113147"/>
    <w:rsid w:val="00113B61"/>
    <w:rsid w:val="00116D48"/>
    <w:rsid w:val="00121B68"/>
    <w:rsid w:val="001221AB"/>
    <w:rsid w:val="001247E4"/>
    <w:rsid w:val="001375E7"/>
    <w:rsid w:val="0013768B"/>
    <w:rsid w:val="00137E07"/>
    <w:rsid w:val="00140274"/>
    <w:rsid w:val="00141797"/>
    <w:rsid w:val="00141A32"/>
    <w:rsid w:val="001434CB"/>
    <w:rsid w:val="00143CB0"/>
    <w:rsid w:val="00143E8F"/>
    <w:rsid w:val="0014483F"/>
    <w:rsid w:val="001448A6"/>
    <w:rsid w:val="001448CE"/>
    <w:rsid w:val="00145766"/>
    <w:rsid w:val="00146370"/>
    <w:rsid w:val="00146FBB"/>
    <w:rsid w:val="00150CB5"/>
    <w:rsid w:val="00151BE2"/>
    <w:rsid w:val="00152320"/>
    <w:rsid w:val="001558D7"/>
    <w:rsid w:val="00155938"/>
    <w:rsid w:val="00160BD7"/>
    <w:rsid w:val="00161928"/>
    <w:rsid w:val="00161A3D"/>
    <w:rsid w:val="00163087"/>
    <w:rsid w:val="001643C9"/>
    <w:rsid w:val="00165568"/>
    <w:rsid w:val="00165CBE"/>
    <w:rsid w:val="00166082"/>
    <w:rsid w:val="001667AE"/>
    <w:rsid w:val="00166C2F"/>
    <w:rsid w:val="001671FF"/>
    <w:rsid w:val="0017016F"/>
    <w:rsid w:val="001715D4"/>
    <w:rsid w:val="001716C9"/>
    <w:rsid w:val="00172987"/>
    <w:rsid w:val="001740AB"/>
    <w:rsid w:val="00174BE7"/>
    <w:rsid w:val="001769F9"/>
    <w:rsid w:val="001774A2"/>
    <w:rsid w:val="00181A30"/>
    <w:rsid w:val="00181E60"/>
    <w:rsid w:val="00182C6D"/>
    <w:rsid w:val="00184261"/>
    <w:rsid w:val="00185054"/>
    <w:rsid w:val="0018745A"/>
    <w:rsid w:val="00193461"/>
    <w:rsid w:val="001939E1"/>
    <w:rsid w:val="0019452E"/>
    <w:rsid w:val="0019456D"/>
    <w:rsid w:val="00194B28"/>
    <w:rsid w:val="00195382"/>
    <w:rsid w:val="00195D62"/>
    <w:rsid w:val="001966E4"/>
    <w:rsid w:val="00197267"/>
    <w:rsid w:val="001973F7"/>
    <w:rsid w:val="001A1E4D"/>
    <w:rsid w:val="001A3B9F"/>
    <w:rsid w:val="001A4969"/>
    <w:rsid w:val="001A4CFB"/>
    <w:rsid w:val="001A5520"/>
    <w:rsid w:val="001A56E6"/>
    <w:rsid w:val="001A655A"/>
    <w:rsid w:val="001A65C0"/>
    <w:rsid w:val="001A6B53"/>
    <w:rsid w:val="001A7033"/>
    <w:rsid w:val="001A7B31"/>
    <w:rsid w:val="001B0370"/>
    <w:rsid w:val="001B1375"/>
    <w:rsid w:val="001B395F"/>
    <w:rsid w:val="001B5F8E"/>
    <w:rsid w:val="001B6783"/>
    <w:rsid w:val="001B70DE"/>
    <w:rsid w:val="001B7A5D"/>
    <w:rsid w:val="001B7EF3"/>
    <w:rsid w:val="001C1DE0"/>
    <w:rsid w:val="001C22D3"/>
    <w:rsid w:val="001C5172"/>
    <w:rsid w:val="001C69C4"/>
    <w:rsid w:val="001C79B5"/>
    <w:rsid w:val="001C7D5C"/>
    <w:rsid w:val="001D2363"/>
    <w:rsid w:val="001D3708"/>
    <w:rsid w:val="001D4DCD"/>
    <w:rsid w:val="001D4EE6"/>
    <w:rsid w:val="001D648E"/>
    <w:rsid w:val="001D7BCC"/>
    <w:rsid w:val="001E08FF"/>
    <w:rsid w:val="001E0A8D"/>
    <w:rsid w:val="001E106E"/>
    <w:rsid w:val="001E3590"/>
    <w:rsid w:val="001E554D"/>
    <w:rsid w:val="001E5F02"/>
    <w:rsid w:val="001E7407"/>
    <w:rsid w:val="001F0E69"/>
    <w:rsid w:val="001F1A46"/>
    <w:rsid w:val="001F236F"/>
    <w:rsid w:val="00201D27"/>
    <w:rsid w:val="002023C7"/>
    <w:rsid w:val="00206269"/>
    <w:rsid w:val="002064F6"/>
    <w:rsid w:val="002103D9"/>
    <w:rsid w:val="0021153A"/>
    <w:rsid w:val="0021297A"/>
    <w:rsid w:val="00213448"/>
    <w:rsid w:val="002140FD"/>
    <w:rsid w:val="0021672C"/>
    <w:rsid w:val="00217C12"/>
    <w:rsid w:val="00220061"/>
    <w:rsid w:val="00221692"/>
    <w:rsid w:val="0022301E"/>
    <w:rsid w:val="00223028"/>
    <w:rsid w:val="00223522"/>
    <w:rsid w:val="002245A6"/>
    <w:rsid w:val="00224D11"/>
    <w:rsid w:val="00226E1A"/>
    <w:rsid w:val="0023018A"/>
    <w:rsid w:val="002302EA"/>
    <w:rsid w:val="00235070"/>
    <w:rsid w:val="002354AF"/>
    <w:rsid w:val="0023565F"/>
    <w:rsid w:val="00235B23"/>
    <w:rsid w:val="00236708"/>
    <w:rsid w:val="00237614"/>
    <w:rsid w:val="00237622"/>
    <w:rsid w:val="00240541"/>
    <w:rsid w:val="00240749"/>
    <w:rsid w:val="00240824"/>
    <w:rsid w:val="0024139D"/>
    <w:rsid w:val="002420C2"/>
    <w:rsid w:val="002422B8"/>
    <w:rsid w:val="00242325"/>
    <w:rsid w:val="002436BF"/>
    <w:rsid w:val="002446DA"/>
    <w:rsid w:val="002451D0"/>
    <w:rsid w:val="00245BAE"/>
    <w:rsid w:val="002468D7"/>
    <w:rsid w:val="00247858"/>
    <w:rsid w:val="00247E97"/>
    <w:rsid w:val="0025015B"/>
    <w:rsid w:val="00250354"/>
    <w:rsid w:val="00251921"/>
    <w:rsid w:val="002531AC"/>
    <w:rsid w:val="0025461F"/>
    <w:rsid w:val="00254C73"/>
    <w:rsid w:val="002566A5"/>
    <w:rsid w:val="00256C81"/>
    <w:rsid w:val="00261362"/>
    <w:rsid w:val="00263A38"/>
    <w:rsid w:val="00265A7D"/>
    <w:rsid w:val="002666D1"/>
    <w:rsid w:val="00267956"/>
    <w:rsid w:val="00270395"/>
    <w:rsid w:val="00273028"/>
    <w:rsid w:val="002740F2"/>
    <w:rsid w:val="00275037"/>
    <w:rsid w:val="00276C70"/>
    <w:rsid w:val="0027725D"/>
    <w:rsid w:val="0028142A"/>
    <w:rsid w:val="00282D2F"/>
    <w:rsid w:val="00285CDD"/>
    <w:rsid w:val="00291167"/>
    <w:rsid w:val="002916E0"/>
    <w:rsid w:val="002931D1"/>
    <w:rsid w:val="0029489E"/>
    <w:rsid w:val="00294AE2"/>
    <w:rsid w:val="00294D20"/>
    <w:rsid w:val="002954D3"/>
    <w:rsid w:val="00297ECB"/>
    <w:rsid w:val="00297F63"/>
    <w:rsid w:val="002A0216"/>
    <w:rsid w:val="002A0CBC"/>
    <w:rsid w:val="002A22ED"/>
    <w:rsid w:val="002A367E"/>
    <w:rsid w:val="002A404D"/>
    <w:rsid w:val="002A428A"/>
    <w:rsid w:val="002A505F"/>
    <w:rsid w:val="002A5D4B"/>
    <w:rsid w:val="002A7214"/>
    <w:rsid w:val="002B04BE"/>
    <w:rsid w:val="002B0C6A"/>
    <w:rsid w:val="002B20A8"/>
    <w:rsid w:val="002B2CE1"/>
    <w:rsid w:val="002B3327"/>
    <w:rsid w:val="002B52D9"/>
    <w:rsid w:val="002B70B9"/>
    <w:rsid w:val="002C0244"/>
    <w:rsid w:val="002C0268"/>
    <w:rsid w:val="002C05E1"/>
    <w:rsid w:val="002C073B"/>
    <w:rsid w:val="002C1233"/>
    <w:rsid w:val="002C152A"/>
    <w:rsid w:val="002C36F1"/>
    <w:rsid w:val="002C5841"/>
    <w:rsid w:val="002D043A"/>
    <w:rsid w:val="002D2B3E"/>
    <w:rsid w:val="002D3F95"/>
    <w:rsid w:val="002D467B"/>
    <w:rsid w:val="002D4888"/>
    <w:rsid w:val="002D504C"/>
    <w:rsid w:val="002D58F8"/>
    <w:rsid w:val="002D5C9E"/>
    <w:rsid w:val="002E0FCE"/>
    <w:rsid w:val="002E126C"/>
    <w:rsid w:val="002E6639"/>
    <w:rsid w:val="002E718A"/>
    <w:rsid w:val="002E7ABB"/>
    <w:rsid w:val="002F1FDE"/>
    <w:rsid w:val="002F49B6"/>
    <w:rsid w:val="002F7F45"/>
    <w:rsid w:val="0030023D"/>
    <w:rsid w:val="00304352"/>
    <w:rsid w:val="00304F1D"/>
    <w:rsid w:val="003051F5"/>
    <w:rsid w:val="0030575D"/>
    <w:rsid w:val="003078D7"/>
    <w:rsid w:val="003079DB"/>
    <w:rsid w:val="003102B4"/>
    <w:rsid w:val="00311119"/>
    <w:rsid w:val="003138FB"/>
    <w:rsid w:val="00313F4D"/>
    <w:rsid w:val="003144B9"/>
    <w:rsid w:val="00316362"/>
    <w:rsid w:val="00316BC9"/>
    <w:rsid w:val="0031713F"/>
    <w:rsid w:val="003204AA"/>
    <w:rsid w:val="003222D1"/>
    <w:rsid w:val="0032479A"/>
    <w:rsid w:val="00325ABB"/>
    <w:rsid w:val="00326018"/>
    <w:rsid w:val="0032750F"/>
    <w:rsid w:val="00331447"/>
    <w:rsid w:val="00331B1A"/>
    <w:rsid w:val="00331F84"/>
    <w:rsid w:val="003324D3"/>
    <w:rsid w:val="00334920"/>
    <w:rsid w:val="00337549"/>
    <w:rsid w:val="003415D3"/>
    <w:rsid w:val="0034200A"/>
    <w:rsid w:val="003422F3"/>
    <w:rsid w:val="0034298D"/>
    <w:rsid w:val="00343EB8"/>
    <w:rsid w:val="003442F6"/>
    <w:rsid w:val="003443BC"/>
    <w:rsid w:val="00346335"/>
    <w:rsid w:val="003502AD"/>
    <w:rsid w:val="00350AEA"/>
    <w:rsid w:val="00352B0F"/>
    <w:rsid w:val="00353068"/>
    <w:rsid w:val="00353991"/>
    <w:rsid w:val="00354012"/>
    <w:rsid w:val="0035537F"/>
    <w:rsid w:val="003561B0"/>
    <w:rsid w:val="0035685F"/>
    <w:rsid w:val="00356A8B"/>
    <w:rsid w:val="00356CEE"/>
    <w:rsid w:val="00357A72"/>
    <w:rsid w:val="00357BBB"/>
    <w:rsid w:val="00363F11"/>
    <w:rsid w:val="0036421A"/>
    <w:rsid w:val="00364FDC"/>
    <w:rsid w:val="0036593D"/>
    <w:rsid w:val="00367B26"/>
    <w:rsid w:val="00371195"/>
    <w:rsid w:val="00371BEF"/>
    <w:rsid w:val="00371F01"/>
    <w:rsid w:val="00372EB3"/>
    <w:rsid w:val="00373A54"/>
    <w:rsid w:val="0037417E"/>
    <w:rsid w:val="00374BB5"/>
    <w:rsid w:val="0037506D"/>
    <w:rsid w:val="0037656C"/>
    <w:rsid w:val="00383043"/>
    <w:rsid w:val="003876F9"/>
    <w:rsid w:val="00387CE1"/>
    <w:rsid w:val="00390EA0"/>
    <w:rsid w:val="003915D5"/>
    <w:rsid w:val="00391C20"/>
    <w:rsid w:val="00394725"/>
    <w:rsid w:val="0039658B"/>
    <w:rsid w:val="00396C5A"/>
    <w:rsid w:val="00397893"/>
    <w:rsid w:val="003A07A1"/>
    <w:rsid w:val="003A0E14"/>
    <w:rsid w:val="003A1114"/>
    <w:rsid w:val="003A15AC"/>
    <w:rsid w:val="003A30CE"/>
    <w:rsid w:val="003A363F"/>
    <w:rsid w:val="003A50D5"/>
    <w:rsid w:val="003A5B3A"/>
    <w:rsid w:val="003B0627"/>
    <w:rsid w:val="003B1507"/>
    <w:rsid w:val="003B7FC0"/>
    <w:rsid w:val="003C1438"/>
    <w:rsid w:val="003C1CE8"/>
    <w:rsid w:val="003C2A09"/>
    <w:rsid w:val="003C4B72"/>
    <w:rsid w:val="003C51C1"/>
    <w:rsid w:val="003C5F2B"/>
    <w:rsid w:val="003C7D35"/>
    <w:rsid w:val="003D0BFE"/>
    <w:rsid w:val="003D1A8C"/>
    <w:rsid w:val="003D1CE1"/>
    <w:rsid w:val="003D2628"/>
    <w:rsid w:val="003D27D0"/>
    <w:rsid w:val="003D36F1"/>
    <w:rsid w:val="003D440A"/>
    <w:rsid w:val="003D5597"/>
    <w:rsid w:val="003D5700"/>
    <w:rsid w:val="003D769C"/>
    <w:rsid w:val="003D7862"/>
    <w:rsid w:val="003D7971"/>
    <w:rsid w:val="003E0766"/>
    <w:rsid w:val="003E14A6"/>
    <w:rsid w:val="003E4550"/>
    <w:rsid w:val="003E5771"/>
    <w:rsid w:val="003E57DA"/>
    <w:rsid w:val="003F2FB4"/>
    <w:rsid w:val="003F3443"/>
    <w:rsid w:val="003F5691"/>
    <w:rsid w:val="003F65F1"/>
    <w:rsid w:val="003F6F52"/>
    <w:rsid w:val="00400B37"/>
    <w:rsid w:val="0040117F"/>
    <w:rsid w:val="004022CA"/>
    <w:rsid w:val="0040255E"/>
    <w:rsid w:val="00404580"/>
    <w:rsid w:val="00404D08"/>
    <w:rsid w:val="004063C3"/>
    <w:rsid w:val="004078FE"/>
    <w:rsid w:val="004105DA"/>
    <w:rsid w:val="00410CB1"/>
    <w:rsid w:val="00410FED"/>
    <w:rsid w:val="004116CD"/>
    <w:rsid w:val="00413071"/>
    <w:rsid w:val="00414ADE"/>
    <w:rsid w:val="00414DCA"/>
    <w:rsid w:val="00414F9E"/>
    <w:rsid w:val="00415D8A"/>
    <w:rsid w:val="004160E9"/>
    <w:rsid w:val="00417295"/>
    <w:rsid w:val="0042210A"/>
    <w:rsid w:val="004226B7"/>
    <w:rsid w:val="0042384E"/>
    <w:rsid w:val="00424CA9"/>
    <w:rsid w:val="004257BB"/>
    <w:rsid w:val="00431485"/>
    <w:rsid w:val="00432767"/>
    <w:rsid w:val="00433417"/>
    <w:rsid w:val="00434513"/>
    <w:rsid w:val="00436626"/>
    <w:rsid w:val="004372A6"/>
    <w:rsid w:val="004378CA"/>
    <w:rsid w:val="00440714"/>
    <w:rsid w:val="0044118A"/>
    <w:rsid w:val="0044291A"/>
    <w:rsid w:val="0044299C"/>
    <w:rsid w:val="004437F9"/>
    <w:rsid w:val="00443CAF"/>
    <w:rsid w:val="00446246"/>
    <w:rsid w:val="00451CB1"/>
    <w:rsid w:val="00454A8A"/>
    <w:rsid w:val="00456F0D"/>
    <w:rsid w:val="004600B0"/>
    <w:rsid w:val="00460499"/>
    <w:rsid w:val="00460FBA"/>
    <w:rsid w:val="00461F47"/>
    <w:rsid w:val="00462DD1"/>
    <w:rsid w:val="00463538"/>
    <w:rsid w:val="00465176"/>
    <w:rsid w:val="00465A79"/>
    <w:rsid w:val="004660DB"/>
    <w:rsid w:val="0047080C"/>
    <w:rsid w:val="0047304D"/>
    <w:rsid w:val="00474835"/>
    <w:rsid w:val="004756D7"/>
    <w:rsid w:val="00476589"/>
    <w:rsid w:val="00477FD7"/>
    <w:rsid w:val="004819C7"/>
    <w:rsid w:val="00481EE5"/>
    <w:rsid w:val="0048364F"/>
    <w:rsid w:val="00484123"/>
    <w:rsid w:val="00484AA1"/>
    <w:rsid w:val="004871E1"/>
    <w:rsid w:val="004877FC"/>
    <w:rsid w:val="00490F2E"/>
    <w:rsid w:val="0049121A"/>
    <w:rsid w:val="00493C9E"/>
    <w:rsid w:val="00496F97"/>
    <w:rsid w:val="00497CBE"/>
    <w:rsid w:val="004A1BB4"/>
    <w:rsid w:val="004A53EA"/>
    <w:rsid w:val="004A7C51"/>
    <w:rsid w:val="004B0B88"/>
    <w:rsid w:val="004B1992"/>
    <w:rsid w:val="004B35E7"/>
    <w:rsid w:val="004B54BD"/>
    <w:rsid w:val="004B66AF"/>
    <w:rsid w:val="004B7F4D"/>
    <w:rsid w:val="004C033B"/>
    <w:rsid w:val="004C20BA"/>
    <w:rsid w:val="004C2E99"/>
    <w:rsid w:val="004C2EBA"/>
    <w:rsid w:val="004C37DC"/>
    <w:rsid w:val="004C4B61"/>
    <w:rsid w:val="004C55B2"/>
    <w:rsid w:val="004C6F7E"/>
    <w:rsid w:val="004D1581"/>
    <w:rsid w:val="004D343C"/>
    <w:rsid w:val="004D38E0"/>
    <w:rsid w:val="004D47E5"/>
    <w:rsid w:val="004D5E73"/>
    <w:rsid w:val="004D6BCF"/>
    <w:rsid w:val="004D7D06"/>
    <w:rsid w:val="004E13B0"/>
    <w:rsid w:val="004E6262"/>
    <w:rsid w:val="004E646B"/>
    <w:rsid w:val="004E6EBE"/>
    <w:rsid w:val="004E72EC"/>
    <w:rsid w:val="004E7772"/>
    <w:rsid w:val="004E78A3"/>
    <w:rsid w:val="004F1282"/>
    <w:rsid w:val="004F1FAC"/>
    <w:rsid w:val="004F484E"/>
    <w:rsid w:val="004F676E"/>
    <w:rsid w:val="004F71C0"/>
    <w:rsid w:val="004F7FD3"/>
    <w:rsid w:val="005045E8"/>
    <w:rsid w:val="005057E9"/>
    <w:rsid w:val="00506041"/>
    <w:rsid w:val="0050707F"/>
    <w:rsid w:val="00512301"/>
    <w:rsid w:val="0051357F"/>
    <w:rsid w:val="0051605E"/>
    <w:rsid w:val="00516B8D"/>
    <w:rsid w:val="005203E7"/>
    <w:rsid w:val="00521471"/>
    <w:rsid w:val="0052281B"/>
    <w:rsid w:val="00522ACA"/>
    <w:rsid w:val="00523900"/>
    <w:rsid w:val="00524002"/>
    <w:rsid w:val="00527122"/>
    <w:rsid w:val="0052756C"/>
    <w:rsid w:val="00530230"/>
    <w:rsid w:val="00530CC9"/>
    <w:rsid w:val="00531B46"/>
    <w:rsid w:val="00532555"/>
    <w:rsid w:val="005373AF"/>
    <w:rsid w:val="00537FBC"/>
    <w:rsid w:val="00541526"/>
    <w:rsid w:val="005418AC"/>
    <w:rsid w:val="00541B41"/>
    <w:rsid w:val="00541D73"/>
    <w:rsid w:val="005420D5"/>
    <w:rsid w:val="00542ABC"/>
    <w:rsid w:val="00543469"/>
    <w:rsid w:val="00544459"/>
    <w:rsid w:val="005450B6"/>
    <w:rsid w:val="00545800"/>
    <w:rsid w:val="005464A1"/>
    <w:rsid w:val="005465D6"/>
    <w:rsid w:val="00546FA3"/>
    <w:rsid w:val="005506D4"/>
    <w:rsid w:val="00553019"/>
    <w:rsid w:val="00554205"/>
    <w:rsid w:val="00555301"/>
    <w:rsid w:val="0055531A"/>
    <w:rsid w:val="00555998"/>
    <w:rsid w:val="0055679C"/>
    <w:rsid w:val="0055707D"/>
    <w:rsid w:val="00557325"/>
    <w:rsid w:val="00557681"/>
    <w:rsid w:val="00557C7A"/>
    <w:rsid w:val="005600A9"/>
    <w:rsid w:val="005606F7"/>
    <w:rsid w:val="00562A58"/>
    <w:rsid w:val="00562BDA"/>
    <w:rsid w:val="0056521B"/>
    <w:rsid w:val="0056541A"/>
    <w:rsid w:val="0056566A"/>
    <w:rsid w:val="0057132F"/>
    <w:rsid w:val="0057271F"/>
    <w:rsid w:val="0057335F"/>
    <w:rsid w:val="005739F5"/>
    <w:rsid w:val="00574247"/>
    <w:rsid w:val="005742E9"/>
    <w:rsid w:val="00575C79"/>
    <w:rsid w:val="00577EB6"/>
    <w:rsid w:val="00580557"/>
    <w:rsid w:val="00581211"/>
    <w:rsid w:val="00581512"/>
    <w:rsid w:val="0058191C"/>
    <w:rsid w:val="00583A3C"/>
    <w:rsid w:val="00583A95"/>
    <w:rsid w:val="00584811"/>
    <w:rsid w:val="00591979"/>
    <w:rsid w:val="00592416"/>
    <w:rsid w:val="00592FC0"/>
    <w:rsid w:val="00593AA6"/>
    <w:rsid w:val="00594161"/>
    <w:rsid w:val="00594749"/>
    <w:rsid w:val="00594956"/>
    <w:rsid w:val="00595E49"/>
    <w:rsid w:val="00596772"/>
    <w:rsid w:val="005A1CA2"/>
    <w:rsid w:val="005A26B5"/>
    <w:rsid w:val="005A3A5E"/>
    <w:rsid w:val="005B131D"/>
    <w:rsid w:val="005B1555"/>
    <w:rsid w:val="005B3A67"/>
    <w:rsid w:val="005B4067"/>
    <w:rsid w:val="005B4A3B"/>
    <w:rsid w:val="005B4DD0"/>
    <w:rsid w:val="005B6161"/>
    <w:rsid w:val="005C3649"/>
    <w:rsid w:val="005C3880"/>
    <w:rsid w:val="005C3CBC"/>
    <w:rsid w:val="005C3F41"/>
    <w:rsid w:val="005C445D"/>
    <w:rsid w:val="005C45C4"/>
    <w:rsid w:val="005C466F"/>
    <w:rsid w:val="005C4EF0"/>
    <w:rsid w:val="005C5086"/>
    <w:rsid w:val="005C676C"/>
    <w:rsid w:val="005D0D59"/>
    <w:rsid w:val="005D0F82"/>
    <w:rsid w:val="005D3034"/>
    <w:rsid w:val="005D3437"/>
    <w:rsid w:val="005D499B"/>
    <w:rsid w:val="005D59AE"/>
    <w:rsid w:val="005D5EA1"/>
    <w:rsid w:val="005E098C"/>
    <w:rsid w:val="005E0DE0"/>
    <w:rsid w:val="005E1F8D"/>
    <w:rsid w:val="005E2833"/>
    <w:rsid w:val="005E2C8F"/>
    <w:rsid w:val="005E317F"/>
    <w:rsid w:val="005E61D3"/>
    <w:rsid w:val="005E71E6"/>
    <w:rsid w:val="005F13B1"/>
    <w:rsid w:val="005F1CEA"/>
    <w:rsid w:val="005F2171"/>
    <w:rsid w:val="005F45E1"/>
    <w:rsid w:val="005F46EE"/>
    <w:rsid w:val="005F4CBD"/>
    <w:rsid w:val="005F55B9"/>
    <w:rsid w:val="005F56A0"/>
    <w:rsid w:val="005F5DB3"/>
    <w:rsid w:val="005F6F15"/>
    <w:rsid w:val="005F773A"/>
    <w:rsid w:val="00600219"/>
    <w:rsid w:val="006019DD"/>
    <w:rsid w:val="00602F63"/>
    <w:rsid w:val="00605D7F"/>
    <w:rsid w:val="006065DA"/>
    <w:rsid w:val="00606AA4"/>
    <w:rsid w:val="00606CF1"/>
    <w:rsid w:val="00606F1C"/>
    <w:rsid w:val="00607EC5"/>
    <w:rsid w:val="00612396"/>
    <w:rsid w:val="006125BC"/>
    <w:rsid w:val="00612DC6"/>
    <w:rsid w:val="00614672"/>
    <w:rsid w:val="006152A6"/>
    <w:rsid w:val="006172CD"/>
    <w:rsid w:val="006202EA"/>
    <w:rsid w:val="00620708"/>
    <w:rsid w:val="00620E3B"/>
    <w:rsid w:val="00622FE6"/>
    <w:rsid w:val="006244B7"/>
    <w:rsid w:val="006256BB"/>
    <w:rsid w:val="00625909"/>
    <w:rsid w:val="0063025E"/>
    <w:rsid w:val="006317C5"/>
    <w:rsid w:val="006375EC"/>
    <w:rsid w:val="00640402"/>
    <w:rsid w:val="00640F78"/>
    <w:rsid w:val="00641519"/>
    <w:rsid w:val="00641D6F"/>
    <w:rsid w:val="006450E2"/>
    <w:rsid w:val="00647753"/>
    <w:rsid w:val="00647AC3"/>
    <w:rsid w:val="006525C8"/>
    <w:rsid w:val="00652767"/>
    <w:rsid w:val="006529F9"/>
    <w:rsid w:val="00652FB5"/>
    <w:rsid w:val="006532A9"/>
    <w:rsid w:val="006545A1"/>
    <w:rsid w:val="00655D6A"/>
    <w:rsid w:val="00656DE9"/>
    <w:rsid w:val="006604B2"/>
    <w:rsid w:val="00660ABF"/>
    <w:rsid w:val="006633FB"/>
    <w:rsid w:val="0066745C"/>
    <w:rsid w:val="00667D31"/>
    <w:rsid w:val="006710F1"/>
    <w:rsid w:val="006713D9"/>
    <w:rsid w:val="0067267E"/>
    <w:rsid w:val="00672876"/>
    <w:rsid w:val="006749B2"/>
    <w:rsid w:val="00674B20"/>
    <w:rsid w:val="00674BD7"/>
    <w:rsid w:val="006750FB"/>
    <w:rsid w:val="00677B66"/>
    <w:rsid w:val="00677CC2"/>
    <w:rsid w:val="00680B47"/>
    <w:rsid w:val="006821D3"/>
    <w:rsid w:val="0068253F"/>
    <w:rsid w:val="00683CFF"/>
    <w:rsid w:val="00683FD3"/>
    <w:rsid w:val="00685F42"/>
    <w:rsid w:val="00686939"/>
    <w:rsid w:val="00690C4A"/>
    <w:rsid w:val="00691E4F"/>
    <w:rsid w:val="0069207B"/>
    <w:rsid w:val="006941D3"/>
    <w:rsid w:val="006950A9"/>
    <w:rsid w:val="006973FE"/>
    <w:rsid w:val="006A22D9"/>
    <w:rsid w:val="006A304E"/>
    <w:rsid w:val="006A7C71"/>
    <w:rsid w:val="006B122C"/>
    <w:rsid w:val="006B13BB"/>
    <w:rsid w:val="006B2094"/>
    <w:rsid w:val="006B3635"/>
    <w:rsid w:val="006B41B7"/>
    <w:rsid w:val="006B4BF2"/>
    <w:rsid w:val="006B5A0B"/>
    <w:rsid w:val="006B6D7F"/>
    <w:rsid w:val="006B7006"/>
    <w:rsid w:val="006B7E79"/>
    <w:rsid w:val="006C16C2"/>
    <w:rsid w:val="006C259F"/>
    <w:rsid w:val="006C276E"/>
    <w:rsid w:val="006C2B77"/>
    <w:rsid w:val="006C403E"/>
    <w:rsid w:val="006C581F"/>
    <w:rsid w:val="006C6058"/>
    <w:rsid w:val="006C750B"/>
    <w:rsid w:val="006C7B5A"/>
    <w:rsid w:val="006C7CF6"/>
    <w:rsid w:val="006C7F8C"/>
    <w:rsid w:val="006D01F1"/>
    <w:rsid w:val="006D564F"/>
    <w:rsid w:val="006D66E4"/>
    <w:rsid w:val="006D6AB2"/>
    <w:rsid w:val="006D7AB9"/>
    <w:rsid w:val="006D7F22"/>
    <w:rsid w:val="006E21DD"/>
    <w:rsid w:val="006E684F"/>
    <w:rsid w:val="006F0E56"/>
    <w:rsid w:val="006F41EC"/>
    <w:rsid w:val="006F4A28"/>
    <w:rsid w:val="006F5E23"/>
    <w:rsid w:val="00700ADC"/>
    <w:rsid w:val="00700B2C"/>
    <w:rsid w:val="00700BED"/>
    <w:rsid w:val="00700FD7"/>
    <w:rsid w:val="00701A1C"/>
    <w:rsid w:val="00704104"/>
    <w:rsid w:val="00705263"/>
    <w:rsid w:val="00706241"/>
    <w:rsid w:val="00707F7A"/>
    <w:rsid w:val="007106E0"/>
    <w:rsid w:val="00712919"/>
    <w:rsid w:val="00713084"/>
    <w:rsid w:val="00713527"/>
    <w:rsid w:val="00717463"/>
    <w:rsid w:val="007174EA"/>
    <w:rsid w:val="00717691"/>
    <w:rsid w:val="00717CD4"/>
    <w:rsid w:val="00720D64"/>
    <w:rsid w:val="00720FC2"/>
    <w:rsid w:val="00721129"/>
    <w:rsid w:val="00721D2F"/>
    <w:rsid w:val="00722E89"/>
    <w:rsid w:val="00724307"/>
    <w:rsid w:val="00725A84"/>
    <w:rsid w:val="00731E00"/>
    <w:rsid w:val="00732077"/>
    <w:rsid w:val="007339C7"/>
    <w:rsid w:val="00733D08"/>
    <w:rsid w:val="00734B02"/>
    <w:rsid w:val="007365FB"/>
    <w:rsid w:val="00736645"/>
    <w:rsid w:val="00741500"/>
    <w:rsid w:val="00741823"/>
    <w:rsid w:val="00742863"/>
    <w:rsid w:val="00742D05"/>
    <w:rsid w:val="00743D14"/>
    <w:rsid w:val="007440B7"/>
    <w:rsid w:val="00747993"/>
    <w:rsid w:val="007504D6"/>
    <w:rsid w:val="007506BE"/>
    <w:rsid w:val="00750FB1"/>
    <w:rsid w:val="0075108B"/>
    <w:rsid w:val="00751760"/>
    <w:rsid w:val="00751A8A"/>
    <w:rsid w:val="00752ADB"/>
    <w:rsid w:val="00752DC8"/>
    <w:rsid w:val="0075319E"/>
    <w:rsid w:val="0075408C"/>
    <w:rsid w:val="00757B5F"/>
    <w:rsid w:val="00760870"/>
    <w:rsid w:val="00761FEC"/>
    <w:rsid w:val="00762C92"/>
    <w:rsid w:val="007634AD"/>
    <w:rsid w:val="00764253"/>
    <w:rsid w:val="00764D97"/>
    <w:rsid w:val="007660BF"/>
    <w:rsid w:val="0076733F"/>
    <w:rsid w:val="00771572"/>
    <w:rsid w:val="007715C9"/>
    <w:rsid w:val="007726FD"/>
    <w:rsid w:val="007736DF"/>
    <w:rsid w:val="00774175"/>
    <w:rsid w:val="0077487B"/>
    <w:rsid w:val="00774E2C"/>
    <w:rsid w:val="00774E5E"/>
    <w:rsid w:val="00774EDD"/>
    <w:rsid w:val="00775158"/>
    <w:rsid w:val="007753A5"/>
    <w:rsid w:val="0077540F"/>
    <w:rsid w:val="007757EC"/>
    <w:rsid w:val="007775FB"/>
    <w:rsid w:val="00782F8F"/>
    <w:rsid w:val="00783B96"/>
    <w:rsid w:val="00784147"/>
    <w:rsid w:val="00784C69"/>
    <w:rsid w:val="00786DD2"/>
    <w:rsid w:val="00787493"/>
    <w:rsid w:val="00790930"/>
    <w:rsid w:val="00792251"/>
    <w:rsid w:val="00792665"/>
    <w:rsid w:val="007927DD"/>
    <w:rsid w:val="007951F9"/>
    <w:rsid w:val="00796636"/>
    <w:rsid w:val="00796FA5"/>
    <w:rsid w:val="00797CC8"/>
    <w:rsid w:val="007A103E"/>
    <w:rsid w:val="007A2581"/>
    <w:rsid w:val="007A2C2E"/>
    <w:rsid w:val="007A3936"/>
    <w:rsid w:val="007A45CD"/>
    <w:rsid w:val="007A4B98"/>
    <w:rsid w:val="007A5C48"/>
    <w:rsid w:val="007A6863"/>
    <w:rsid w:val="007A6FF9"/>
    <w:rsid w:val="007B037A"/>
    <w:rsid w:val="007B2092"/>
    <w:rsid w:val="007B26CB"/>
    <w:rsid w:val="007B27FC"/>
    <w:rsid w:val="007B5E62"/>
    <w:rsid w:val="007B6089"/>
    <w:rsid w:val="007B74F6"/>
    <w:rsid w:val="007B79CB"/>
    <w:rsid w:val="007B7AF1"/>
    <w:rsid w:val="007B7F2B"/>
    <w:rsid w:val="007C23B6"/>
    <w:rsid w:val="007C726C"/>
    <w:rsid w:val="007C78B4"/>
    <w:rsid w:val="007D0C3A"/>
    <w:rsid w:val="007D0D05"/>
    <w:rsid w:val="007D1872"/>
    <w:rsid w:val="007D212C"/>
    <w:rsid w:val="007D2CCF"/>
    <w:rsid w:val="007D35C1"/>
    <w:rsid w:val="007D3BC9"/>
    <w:rsid w:val="007D3D61"/>
    <w:rsid w:val="007D65AD"/>
    <w:rsid w:val="007E087C"/>
    <w:rsid w:val="007E32B6"/>
    <w:rsid w:val="007E486B"/>
    <w:rsid w:val="007E496D"/>
    <w:rsid w:val="007E56E2"/>
    <w:rsid w:val="007E7D4A"/>
    <w:rsid w:val="007F153F"/>
    <w:rsid w:val="007F1F0A"/>
    <w:rsid w:val="007F2F2D"/>
    <w:rsid w:val="007F3A13"/>
    <w:rsid w:val="007F48ED"/>
    <w:rsid w:val="007F4AB2"/>
    <w:rsid w:val="007F5E3F"/>
    <w:rsid w:val="007F63A1"/>
    <w:rsid w:val="007F772B"/>
    <w:rsid w:val="00800972"/>
    <w:rsid w:val="00801754"/>
    <w:rsid w:val="00802047"/>
    <w:rsid w:val="00804234"/>
    <w:rsid w:val="00804A32"/>
    <w:rsid w:val="00805295"/>
    <w:rsid w:val="00805476"/>
    <w:rsid w:val="0080664C"/>
    <w:rsid w:val="00807F4E"/>
    <w:rsid w:val="00812F45"/>
    <w:rsid w:val="008150FF"/>
    <w:rsid w:val="008201A2"/>
    <w:rsid w:val="00821E5D"/>
    <w:rsid w:val="00824838"/>
    <w:rsid w:val="00824CDF"/>
    <w:rsid w:val="008252ED"/>
    <w:rsid w:val="00825BFF"/>
    <w:rsid w:val="00825C3B"/>
    <w:rsid w:val="00827D60"/>
    <w:rsid w:val="00836853"/>
    <w:rsid w:val="00836FE9"/>
    <w:rsid w:val="00840C53"/>
    <w:rsid w:val="0084106D"/>
    <w:rsid w:val="00841522"/>
    <w:rsid w:val="0084172C"/>
    <w:rsid w:val="00842FB8"/>
    <w:rsid w:val="00843508"/>
    <w:rsid w:val="0084373F"/>
    <w:rsid w:val="00843EA2"/>
    <w:rsid w:val="00843ECF"/>
    <w:rsid w:val="00843F59"/>
    <w:rsid w:val="0084441B"/>
    <w:rsid w:val="00844B05"/>
    <w:rsid w:val="00844DAB"/>
    <w:rsid w:val="00850D0D"/>
    <w:rsid w:val="0085175E"/>
    <w:rsid w:val="00851D85"/>
    <w:rsid w:val="00852BD0"/>
    <w:rsid w:val="00852DAE"/>
    <w:rsid w:val="00852F7B"/>
    <w:rsid w:val="00852FCA"/>
    <w:rsid w:val="00853F5D"/>
    <w:rsid w:val="00856A31"/>
    <w:rsid w:val="008574C3"/>
    <w:rsid w:val="008604B9"/>
    <w:rsid w:val="0087089D"/>
    <w:rsid w:val="00870C85"/>
    <w:rsid w:val="00870D07"/>
    <w:rsid w:val="00870EB2"/>
    <w:rsid w:val="00873003"/>
    <w:rsid w:val="0087349A"/>
    <w:rsid w:val="0087379A"/>
    <w:rsid w:val="00874037"/>
    <w:rsid w:val="008745B8"/>
    <w:rsid w:val="008754D0"/>
    <w:rsid w:val="00877BC5"/>
    <w:rsid w:val="00877C69"/>
    <w:rsid w:val="00877D48"/>
    <w:rsid w:val="00880223"/>
    <w:rsid w:val="00880529"/>
    <w:rsid w:val="0088139F"/>
    <w:rsid w:val="00882D71"/>
    <w:rsid w:val="0088345B"/>
    <w:rsid w:val="00883788"/>
    <w:rsid w:val="0088514A"/>
    <w:rsid w:val="008852D2"/>
    <w:rsid w:val="008908BF"/>
    <w:rsid w:val="008914D5"/>
    <w:rsid w:val="008914DC"/>
    <w:rsid w:val="008A0BD2"/>
    <w:rsid w:val="008A0DF8"/>
    <w:rsid w:val="008A1228"/>
    <w:rsid w:val="008A16A5"/>
    <w:rsid w:val="008A1F59"/>
    <w:rsid w:val="008A2614"/>
    <w:rsid w:val="008A288E"/>
    <w:rsid w:val="008A2AE0"/>
    <w:rsid w:val="008A2EDA"/>
    <w:rsid w:val="008A40DA"/>
    <w:rsid w:val="008A44E5"/>
    <w:rsid w:val="008A4679"/>
    <w:rsid w:val="008A5C57"/>
    <w:rsid w:val="008A6287"/>
    <w:rsid w:val="008A777F"/>
    <w:rsid w:val="008B1975"/>
    <w:rsid w:val="008B3B26"/>
    <w:rsid w:val="008B4AD0"/>
    <w:rsid w:val="008B7ABE"/>
    <w:rsid w:val="008C0629"/>
    <w:rsid w:val="008C1121"/>
    <w:rsid w:val="008C24DC"/>
    <w:rsid w:val="008C276C"/>
    <w:rsid w:val="008C2BF4"/>
    <w:rsid w:val="008C3151"/>
    <w:rsid w:val="008C5BAF"/>
    <w:rsid w:val="008C7797"/>
    <w:rsid w:val="008D0C53"/>
    <w:rsid w:val="008D0EC7"/>
    <w:rsid w:val="008D0EE0"/>
    <w:rsid w:val="008D1C2E"/>
    <w:rsid w:val="008D25A0"/>
    <w:rsid w:val="008D46A8"/>
    <w:rsid w:val="008D5BB1"/>
    <w:rsid w:val="008D6A21"/>
    <w:rsid w:val="008D7A27"/>
    <w:rsid w:val="008E097B"/>
    <w:rsid w:val="008E118B"/>
    <w:rsid w:val="008E14FA"/>
    <w:rsid w:val="008E4498"/>
    <w:rsid w:val="008E4702"/>
    <w:rsid w:val="008E54CB"/>
    <w:rsid w:val="008E5C98"/>
    <w:rsid w:val="008E5DE2"/>
    <w:rsid w:val="008E6244"/>
    <w:rsid w:val="008E631D"/>
    <w:rsid w:val="008E6559"/>
    <w:rsid w:val="008E69AA"/>
    <w:rsid w:val="008F0578"/>
    <w:rsid w:val="008F27E0"/>
    <w:rsid w:val="008F4F1C"/>
    <w:rsid w:val="008F5628"/>
    <w:rsid w:val="008F7720"/>
    <w:rsid w:val="008F7FF0"/>
    <w:rsid w:val="00902199"/>
    <w:rsid w:val="00902B32"/>
    <w:rsid w:val="00903116"/>
    <w:rsid w:val="009046D9"/>
    <w:rsid w:val="00904A57"/>
    <w:rsid w:val="00904F2F"/>
    <w:rsid w:val="00905093"/>
    <w:rsid w:val="00905E59"/>
    <w:rsid w:val="009066FF"/>
    <w:rsid w:val="009069AD"/>
    <w:rsid w:val="0090707A"/>
    <w:rsid w:val="00907CA1"/>
    <w:rsid w:val="00910906"/>
    <w:rsid w:val="00910E64"/>
    <w:rsid w:val="009129F2"/>
    <w:rsid w:val="00913074"/>
    <w:rsid w:val="00920F6F"/>
    <w:rsid w:val="0092257A"/>
    <w:rsid w:val="00922764"/>
    <w:rsid w:val="009249C3"/>
    <w:rsid w:val="00925C1B"/>
    <w:rsid w:val="00926099"/>
    <w:rsid w:val="00927128"/>
    <w:rsid w:val="0092727D"/>
    <w:rsid w:val="009278C1"/>
    <w:rsid w:val="00932233"/>
    <w:rsid w:val="00932377"/>
    <w:rsid w:val="00932B82"/>
    <w:rsid w:val="00932CB5"/>
    <w:rsid w:val="009346E3"/>
    <w:rsid w:val="00935C55"/>
    <w:rsid w:val="009374CA"/>
    <w:rsid w:val="009377A8"/>
    <w:rsid w:val="0094111F"/>
    <w:rsid w:val="00941B85"/>
    <w:rsid w:val="00942FAA"/>
    <w:rsid w:val="00944E7D"/>
    <w:rsid w:val="0094523D"/>
    <w:rsid w:val="00945C30"/>
    <w:rsid w:val="00946750"/>
    <w:rsid w:val="00946DEA"/>
    <w:rsid w:val="009503D7"/>
    <w:rsid w:val="009511C4"/>
    <w:rsid w:val="00951604"/>
    <w:rsid w:val="0095328D"/>
    <w:rsid w:val="00954CFF"/>
    <w:rsid w:val="009560C9"/>
    <w:rsid w:val="009564D0"/>
    <w:rsid w:val="00956914"/>
    <w:rsid w:val="00957CA6"/>
    <w:rsid w:val="00962404"/>
    <w:rsid w:val="00963644"/>
    <w:rsid w:val="00964297"/>
    <w:rsid w:val="0096490E"/>
    <w:rsid w:val="00964ADD"/>
    <w:rsid w:val="00967BCC"/>
    <w:rsid w:val="009702EA"/>
    <w:rsid w:val="00972919"/>
    <w:rsid w:val="009729AF"/>
    <w:rsid w:val="009730B8"/>
    <w:rsid w:val="00975520"/>
    <w:rsid w:val="0097564B"/>
    <w:rsid w:val="00976A63"/>
    <w:rsid w:val="00976BF0"/>
    <w:rsid w:val="00976D1A"/>
    <w:rsid w:val="0097746F"/>
    <w:rsid w:val="009814D6"/>
    <w:rsid w:val="0098169D"/>
    <w:rsid w:val="00981729"/>
    <w:rsid w:val="00984414"/>
    <w:rsid w:val="00984B9C"/>
    <w:rsid w:val="00985DE9"/>
    <w:rsid w:val="0098724B"/>
    <w:rsid w:val="0099028F"/>
    <w:rsid w:val="0099092D"/>
    <w:rsid w:val="00991004"/>
    <w:rsid w:val="009913A8"/>
    <w:rsid w:val="0099200D"/>
    <w:rsid w:val="0099235A"/>
    <w:rsid w:val="009932BC"/>
    <w:rsid w:val="00994307"/>
    <w:rsid w:val="009A006A"/>
    <w:rsid w:val="009A0239"/>
    <w:rsid w:val="009A257E"/>
    <w:rsid w:val="009A2E70"/>
    <w:rsid w:val="009A40EF"/>
    <w:rsid w:val="009A4F49"/>
    <w:rsid w:val="009A5F25"/>
    <w:rsid w:val="009B180F"/>
    <w:rsid w:val="009B2490"/>
    <w:rsid w:val="009B251F"/>
    <w:rsid w:val="009B26FF"/>
    <w:rsid w:val="009B3257"/>
    <w:rsid w:val="009B325D"/>
    <w:rsid w:val="009B44C4"/>
    <w:rsid w:val="009B4CC8"/>
    <w:rsid w:val="009B50E5"/>
    <w:rsid w:val="009B5F00"/>
    <w:rsid w:val="009B64F4"/>
    <w:rsid w:val="009C28A4"/>
    <w:rsid w:val="009C2B8D"/>
    <w:rsid w:val="009C3431"/>
    <w:rsid w:val="009C45AF"/>
    <w:rsid w:val="009C544F"/>
    <w:rsid w:val="009C5989"/>
    <w:rsid w:val="009C6A32"/>
    <w:rsid w:val="009C732F"/>
    <w:rsid w:val="009C7D5F"/>
    <w:rsid w:val="009D08DA"/>
    <w:rsid w:val="009D1BAA"/>
    <w:rsid w:val="009D5BFC"/>
    <w:rsid w:val="009D6708"/>
    <w:rsid w:val="009D68A8"/>
    <w:rsid w:val="009E1DFC"/>
    <w:rsid w:val="009E1EA1"/>
    <w:rsid w:val="009E24E2"/>
    <w:rsid w:val="009E4220"/>
    <w:rsid w:val="009E4BB1"/>
    <w:rsid w:val="009E4E96"/>
    <w:rsid w:val="009E5226"/>
    <w:rsid w:val="009E6670"/>
    <w:rsid w:val="009F167C"/>
    <w:rsid w:val="009F3A11"/>
    <w:rsid w:val="009F3B1C"/>
    <w:rsid w:val="009F51FA"/>
    <w:rsid w:val="009F581E"/>
    <w:rsid w:val="00A01474"/>
    <w:rsid w:val="00A01F22"/>
    <w:rsid w:val="00A03A9B"/>
    <w:rsid w:val="00A063E1"/>
    <w:rsid w:val="00A06860"/>
    <w:rsid w:val="00A0793F"/>
    <w:rsid w:val="00A105EB"/>
    <w:rsid w:val="00A10B78"/>
    <w:rsid w:val="00A11616"/>
    <w:rsid w:val="00A12BAA"/>
    <w:rsid w:val="00A136F5"/>
    <w:rsid w:val="00A13878"/>
    <w:rsid w:val="00A13C15"/>
    <w:rsid w:val="00A172C8"/>
    <w:rsid w:val="00A21484"/>
    <w:rsid w:val="00A22AEC"/>
    <w:rsid w:val="00A230DD"/>
    <w:rsid w:val="00A231E2"/>
    <w:rsid w:val="00A24412"/>
    <w:rsid w:val="00A249C3"/>
    <w:rsid w:val="00A25509"/>
    <w:rsid w:val="00A2550D"/>
    <w:rsid w:val="00A30166"/>
    <w:rsid w:val="00A30CBC"/>
    <w:rsid w:val="00A318BC"/>
    <w:rsid w:val="00A32ED1"/>
    <w:rsid w:val="00A34B77"/>
    <w:rsid w:val="00A34F7F"/>
    <w:rsid w:val="00A35350"/>
    <w:rsid w:val="00A379BB"/>
    <w:rsid w:val="00A37AE2"/>
    <w:rsid w:val="00A4169B"/>
    <w:rsid w:val="00A41D72"/>
    <w:rsid w:val="00A421E3"/>
    <w:rsid w:val="00A42578"/>
    <w:rsid w:val="00A45A3C"/>
    <w:rsid w:val="00A46743"/>
    <w:rsid w:val="00A4687A"/>
    <w:rsid w:val="00A50099"/>
    <w:rsid w:val="00A50D55"/>
    <w:rsid w:val="00A510E9"/>
    <w:rsid w:val="00A51C7E"/>
    <w:rsid w:val="00A5278A"/>
    <w:rsid w:val="00A52FDA"/>
    <w:rsid w:val="00A5382B"/>
    <w:rsid w:val="00A5644E"/>
    <w:rsid w:val="00A60582"/>
    <w:rsid w:val="00A63B2C"/>
    <w:rsid w:val="00A63CBC"/>
    <w:rsid w:val="00A64912"/>
    <w:rsid w:val="00A64DE2"/>
    <w:rsid w:val="00A700BB"/>
    <w:rsid w:val="00A70A74"/>
    <w:rsid w:val="00A7194B"/>
    <w:rsid w:val="00A73704"/>
    <w:rsid w:val="00A742C9"/>
    <w:rsid w:val="00A77878"/>
    <w:rsid w:val="00A77A4A"/>
    <w:rsid w:val="00A810DC"/>
    <w:rsid w:val="00A813E4"/>
    <w:rsid w:val="00A83262"/>
    <w:rsid w:val="00A84A61"/>
    <w:rsid w:val="00A84CA6"/>
    <w:rsid w:val="00A85266"/>
    <w:rsid w:val="00A86ACF"/>
    <w:rsid w:val="00A86CFB"/>
    <w:rsid w:val="00A90AF1"/>
    <w:rsid w:val="00A9151A"/>
    <w:rsid w:val="00A91E45"/>
    <w:rsid w:val="00A9231A"/>
    <w:rsid w:val="00A929F6"/>
    <w:rsid w:val="00A92C81"/>
    <w:rsid w:val="00A92EBD"/>
    <w:rsid w:val="00A938C8"/>
    <w:rsid w:val="00A93C11"/>
    <w:rsid w:val="00A94324"/>
    <w:rsid w:val="00A94897"/>
    <w:rsid w:val="00A95BC7"/>
    <w:rsid w:val="00A9717E"/>
    <w:rsid w:val="00A97CAE"/>
    <w:rsid w:val="00AA0343"/>
    <w:rsid w:val="00AA11F3"/>
    <w:rsid w:val="00AA3959"/>
    <w:rsid w:val="00AA5F5B"/>
    <w:rsid w:val="00AA64E7"/>
    <w:rsid w:val="00AA6F9F"/>
    <w:rsid w:val="00AA73E2"/>
    <w:rsid w:val="00AA78CE"/>
    <w:rsid w:val="00AA7B26"/>
    <w:rsid w:val="00AB0FE1"/>
    <w:rsid w:val="00AB1BD2"/>
    <w:rsid w:val="00AB5026"/>
    <w:rsid w:val="00AB53F1"/>
    <w:rsid w:val="00AB5683"/>
    <w:rsid w:val="00AB572F"/>
    <w:rsid w:val="00AB6164"/>
    <w:rsid w:val="00AB6ED6"/>
    <w:rsid w:val="00AB7242"/>
    <w:rsid w:val="00AC0466"/>
    <w:rsid w:val="00AC2642"/>
    <w:rsid w:val="00AC2BF6"/>
    <w:rsid w:val="00AC3EF1"/>
    <w:rsid w:val="00AC41B5"/>
    <w:rsid w:val="00AC4A27"/>
    <w:rsid w:val="00AC5A77"/>
    <w:rsid w:val="00AC7228"/>
    <w:rsid w:val="00AC767C"/>
    <w:rsid w:val="00AC7D8D"/>
    <w:rsid w:val="00AD2D45"/>
    <w:rsid w:val="00AD3467"/>
    <w:rsid w:val="00AD360C"/>
    <w:rsid w:val="00AD3E56"/>
    <w:rsid w:val="00AD5641"/>
    <w:rsid w:val="00AE133E"/>
    <w:rsid w:val="00AE18A3"/>
    <w:rsid w:val="00AE246C"/>
    <w:rsid w:val="00AE4314"/>
    <w:rsid w:val="00AE6E2E"/>
    <w:rsid w:val="00AE6F0F"/>
    <w:rsid w:val="00AE7DC9"/>
    <w:rsid w:val="00AE7F20"/>
    <w:rsid w:val="00AF0062"/>
    <w:rsid w:val="00AF0FD2"/>
    <w:rsid w:val="00AF14FB"/>
    <w:rsid w:val="00AF2965"/>
    <w:rsid w:val="00AF33DB"/>
    <w:rsid w:val="00AF34F6"/>
    <w:rsid w:val="00AF3EE0"/>
    <w:rsid w:val="00AF3F73"/>
    <w:rsid w:val="00AF5296"/>
    <w:rsid w:val="00AF647F"/>
    <w:rsid w:val="00AF6747"/>
    <w:rsid w:val="00AF6972"/>
    <w:rsid w:val="00B004D7"/>
    <w:rsid w:val="00B02B3F"/>
    <w:rsid w:val="00B032D8"/>
    <w:rsid w:val="00B05D72"/>
    <w:rsid w:val="00B0682A"/>
    <w:rsid w:val="00B0751E"/>
    <w:rsid w:val="00B07C5B"/>
    <w:rsid w:val="00B10D1F"/>
    <w:rsid w:val="00B11838"/>
    <w:rsid w:val="00B122C1"/>
    <w:rsid w:val="00B1286D"/>
    <w:rsid w:val="00B13C02"/>
    <w:rsid w:val="00B1726B"/>
    <w:rsid w:val="00B20990"/>
    <w:rsid w:val="00B23702"/>
    <w:rsid w:val="00B23FAF"/>
    <w:rsid w:val="00B248B9"/>
    <w:rsid w:val="00B259E2"/>
    <w:rsid w:val="00B26401"/>
    <w:rsid w:val="00B27040"/>
    <w:rsid w:val="00B27A6D"/>
    <w:rsid w:val="00B3208D"/>
    <w:rsid w:val="00B32BEF"/>
    <w:rsid w:val="00B33422"/>
    <w:rsid w:val="00B33B3C"/>
    <w:rsid w:val="00B366F8"/>
    <w:rsid w:val="00B37F6D"/>
    <w:rsid w:val="00B37F92"/>
    <w:rsid w:val="00B408DC"/>
    <w:rsid w:val="00B40D74"/>
    <w:rsid w:val="00B412D8"/>
    <w:rsid w:val="00B42649"/>
    <w:rsid w:val="00B42895"/>
    <w:rsid w:val="00B42ED1"/>
    <w:rsid w:val="00B432BE"/>
    <w:rsid w:val="00B440B1"/>
    <w:rsid w:val="00B44656"/>
    <w:rsid w:val="00B463B6"/>
    <w:rsid w:val="00B46467"/>
    <w:rsid w:val="00B505A4"/>
    <w:rsid w:val="00B52663"/>
    <w:rsid w:val="00B552DF"/>
    <w:rsid w:val="00B56376"/>
    <w:rsid w:val="00B56D0D"/>
    <w:rsid w:val="00B56DCB"/>
    <w:rsid w:val="00B579CD"/>
    <w:rsid w:val="00B6081E"/>
    <w:rsid w:val="00B60D9C"/>
    <w:rsid w:val="00B61728"/>
    <w:rsid w:val="00B61D3A"/>
    <w:rsid w:val="00B620C9"/>
    <w:rsid w:val="00B62AA7"/>
    <w:rsid w:val="00B637AC"/>
    <w:rsid w:val="00B664C6"/>
    <w:rsid w:val="00B6676B"/>
    <w:rsid w:val="00B667F4"/>
    <w:rsid w:val="00B67AE3"/>
    <w:rsid w:val="00B67F41"/>
    <w:rsid w:val="00B713B2"/>
    <w:rsid w:val="00B714D8"/>
    <w:rsid w:val="00B721C5"/>
    <w:rsid w:val="00B72FD3"/>
    <w:rsid w:val="00B745C5"/>
    <w:rsid w:val="00B7510C"/>
    <w:rsid w:val="00B756FB"/>
    <w:rsid w:val="00B76907"/>
    <w:rsid w:val="00B770D2"/>
    <w:rsid w:val="00B80768"/>
    <w:rsid w:val="00B80AAB"/>
    <w:rsid w:val="00B84922"/>
    <w:rsid w:val="00B877DA"/>
    <w:rsid w:val="00B90CA6"/>
    <w:rsid w:val="00B9271F"/>
    <w:rsid w:val="00B93516"/>
    <w:rsid w:val="00B9444D"/>
    <w:rsid w:val="00B96776"/>
    <w:rsid w:val="00B96DCA"/>
    <w:rsid w:val="00B973E5"/>
    <w:rsid w:val="00BA109A"/>
    <w:rsid w:val="00BA2A33"/>
    <w:rsid w:val="00BA30A7"/>
    <w:rsid w:val="00BA47A3"/>
    <w:rsid w:val="00BA4C86"/>
    <w:rsid w:val="00BA5026"/>
    <w:rsid w:val="00BA55E4"/>
    <w:rsid w:val="00BA5BD0"/>
    <w:rsid w:val="00BA7325"/>
    <w:rsid w:val="00BA7B5B"/>
    <w:rsid w:val="00BB09FD"/>
    <w:rsid w:val="00BB0CC3"/>
    <w:rsid w:val="00BB1022"/>
    <w:rsid w:val="00BB2B8A"/>
    <w:rsid w:val="00BB2C73"/>
    <w:rsid w:val="00BB2E99"/>
    <w:rsid w:val="00BB414C"/>
    <w:rsid w:val="00BB6E79"/>
    <w:rsid w:val="00BC1298"/>
    <w:rsid w:val="00BC14DD"/>
    <w:rsid w:val="00BC3300"/>
    <w:rsid w:val="00BC4BA5"/>
    <w:rsid w:val="00BC4F0A"/>
    <w:rsid w:val="00BC52B8"/>
    <w:rsid w:val="00BC6883"/>
    <w:rsid w:val="00BC70BC"/>
    <w:rsid w:val="00BC7B4B"/>
    <w:rsid w:val="00BD401E"/>
    <w:rsid w:val="00BD4C60"/>
    <w:rsid w:val="00BD76E0"/>
    <w:rsid w:val="00BE01C6"/>
    <w:rsid w:val="00BE0854"/>
    <w:rsid w:val="00BE0BFE"/>
    <w:rsid w:val="00BE1710"/>
    <w:rsid w:val="00BE1B0F"/>
    <w:rsid w:val="00BE28A3"/>
    <w:rsid w:val="00BE3B15"/>
    <w:rsid w:val="00BE3BE7"/>
    <w:rsid w:val="00BE42C5"/>
    <w:rsid w:val="00BE520D"/>
    <w:rsid w:val="00BE719A"/>
    <w:rsid w:val="00BE720A"/>
    <w:rsid w:val="00BE7BB5"/>
    <w:rsid w:val="00BF05CE"/>
    <w:rsid w:val="00BF0723"/>
    <w:rsid w:val="00BF1395"/>
    <w:rsid w:val="00BF1C3D"/>
    <w:rsid w:val="00BF6650"/>
    <w:rsid w:val="00BF68C7"/>
    <w:rsid w:val="00C01363"/>
    <w:rsid w:val="00C032EF"/>
    <w:rsid w:val="00C04188"/>
    <w:rsid w:val="00C04A2A"/>
    <w:rsid w:val="00C052FA"/>
    <w:rsid w:val="00C05EFF"/>
    <w:rsid w:val="00C067E5"/>
    <w:rsid w:val="00C06F77"/>
    <w:rsid w:val="00C075D0"/>
    <w:rsid w:val="00C11591"/>
    <w:rsid w:val="00C11695"/>
    <w:rsid w:val="00C1379C"/>
    <w:rsid w:val="00C1642C"/>
    <w:rsid w:val="00C164CA"/>
    <w:rsid w:val="00C17362"/>
    <w:rsid w:val="00C20ACB"/>
    <w:rsid w:val="00C20CA0"/>
    <w:rsid w:val="00C22819"/>
    <w:rsid w:val="00C24D46"/>
    <w:rsid w:val="00C26051"/>
    <w:rsid w:val="00C26D45"/>
    <w:rsid w:val="00C309A8"/>
    <w:rsid w:val="00C30DA3"/>
    <w:rsid w:val="00C30E4D"/>
    <w:rsid w:val="00C31038"/>
    <w:rsid w:val="00C32D4F"/>
    <w:rsid w:val="00C32FE4"/>
    <w:rsid w:val="00C34953"/>
    <w:rsid w:val="00C35550"/>
    <w:rsid w:val="00C36D75"/>
    <w:rsid w:val="00C37F7E"/>
    <w:rsid w:val="00C40D95"/>
    <w:rsid w:val="00C4180C"/>
    <w:rsid w:val="00C42BF8"/>
    <w:rsid w:val="00C42DE0"/>
    <w:rsid w:val="00C45EDF"/>
    <w:rsid w:val="00C460AE"/>
    <w:rsid w:val="00C47711"/>
    <w:rsid w:val="00C50043"/>
    <w:rsid w:val="00C5015F"/>
    <w:rsid w:val="00C5067F"/>
    <w:rsid w:val="00C508B8"/>
    <w:rsid w:val="00C50A0F"/>
    <w:rsid w:val="00C50F4A"/>
    <w:rsid w:val="00C5104A"/>
    <w:rsid w:val="00C512A0"/>
    <w:rsid w:val="00C54D71"/>
    <w:rsid w:val="00C601C7"/>
    <w:rsid w:val="00C63754"/>
    <w:rsid w:val="00C65149"/>
    <w:rsid w:val="00C660F8"/>
    <w:rsid w:val="00C7032A"/>
    <w:rsid w:val="00C71233"/>
    <w:rsid w:val="00C716CC"/>
    <w:rsid w:val="00C72D10"/>
    <w:rsid w:val="00C7508F"/>
    <w:rsid w:val="00C7573B"/>
    <w:rsid w:val="00C76124"/>
    <w:rsid w:val="00C76CF3"/>
    <w:rsid w:val="00C77B9B"/>
    <w:rsid w:val="00C8182A"/>
    <w:rsid w:val="00C82139"/>
    <w:rsid w:val="00C83EEB"/>
    <w:rsid w:val="00C85482"/>
    <w:rsid w:val="00C85D55"/>
    <w:rsid w:val="00C90783"/>
    <w:rsid w:val="00C92C97"/>
    <w:rsid w:val="00C93205"/>
    <w:rsid w:val="00C93680"/>
    <w:rsid w:val="00C945DC"/>
    <w:rsid w:val="00CA0BE1"/>
    <w:rsid w:val="00CA15BD"/>
    <w:rsid w:val="00CA2CB4"/>
    <w:rsid w:val="00CA374A"/>
    <w:rsid w:val="00CA4718"/>
    <w:rsid w:val="00CA5E7B"/>
    <w:rsid w:val="00CA687B"/>
    <w:rsid w:val="00CA6D26"/>
    <w:rsid w:val="00CA775E"/>
    <w:rsid w:val="00CA7844"/>
    <w:rsid w:val="00CA79D6"/>
    <w:rsid w:val="00CB58EF"/>
    <w:rsid w:val="00CB62E6"/>
    <w:rsid w:val="00CC36E0"/>
    <w:rsid w:val="00CC3729"/>
    <w:rsid w:val="00CC4A70"/>
    <w:rsid w:val="00CC4C9C"/>
    <w:rsid w:val="00CD148B"/>
    <w:rsid w:val="00CD2D02"/>
    <w:rsid w:val="00CD3B7B"/>
    <w:rsid w:val="00CD46B3"/>
    <w:rsid w:val="00CD554A"/>
    <w:rsid w:val="00CD689F"/>
    <w:rsid w:val="00CD71DC"/>
    <w:rsid w:val="00CD7836"/>
    <w:rsid w:val="00CE0A93"/>
    <w:rsid w:val="00CE0EBC"/>
    <w:rsid w:val="00CE4B54"/>
    <w:rsid w:val="00CE6A78"/>
    <w:rsid w:val="00CE6D55"/>
    <w:rsid w:val="00CE75A8"/>
    <w:rsid w:val="00CF0BB2"/>
    <w:rsid w:val="00CF37FF"/>
    <w:rsid w:val="00CF3A09"/>
    <w:rsid w:val="00CF3F35"/>
    <w:rsid w:val="00CF51CD"/>
    <w:rsid w:val="00CF672D"/>
    <w:rsid w:val="00CF75DC"/>
    <w:rsid w:val="00D00538"/>
    <w:rsid w:val="00D02193"/>
    <w:rsid w:val="00D039B7"/>
    <w:rsid w:val="00D04655"/>
    <w:rsid w:val="00D10493"/>
    <w:rsid w:val="00D11FB8"/>
    <w:rsid w:val="00D12571"/>
    <w:rsid w:val="00D12B0D"/>
    <w:rsid w:val="00D13441"/>
    <w:rsid w:val="00D148D7"/>
    <w:rsid w:val="00D15714"/>
    <w:rsid w:val="00D15951"/>
    <w:rsid w:val="00D15D3A"/>
    <w:rsid w:val="00D15D4D"/>
    <w:rsid w:val="00D15E57"/>
    <w:rsid w:val="00D21221"/>
    <w:rsid w:val="00D23120"/>
    <w:rsid w:val="00D243A3"/>
    <w:rsid w:val="00D25578"/>
    <w:rsid w:val="00D27B0F"/>
    <w:rsid w:val="00D30F0B"/>
    <w:rsid w:val="00D31ACF"/>
    <w:rsid w:val="00D32A14"/>
    <w:rsid w:val="00D32FC0"/>
    <w:rsid w:val="00D33440"/>
    <w:rsid w:val="00D3479B"/>
    <w:rsid w:val="00D403C0"/>
    <w:rsid w:val="00D4112A"/>
    <w:rsid w:val="00D43F3A"/>
    <w:rsid w:val="00D453D2"/>
    <w:rsid w:val="00D52EFE"/>
    <w:rsid w:val="00D550A3"/>
    <w:rsid w:val="00D556F0"/>
    <w:rsid w:val="00D56168"/>
    <w:rsid w:val="00D56A0D"/>
    <w:rsid w:val="00D633C3"/>
    <w:rsid w:val="00D63BEA"/>
    <w:rsid w:val="00D63EEC"/>
    <w:rsid w:val="00D63EF6"/>
    <w:rsid w:val="00D64477"/>
    <w:rsid w:val="00D66518"/>
    <w:rsid w:val="00D70B62"/>
    <w:rsid w:val="00D70DFB"/>
    <w:rsid w:val="00D71AD8"/>
    <w:rsid w:val="00D71EEA"/>
    <w:rsid w:val="00D720CD"/>
    <w:rsid w:val="00D7225B"/>
    <w:rsid w:val="00D728C6"/>
    <w:rsid w:val="00D72B08"/>
    <w:rsid w:val="00D735CD"/>
    <w:rsid w:val="00D73D02"/>
    <w:rsid w:val="00D74455"/>
    <w:rsid w:val="00D75271"/>
    <w:rsid w:val="00D766DF"/>
    <w:rsid w:val="00D7700A"/>
    <w:rsid w:val="00D779C0"/>
    <w:rsid w:val="00D817BF"/>
    <w:rsid w:val="00D826A9"/>
    <w:rsid w:val="00D84704"/>
    <w:rsid w:val="00D85B86"/>
    <w:rsid w:val="00D90128"/>
    <w:rsid w:val="00D90841"/>
    <w:rsid w:val="00D90E96"/>
    <w:rsid w:val="00D93658"/>
    <w:rsid w:val="00D938E6"/>
    <w:rsid w:val="00D947BC"/>
    <w:rsid w:val="00D94E61"/>
    <w:rsid w:val="00D955DE"/>
    <w:rsid w:val="00D96ED8"/>
    <w:rsid w:val="00D9751F"/>
    <w:rsid w:val="00DA09FA"/>
    <w:rsid w:val="00DA2439"/>
    <w:rsid w:val="00DA3572"/>
    <w:rsid w:val="00DA3927"/>
    <w:rsid w:val="00DA3E5D"/>
    <w:rsid w:val="00DA6468"/>
    <w:rsid w:val="00DA65EB"/>
    <w:rsid w:val="00DA693F"/>
    <w:rsid w:val="00DA6F05"/>
    <w:rsid w:val="00DA74A5"/>
    <w:rsid w:val="00DB12F0"/>
    <w:rsid w:val="00DB1813"/>
    <w:rsid w:val="00DB2055"/>
    <w:rsid w:val="00DB3090"/>
    <w:rsid w:val="00DB4CB2"/>
    <w:rsid w:val="00DB64FC"/>
    <w:rsid w:val="00DB773D"/>
    <w:rsid w:val="00DC27EC"/>
    <w:rsid w:val="00DC7280"/>
    <w:rsid w:val="00DC748E"/>
    <w:rsid w:val="00DD2B8B"/>
    <w:rsid w:val="00DD336D"/>
    <w:rsid w:val="00DD5666"/>
    <w:rsid w:val="00DD67FF"/>
    <w:rsid w:val="00DE081B"/>
    <w:rsid w:val="00DE149E"/>
    <w:rsid w:val="00DE324C"/>
    <w:rsid w:val="00DE3E30"/>
    <w:rsid w:val="00DE5913"/>
    <w:rsid w:val="00DE6D8A"/>
    <w:rsid w:val="00DE6F49"/>
    <w:rsid w:val="00DF24AD"/>
    <w:rsid w:val="00DF4A1C"/>
    <w:rsid w:val="00DF53A0"/>
    <w:rsid w:val="00DF5786"/>
    <w:rsid w:val="00DF5FD5"/>
    <w:rsid w:val="00DF6B33"/>
    <w:rsid w:val="00DF744C"/>
    <w:rsid w:val="00E033C8"/>
    <w:rsid w:val="00E034DB"/>
    <w:rsid w:val="00E04976"/>
    <w:rsid w:val="00E05704"/>
    <w:rsid w:val="00E05800"/>
    <w:rsid w:val="00E06C2C"/>
    <w:rsid w:val="00E12F1A"/>
    <w:rsid w:val="00E17A90"/>
    <w:rsid w:val="00E22935"/>
    <w:rsid w:val="00E232F5"/>
    <w:rsid w:val="00E23569"/>
    <w:rsid w:val="00E26DE0"/>
    <w:rsid w:val="00E26FE2"/>
    <w:rsid w:val="00E27BC4"/>
    <w:rsid w:val="00E32877"/>
    <w:rsid w:val="00E34297"/>
    <w:rsid w:val="00E35E7D"/>
    <w:rsid w:val="00E35ECB"/>
    <w:rsid w:val="00E36A21"/>
    <w:rsid w:val="00E40B58"/>
    <w:rsid w:val="00E41749"/>
    <w:rsid w:val="00E418F1"/>
    <w:rsid w:val="00E41FB3"/>
    <w:rsid w:val="00E43ECF"/>
    <w:rsid w:val="00E44EC2"/>
    <w:rsid w:val="00E50593"/>
    <w:rsid w:val="00E53B79"/>
    <w:rsid w:val="00E54292"/>
    <w:rsid w:val="00E542F3"/>
    <w:rsid w:val="00E54557"/>
    <w:rsid w:val="00E546D8"/>
    <w:rsid w:val="00E54FD1"/>
    <w:rsid w:val="00E56021"/>
    <w:rsid w:val="00E60191"/>
    <w:rsid w:val="00E61A3E"/>
    <w:rsid w:val="00E622AE"/>
    <w:rsid w:val="00E62DCF"/>
    <w:rsid w:val="00E631C5"/>
    <w:rsid w:val="00E63D4B"/>
    <w:rsid w:val="00E64139"/>
    <w:rsid w:val="00E65B7C"/>
    <w:rsid w:val="00E65C82"/>
    <w:rsid w:val="00E6701C"/>
    <w:rsid w:val="00E6734E"/>
    <w:rsid w:val="00E67C82"/>
    <w:rsid w:val="00E7238E"/>
    <w:rsid w:val="00E72988"/>
    <w:rsid w:val="00E731E2"/>
    <w:rsid w:val="00E748EE"/>
    <w:rsid w:val="00E74DC7"/>
    <w:rsid w:val="00E763F3"/>
    <w:rsid w:val="00E7798F"/>
    <w:rsid w:val="00E77A07"/>
    <w:rsid w:val="00E8103C"/>
    <w:rsid w:val="00E81DF3"/>
    <w:rsid w:val="00E83A27"/>
    <w:rsid w:val="00E84FAE"/>
    <w:rsid w:val="00E8509F"/>
    <w:rsid w:val="00E87699"/>
    <w:rsid w:val="00E90CF9"/>
    <w:rsid w:val="00E92E27"/>
    <w:rsid w:val="00E92E98"/>
    <w:rsid w:val="00E93C13"/>
    <w:rsid w:val="00E9456D"/>
    <w:rsid w:val="00E9484C"/>
    <w:rsid w:val="00E9586B"/>
    <w:rsid w:val="00E969E3"/>
    <w:rsid w:val="00E97334"/>
    <w:rsid w:val="00E97D71"/>
    <w:rsid w:val="00EA008E"/>
    <w:rsid w:val="00EA36E0"/>
    <w:rsid w:val="00EA7E4E"/>
    <w:rsid w:val="00EB33C8"/>
    <w:rsid w:val="00EB3A99"/>
    <w:rsid w:val="00EB5AEE"/>
    <w:rsid w:val="00EB65F8"/>
    <w:rsid w:val="00EB6750"/>
    <w:rsid w:val="00EC0233"/>
    <w:rsid w:val="00EC2074"/>
    <w:rsid w:val="00EC4FE9"/>
    <w:rsid w:val="00EC57AF"/>
    <w:rsid w:val="00EC5A78"/>
    <w:rsid w:val="00EC5F83"/>
    <w:rsid w:val="00EC670F"/>
    <w:rsid w:val="00ED053B"/>
    <w:rsid w:val="00ED1F7E"/>
    <w:rsid w:val="00ED239A"/>
    <w:rsid w:val="00ED4928"/>
    <w:rsid w:val="00ED57D7"/>
    <w:rsid w:val="00ED5B2D"/>
    <w:rsid w:val="00ED5DB3"/>
    <w:rsid w:val="00EE092F"/>
    <w:rsid w:val="00EE14B8"/>
    <w:rsid w:val="00EE3AFC"/>
    <w:rsid w:val="00EE3FFE"/>
    <w:rsid w:val="00EE4071"/>
    <w:rsid w:val="00EE57E8"/>
    <w:rsid w:val="00EE6190"/>
    <w:rsid w:val="00EE6A54"/>
    <w:rsid w:val="00EE7CCC"/>
    <w:rsid w:val="00EE7E17"/>
    <w:rsid w:val="00EE7F8E"/>
    <w:rsid w:val="00EF0A3A"/>
    <w:rsid w:val="00EF0C9E"/>
    <w:rsid w:val="00EF2E3A"/>
    <w:rsid w:val="00EF4ACB"/>
    <w:rsid w:val="00EF5E6C"/>
    <w:rsid w:val="00EF6402"/>
    <w:rsid w:val="00EF7451"/>
    <w:rsid w:val="00EF770B"/>
    <w:rsid w:val="00F0078A"/>
    <w:rsid w:val="00F00C7F"/>
    <w:rsid w:val="00F03B13"/>
    <w:rsid w:val="00F03DDE"/>
    <w:rsid w:val="00F047E2"/>
    <w:rsid w:val="00F04D57"/>
    <w:rsid w:val="00F057D8"/>
    <w:rsid w:val="00F078DC"/>
    <w:rsid w:val="00F10237"/>
    <w:rsid w:val="00F1151A"/>
    <w:rsid w:val="00F13827"/>
    <w:rsid w:val="00F13B63"/>
    <w:rsid w:val="00F13E86"/>
    <w:rsid w:val="00F152BD"/>
    <w:rsid w:val="00F15A1C"/>
    <w:rsid w:val="00F16289"/>
    <w:rsid w:val="00F20B52"/>
    <w:rsid w:val="00F21FDA"/>
    <w:rsid w:val="00F224A8"/>
    <w:rsid w:val="00F2317B"/>
    <w:rsid w:val="00F23341"/>
    <w:rsid w:val="00F23D5F"/>
    <w:rsid w:val="00F24202"/>
    <w:rsid w:val="00F30C80"/>
    <w:rsid w:val="00F30E8A"/>
    <w:rsid w:val="00F3275C"/>
    <w:rsid w:val="00F32FCB"/>
    <w:rsid w:val="00F33523"/>
    <w:rsid w:val="00F335C6"/>
    <w:rsid w:val="00F34831"/>
    <w:rsid w:val="00F34DF0"/>
    <w:rsid w:val="00F358BE"/>
    <w:rsid w:val="00F36E05"/>
    <w:rsid w:val="00F40F39"/>
    <w:rsid w:val="00F4277D"/>
    <w:rsid w:val="00F445FE"/>
    <w:rsid w:val="00F51AC5"/>
    <w:rsid w:val="00F52A9F"/>
    <w:rsid w:val="00F5366C"/>
    <w:rsid w:val="00F538FB"/>
    <w:rsid w:val="00F546D9"/>
    <w:rsid w:val="00F55F20"/>
    <w:rsid w:val="00F5705D"/>
    <w:rsid w:val="00F575C1"/>
    <w:rsid w:val="00F61958"/>
    <w:rsid w:val="00F61F30"/>
    <w:rsid w:val="00F6301D"/>
    <w:rsid w:val="00F677A9"/>
    <w:rsid w:val="00F67A8B"/>
    <w:rsid w:val="00F701A7"/>
    <w:rsid w:val="00F71AAC"/>
    <w:rsid w:val="00F71D31"/>
    <w:rsid w:val="00F71F00"/>
    <w:rsid w:val="00F7321C"/>
    <w:rsid w:val="00F73CE1"/>
    <w:rsid w:val="00F74AE1"/>
    <w:rsid w:val="00F754D9"/>
    <w:rsid w:val="00F75E5C"/>
    <w:rsid w:val="00F7716C"/>
    <w:rsid w:val="00F8107B"/>
    <w:rsid w:val="00F8121C"/>
    <w:rsid w:val="00F81690"/>
    <w:rsid w:val="00F82272"/>
    <w:rsid w:val="00F8281B"/>
    <w:rsid w:val="00F8362F"/>
    <w:rsid w:val="00F84CF5"/>
    <w:rsid w:val="00F8612E"/>
    <w:rsid w:val="00F91C41"/>
    <w:rsid w:val="00F92654"/>
    <w:rsid w:val="00F930BD"/>
    <w:rsid w:val="00F94583"/>
    <w:rsid w:val="00F954D4"/>
    <w:rsid w:val="00F9683F"/>
    <w:rsid w:val="00F97C13"/>
    <w:rsid w:val="00FA1D1E"/>
    <w:rsid w:val="00FA25A5"/>
    <w:rsid w:val="00FA3082"/>
    <w:rsid w:val="00FA3162"/>
    <w:rsid w:val="00FA3E81"/>
    <w:rsid w:val="00FA420B"/>
    <w:rsid w:val="00FA4561"/>
    <w:rsid w:val="00FA5C3E"/>
    <w:rsid w:val="00FA79B3"/>
    <w:rsid w:val="00FA7C11"/>
    <w:rsid w:val="00FB2D78"/>
    <w:rsid w:val="00FB42CC"/>
    <w:rsid w:val="00FB6A9A"/>
    <w:rsid w:val="00FB6AEE"/>
    <w:rsid w:val="00FB6FF0"/>
    <w:rsid w:val="00FC0BB7"/>
    <w:rsid w:val="00FC1A2F"/>
    <w:rsid w:val="00FC2E53"/>
    <w:rsid w:val="00FC3EAC"/>
    <w:rsid w:val="00FC6230"/>
    <w:rsid w:val="00FD3DC9"/>
    <w:rsid w:val="00FD680A"/>
    <w:rsid w:val="00FE0800"/>
    <w:rsid w:val="00FE3321"/>
    <w:rsid w:val="00FE60A2"/>
    <w:rsid w:val="00FF07A0"/>
    <w:rsid w:val="00FF0A44"/>
    <w:rsid w:val="00FF1096"/>
    <w:rsid w:val="00FF39DE"/>
    <w:rsid w:val="00FF40A6"/>
    <w:rsid w:val="00FF44B8"/>
    <w:rsid w:val="00FF4C6E"/>
    <w:rsid w:val="00FF5F81"/>
    <w:rsid w:val="00FF6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310B89"/>
  <w15:docId w15:val="{2AD16ABB-13A6-4930-A70B-99DFEC8E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3565F"/>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304F1D"/>
    <w:rPr>
      <w:rFonts w:eastAsia="Times New Roman" w:cs="Times New Roman"/>
      <w:sz w:val="18"/>
      <w:lang w:eastAsia="en-AU"/>
    </w:rPr>
  </w:style>
  <w:style w:type="character" w:styleId="CommentReference">
    <w:name w:val="annotation reference"/>
    <w:basedOn w:val="DefaultParagraphFont"/>
    <w:uiPriority w:val="99"/>
    <w:semiHidden/>
    <w:unhideWhenUsed/>
    <w:rsid w:val="00B756FB"/>
    <w:rPr>
      <w:sz w:val="16"/>
      <w:szCs w:val="16"/>
    </w:rPr>
  </w:style>
  <w:style w:type="paragraph" w:styleId="CommentText">
    <w:name w:val="annotation text"/>
    <w:basedOn w:val="Normal"/>
    <w:link w:val="CommentTextChar"/>
    <w:uiPriority w:val="99"/>
    <w:unhideWhenUsed/>
    <w:rsid w:val="00B756FB"/>
    <w:pPr>
      <w:spacing w:line="240" w:lineRule="auto"/>
    </w:pPr>
    <w:rPr>
      <w:sz w:val="20"/>
    </w:rPr>
  </w:style>
  <w:style w:type="character" w:customStyle="1" w:styleId="CommentTextChar">
    <w:name w:val="Comment Text Char"/>
    <w:basedOn w:val="DefaultParagraphFont"/>
    <w:link w:val="CommentText"/>
    <w:uiPriority w:val="99"/>
    <w:rsid w:val="00B756FB"/>
  </w:style>
  <w:style w:type="paragraph" w:styleId="CommentSubject">
    <w:name w:val="annotation subject"/>
    <w:basedOn w:val="CommentText"/>
    <w:next w:val="CommentText"/>
    <w:link w:val="CommentSubjectChar"/>
    <w:uiPriority w:val="99"/>
    <w:semiHidden/>
    <w:unhideWhenUsed/>
    <w:rsid w:val="00B756FB"/>
    <w:rPr>
      <w:b/>
      <w:bCs/>
    </w:rPr>
  </w:style>
  <w:style w:type="character" w:customStyle="1" w:styleId="CommentSubjectChar">
    <w:name w:val="Comment Subject Char"/>
    <w:basedOn w:val="CommentTextChar"/>
    <w:link w:val="CommentSubject"/>
    <w:uiPriority w:val="99"/>
    <w:semiHidden/>
    <w:rsid w:val="00B756FB"/>
    <w:rPr>
      <w:b/>
      <w:bCs/>
    </w:rPr>
  </w:style>
  <w:style w:type="character" w:styleId="Hyperlink">
    <w:name w:val="Hyperlink"/>
    <w:basedOn w:val="DefaultParagraphFont"/>
    <w:uiPriority w:val="99"/>
    <w:unhideWhenUsed/>
    <w:rsid w:val="00083BC0"/>
    <w:rPr>
      <w:color w:val="0000FF" w:themeColor="hyperlink"/>
      <w:u w:val="single"/>
    </w:rPr>
  </w:style>
  <w:style w:type="character" w:styleId="UnresolvedMention">
    <w:name w:val="Unresolved Mention"/>
    <w:basedOn w:val="DefaultParagraphFont"/>
    <w:uiPriority w:val="99"/>
    <w:semiHidden/>
    <w:unhideWhenUsed/>
    <w:rsid w:val="00083BC0"/>
    <w:rPr>
      <w:color w:val="605E5C"/>
      <w:shd w:val="clear" w:color="auto" w:fill="E1DFDD"/>
    </w:rPr>
  </w:style>
  <w:style w:type="paragraph" w:customStyle="1" w:styleId="nDrafterComment">
    <w:name w:val="n_Drafter_Comment"/>
    <w:basedOn w:val="Normal"/>
    <w:qFormat/>
    <w:rsid w:val="00D63BEA"/>
    <w:pPr>
      <w:spacing w:before="80"/>
    </w:pPr>
    <w:rPr>
      <w:rFonts w:ascii="Arial" w:eastAsia="Calibri" w:hAnsi="Arial" w:cs="Times New Roman"/>
      <w:color w:val="7030A0"/>
    </w:rPr>
  </w:style>
  <w:style w:type="paragraph" w:customStyle="1" w:styleId="TableColHead">
    <w:name w:val="TableColHead"/>
    <w:basedOn w:val="Normal"/>
    <w:rsid w:val="00FB42CC"/>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8D0C53"/>
    <w:pPr>
      <w:spacing w:before="60" w:after="60" w:line="240" w:lineRule="exact"/>
    </w:pPr>
    <w:rPr>
      <w:rFonts w:eastAsia="Times New Roman" w:cs="Times New Roman"/>
      <w:szCs w:val="24"/>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rsid w:val="00804A32"/>
    <w:pPr>
      <w:ind w:left="720"/>
      <w:contextualSpacing/>
    </w:pPr>
  </w:style>
  <w:style w:type="paragraph" w:customStyle="1" w:styleId="p1">
    <w:name w:val="p1"/>
    <w:basedOn w:val="Normal"/>
    <w:rsid w:val="00A34F7F"/>
    <w:pPr>
      <w:spacing w:before="100" w:beforeAutospacing="1" w:after="100" w:afterAutospacing="1" w:line="240" w:lineRule="auto"/>
    </w:pPr>
    <w:rPr>
      <w:rFonts w:eastAsia="Times New Roman" w:cs="Times New Roman"/>
      <w:sz w:val="24"/>
      <w:szCs w:val="24"/>
      <w:lang w:eastAsia="en-AU"/>
    </w:rPr>
  </w:style>
  <w:style w:type="paragraph" w:customStyle="1" w:styleId="definition0">
    <w:name w:val="definition"/>
    <w:basedOn w:val="Normal"/>
    <w:rsid w:val="006C2B77"/>
    <w:pPr>
      <w:spacing w:before="80" w:line="260" w:lineRule="exact"/>
      <w:ind w:left="964"/>
      <w:jc w:val="both"/>
    </w:pPr>
    <w:rPr>
      <w:rFonts w:eastAsia="Times New Roman" w:cs="Times New Roman"/>
      <w:sz w:val="24"/>
      <w:szCs w:val="24"/>
    </w:rPr>
  </w:style>
  <w:style w:type="paragraph" w:customStyle="1" w:styleId="Dd">
    <w:name w:val="Dd"/>
    <w:basedOn w:val="Item"/>
    <w:qFormat/>
    <w:rsid w:val="009C7D5F"/>
  </w:style>
  <w:style w:type="paragraph" w:styleId="Revision">
    <w:name w:val="Revision"/>
    <w:hidden/>
    <w:uiPriority w:val="99"/>
    <w:semiHidden/>
    <w:rsid w:val="00070633"/>
    <w:rPr>
      <w:sz w:val="22"/>
    </w:rPr>
  </w:style>
  <w:style w:type="paragraph" w:customStyle="1" w:styleId="nnd">
    <w:name w:val="nnd"/>
    <w:basedOn w:val="Definition"/>
    <w:rsid w:val="00B579CD"/>
  </w:style>
  <w:style w:type="character" w:styleId="FollowedHyperlink">
    <w:name w:val="FollowedHyperlink"/>
    <w:basedOn w:val="DefaultParagraphFont"/>
    <w:uiPriority w:val="99"/>
    <w:semiHidden/>
    <w:unhideWhenUsed/>
    <w:rsid w:val="009B44C4"/>
    <w:rPr>
      <w:color w:val="800080" w:themeColor="followedHyperlink"/>
      <w:u w:val="single"/>
    </w:rPr>
  </w:style>
  <w:style w:type="paragraph" w:styleId="NormalWeb">
    <w:name w:val="Normal (Web)"/>
    <w:basedOn w:val="Normal"/>
    <w:uiPriority w:val="99"/>
    <w:unhideWhenUsed/>
    <w:rsid w:val="00094A79"/>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locked/>
    <w:rsid w:val="00094A79"/>
    <w:rPr>
      <w:sz w:val="22"/>
    </w:rPr>
  </w:style>
  <w:style w:type="paragraph" w:customStyle="1" w:styleId="zr1">
    <w:name w:val="zr1"/>
    <w:basedOn w:val="Normal"/>
    <w:rsid w:val="0087089D"/>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AE6F0F"/>
    <w:pPr>
      <w:spacing w:before="100" w:beforeAutospacing="1" w:after="100" w:afterAutospacing="1" w:line="240" w:lineRule="auto"/>
    </w:pPr>
    <w:rPr>
      <w:rFonts w:eastAsia="Times New Roman" w:cs="Times New Roman"/>
      <w:sz w:val="24"/>
      <w:szCs w:val="24"/>
      <w:lang w:eastAsia="en-AU"/>
    </w:rPr>
  </w:style>
  <w:style w:type="character" w:styleId="PlaceholderText">
    <w:name w:val="Placeholder Text"/>
    <w:basedOn w:val="DefaultParagraphFont"/>
    <w:uiPriority w:val="99"/>
    <w:semiHidden/>
    <w:rsid w:val="0044118A"/>
    <w:rPr>
      <w:color w:val="808080"/>
    </w:rPr>
  </w:style>
  <w:style w:type="paragraph" w:styleId="NoteHeading">
    <w:name w:val="Note Heading"/>
    <w:basedOn w:val="Normal"/>
    <w:next w:val="Normal"/>
    <w:link w:val="NoteHeadingChar"/>
    <w:uiPriority w:val="99"/>
    <w:unhideWhenUsed/>
    <w:rsid w:val="00363F11"/>
    <w:pPr>
      <w:spacing w:line="240" w:lineRule="auto"/>
    </w:pPr>
  </w:style>
  <w:style w:type="character" w:customStyle="1" w:styleId="NoteHeadingChar">
    <w:name w:val="Note Heading Char"/>
    <w:basedOn w:val="DefaultParagraphFont"/>
    <w:link w:val="NoteHeading"/>
    <w:uiPriority w:val="99"/>
    <w:rsid w:val="00363F11"/>
    <w:rPr>
      <w:sz w:val="22"/>
    </w:rPr>
  </w:style>
  <w:style w:type="paragraph" w:styleId="BodyText">
    <w:name w:val="Body Text"/>
    <w:basedOn w:val="Normal"/>
    <w:link w:val="BodyTextChar"/>
    <w:uiPriority w:val="99"/>
    <w:unhideWhenUsed/>
    <w:rsid w:val="00A742C9"/>
    <w:pPr>
      <w:spacing w:after="120"/>
    </w:pPr>
  </w:style>
  <w:style w:type="character" w:customStyle="1" w:styleId="BodyTextChar">
    <w:name w:val="Body Text Char"/>
    <w:basedOn w:val="DefaultParagraphFont"/>
    <w:link w:val="BodyText"/>
    <w:uiPriority w:val="99"/>
    <w:rsid w:val="00A742C9"/>
    <w:rPr>
      <w:sz w:val="22"/>
    </w:rPr>
  </w:style>
  <w:style w:type="paragraph" w:customStyle="1" w:styleId="ActHead60">
    <w:name w:val="ActHead6"/>
    <w:basedOn w:val="ActHead6"/>
    <w:rsid w:val="00A77A4A"/>
    <w:pPr>
      <w:pageBreakBefore/>
    </w:pPr>
  </w:style>
  <w:style w:type="paragraph" w:customStyle="1" w:styleId="Tablle">
    <w:name w:val="Tablle"/>
    <w:basedOn w:val="Tablea"/>
    <w:rsid w:val="007174EA"/>
    <w:pPr>
      <w:ind w:left="0" w:firstLine="0"/>
    </w:pPr>
  </w:style>
  <w:style w:type="paragraph" w:customStyle="1" w:styleId="Bd">
    <w:name w:val="Bd"/>
    <w:basedOn w:val="paragraphsub"/>
    <w:rsid w:val="007174EA"/>
  </w:style>
  <w:style w:type="paragraph" w:customStyle="1" w:styleId="Trt">
    <w:name w:val="Trt"/>
    <w:basedOn w:val="notedraft"/>
    <w:rsid w:val="00F9683F"/>
  </w:style>
  <w:style w:type="paragraph" w:customStyle="1" w:styleId="ClassificationDLMheader">
    <w:name w:val="Classification DLM: header"/>
    <w:basedOn w:val="Normal"/>
    <w:uiPriority w:val="20"/>
    <w:semiHidden/>
    <w:rsid w:val="003D1A8C"/>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DLMfooter">
    <w:name w:val="Classification DLM: footer"/>
    <w:basedOn w:val="Normal"/>
    <w:uiPriority w:val="20"/>
    <w:semiHidden/>
    <w:rsid w:val="003D1A8C"/>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securityheader">
    <w:name w:val="Classification security: header"/>
    <w:basedOn w:val="Normal"/>
    <w:uiPriority w:val="20"/>
    <w:semiHidden/>
    <w:rsid w:val="003D1A8C"/>
    <w:pPr>
      <w:spacing w:line="280" w:lineRule="atLeast"/>
      <w:jc w:val="center"/>
    </w:pPr>
    <w:rPr>
      <w:rFonts w:ascii="Arial" w:eastAsia="Times New Roman" w:hAnsi="Arial" w:cs="Arial"/>
      <w:b/>
      <w:caps/>
      <w:color w:val="FF0000"/>
      <w:szCs w:val="22"/>
      <w:lang w:eastAsia="en-AU"/>
    </w:rPr>
  </w:style>
  <w:style w:type="paragraph" w:customStyle="1" w:styleId="Classificationsecurityfooter">
    <w:name w:val="Classification security: footer"/>
    <w:basedOn w:val="Classificationsecurityheader"/>
    <w:uiPriority w:val="20"/>
    <w:semiHidden/>
    <w:rsid w:val="003D1A8C"/>
  </w:style>
  <w:style w:type="paragraph" w:customStyle="1" w:styleId="Classificationlegalbody">
    <w:name w:val="Classification legal: body"/>
    <w:basedOn w:val="Normal"/>
    <w:next w:val="Normal"/>
    <w:uiPriority w:val="20"/>
    <w:semiHidden/>
    <w:rsid w:val="003D1A8C"/>
    <w:pPr>
      <w:spacing w:before="420" w:line="280" w:lineRule="atLeast"/>
      <w:jc w:val="center"/>
    </w:pPr>
    <w:rPr>
      <w:rFonts w:ascii="Arial" w:eastAsia="Times New Roman" w:hAnsi="Arial" w:cs="Arial"/>
      <w:caps/>
      <w:sz w:val="20"/>
      <w:szCs w:val="22"/>
      <w:lang w:eastAsia="en-AU"/>
    </w:rPr>
  </w:style>
  <w:style w:type="paragraph" w:customStyle="1" w:styleId="Classificationlegalheader">
    <w:name w:val="Classification legal: header"/>
    <w:basedOn w:val="Normal"/>
    <w:uiPriority w:val="20"/>
    <w:semiHidden/>
    <w:rsid w:val="003D1A8C"/>
    <w:pPr>
      <w:spacing w:line="200" w:lineRule="atLeast"/>
      <w:jc w:val="center"/>
    </w:pPr>
    <w:rPr>
      <w:rFonts w:ascii="Arial" w:eastAsia="Times New Roman" w:hAnsi="Arial" w:cs="Arial"/>
      <w:caps/>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6278">
      <w:bodyDiv w:val="1"/>
      <w:marLeft w:val="0"/>
      <w:marRight w:val="0"/>
      <w:marTop w:val="0"/>
      <w:marBottom w:val="0"/>
      <w:divBdr>
        <w:top w:val="none" w:sz="0" w:space="0" w:color="auto"/>
        <w:left w:val="none" w:sz="0" w:space="0" w:color="auto"/>
        <w:bottom w:val="none" w:sz="0" w:space="0" w:color="auto"/>
        <w:right w:val="none" w:sz="0" w:space="0" w:color="auto"/>
      </w:divBdr>
    </w:div>
    <w:div w:id="83887345">
      <w:bodyDiv w:val="1"/>
      <w:marLeft w:val="0"/>
      <w:marRight w:val="0"/>
      <w:marTop w:val="0"/>
      <w:marBottom w:val="0"/>
      <w:divBdr>
        <w:top w:val="none" w:sz="0" w:space="0" w:color="auto"/>
        <w:left w:val="none" w:sz="0" w:space="0" w:color="auto"/>
        <w:bottom w:val="none" w:sz="0" w:space="0" w:color="auto"/>
        <w:right w:val="none" w:sz="0" w:space="0" w:color="auto"/>
      </w:divBdr>
    </w:div>
    <w:div w:id="109319362">
      <w:bodyDiv w:val="1"/>
      <w:marLeft w:val="0"/>
      <w:marRight w:val="0"/>
      <w:marTop w:val="0"/>
      <w:marBottom w:val="0"/>
      <w:divBdr>
        <w:top w:val="none" w:sz="0" w:space="0" w:color="auto"/>
        <w:left w:val="none" w:sz="0" w:space="0" w:color="auto"/>
        <w:bottom w:val="none" w:sz="0" w:space="0" w:color="auto"/>
        <w:right w:val="none" w:sz="0" w:space="0" w:color="auto"/>
      </w:divBdr>
    </w:div>
    <w:div w:id="297876799">
      <w:bodyDiv w:val="1"/>
      <w:marLeft w:val="0"/>
      <w:marRight w:val="0"/>
      <w:marTop w:val="0"/>
      <w:marBottom w:val="0"/>
      <w:divBdr>
        <w:top w:val="none" w:sz="0" w:space="0" w:color="auto"/>
        <w:left w:val="none" w:sz="0" w:space="0" w:color="auto"/>
        <w:bottom w:val="none" w:sz="0" w:space="0" w:color="auto"/>
        <w:right w:val="none" w:sz="0" w:space="0" w:color="auto"/>
      </w:divBdr>
    </w:div>
    <w:div w:id="355236112">
      <w:bodyDiv w:val="1"/>
      <w:marLeft w:val="0"/>
      <w:marRight w:val="0"/>
      <w:marTop w:val="0"/>
      <w:marBottom w:val="0"/>
      <w:divBdr>
        <w:top w:val="none" w:sz="0" w:space="0" w:color="auto"/>
        <w:left w:val="none" w:sz="0" w:space="0" w:color="auto"/>
        <w:bottom w:val="none" w:sz="0" w:space="0" w:color="auto"/>
        <w:right w:val="none" w:sz="0" w:space="0" w:color="auto"/>
      </w:divBdr>
    </w:div>
    <w:div w:id="371080518">
      <w:bodyDiv w:val="1"/>
      <w:marLeft w:val="0"/>
      <w:marRight w:val="0"/>
      <w:marTop w:val="0"/>
      <w:marBottom w:val="0"/>
      <w:divBdr>
        <w:top w:val="none" w:sz="0" w:space="0" w:color="auto"/>
        <w:left w:val="none" w:sz="0" w:space="0" w:color="auto"/>
        <w:bottom w:val="none" w:sz="0" w:space="0" w:color="auto"/>
        <w:right w:val="none" w:sz="0" w:space="0" w:color="auto"/>
      </w:divBdr>
    </w:div>
    <w:div w:id="494417629">
      <w:bodyDiv w:val="1"/>
      <w:marLeft w:val="0"/>
      <w:marRight w:val="0"/>
      <w:marTop w:val="0"/>
      <w:marBottom w:val="0"/>
      <w:divBdr>
        <w:top w:val="none" w:sz="0" w:space="0" w:color="auto"/>
        <w:left w:val="none" w:sz="0" w:space="0" w:color="auto"/>
        <w:bottom w:val="none" w:sz="0" w:space="0" w:color="auto"/>
        <w:right w:val="none" w:sz="0" w:space="0" w:color="auto"/>
      </w:divBdr>
    </w:div>
    <w:div w:id="504974407">
      <w:bodyDiv w:val="1"/>
      <w:marLeft w:val="0"/>
      <w:marRight w:val="0"/>
      <w:marTop w:val="0"/>
      <w:marBottom w:val="0"/>
      <w:divBdr>
        <w:top w:val="none" w:sz="0" w:space="0" w:color="auto"/>
        <w:left w:val="none" w:sz="0" w:space="0" w:color="auto"/>
        <w:bottom w:val="none" w:sz="0" w:space="0" w:color="auto"/>
        <w:right w:val="none" w:sz="0" w:space="0" w:color="auto"/>
      </w:divBdr>
    </w:div>
    <w:div w:id="560136836">
      <w:bodyDiv w:val="1"/>
      <w:marLeft w:val="0"/>
      <w:marRight w:val="0"/>
      <w:marTop w:val="0"/>
      <w:marBottom w:val="0"/>
      <w:divBdr>
        <w:top w:val="none" w:sz="0" w:space="0" w:color="auto"/>
        <w:left w:val="none" w:sz="0" w:space="0" w:color="auto"/>
        <w:bottom w:val="none" w:sz="0" w:space="0" w:color="auto"/>
        <w:right w:val="none" w:sz="0" w:space="0" w:color="auto"/>
      </w:divBdr>
    </w:div>
    <w:div w:id="562566337">
      <w:bodyDiv w:val="1"/>
      <w:marLeft w:val="0"/>
      <w:marRight w:val="0"/>
      <w:marTop w:val="0"/>
      <w:marBottom w:val="0"/>
      <w:divBdr>
        <w:top w:val="none" w:sz="0" w:space="0" w:color="auto"/>
        <w:left w:val="none" w:sz="0" w:space="0" w:color="auto"/>
        <w:bottom w:val="none" w:sz="0" w:space="0" w:color="auto"/>
        <w:right w:val="none" w:sz="0" w:space="0" w:color="auto"/>
      </w:divBdr>
    </w:div>
    <w:div w:id="578370017">
      <w:bodyDiv w:val="1"/>
      <w:marLeft w:val="0"/>
      <w:marRight w:val="0"/>
      <w:marTop w:val="0"/>
      <w:marBottom w:val="0"/>
      <w:divBdr>
        <w:top w:val="none" w:sz="0" w:space="0" w:color="auto"/>
        <w:left w:val="none" w:sz="0" w:space="0" w:color="auto"/>
        <w:bottom w:val="none" w:sz="0" w:space="0" w:color="auto"/>
        <w:right w:val="none" w:sz="0" w:space="0" w:color="auto"/>
      </w:divBdr>
    </w:div>
    <w:div w:id="650795674">
      <w:bodyDiv w:val="1"/>
      <w:marLeft w:val="0"/>
      <w:marRight w:val="0"/>
      <w:marTop w:val="0"/>
      <w:marBottom w:val="0"/>
      <w:divBdr>
        <w:top w:val="none" w:sz="0" w:space="0" w:color="auto"/>
        <w:left w:val="none" w:sz="0" w:space="0" w:color="auto"/>
        <w:bottom w:val="none" w:sz="0" w:space="0" w:color="auto"/>
        <w:right w:val="none" w:sz="0" w:space="0" w:color="auto"/>
      </w:divBdr>
    </w:div>
    <w:div w:id="678435393">
      <w:bodyDiv w:val="1"/>
      <w:marLeft w:val="0"/>
      <w:marRight w:val="0"/>
      <w:marTop w:val="0"/>
      <w:marBottom w:val="0"/>
      <w:divBdr>
        <w:top w:val="none" w:sz="0" w:space="0" w:color="auto"/>
        <w:left w:val="none" w:sz="0" w:space="0" w:color="auto"/>
        <w:bottom w:val="none" w:sz="0" w:space="0" w:color="auto"/>
        <w:right w:val="none" w:sz="0" w:space="0" w:color="auto"/>
      </w:divBdr>
    </w:div>
    <w:div w:id="746028644">
      <w:bodyDiv w:val="1"/>
      <w:marLeft w:val="0"/>
      <w:marRight w:val="0"/>
      <w:marTop w:val="0"/>
      <w:marBottom w:val="0"/>
      <w:divBdr>
        <w:top w:val="none" w:sz="0" w:space="0" w:color="auto"/>
        <w:left w:val="none" w:sz="0" w:space="0" w:color="auto"/>
        <w:bottom w:val="none" w:sz="0" w:space="0" w:color="auto"/>
        <w:right w:val="none" w:sz="0" w:space="0" w:color="auto"/>
      </w:divBdr>
    </w:div>
    <w:div w:id="747968681">
      <w:bodyDiv w:val="1"/>
      <w:marLeft w:val="0"/>
      <w:marRight w:val="0"/>
      <w:marTop w:val="0"/>
      <w:marBottom w:val="0"/>
      <w:divBdr>
        <w:top w:val="none" w:sz="0" w:space="0" w:color="auto"/>
        <w:left w:val="none" w:sz="0" w:space="0" w:color="auto"/>
        <w:bottom w:val="none" w:sz="0" w:space="0" w:color="auto"/>
        <w:right w:val="none" w:sz="0" w:space="0" w:color="auto"/>
      </w:divBdr>
    </w:div>
    <w:div w:id="780339319">
      <w:bodyDiv w:val="1"/>
      <w:marLeft w:val="0"/>
      <w:marRight w:val="0"/>
      <w:marTop w:val="0"/>
      <w:marBottom w:val="0"/>
      <w:divBdr>
        <w:top w:val="none" w:sz="0" w:space="0" w:color="auto"/>
        <w:left w:val="none" w:sz="0" w:space="0" w:color="auto"/>
        <w:bottom w:val="none" w:sz="0" w:space="0" w:color="auto"/>
        <w:right w:val="none" w:sz="0" w:space="0" w:color="auto"/>
      </w:divBdr>
    </w:div>
    <w:div w:id="801578346">
      <w:bodyDiv w:val="1"/>
      <w:marLeft w:val="0"/>
      <w:marRight w:val="0"/>
      <w:marTop w:val="0"/>
      <w:marBottom w:val="0"/>
      <w:divBdr>
        <w:top w:val="none" w:sz="0" w:space="0" w:color="auto"/>
        <w:left w:val="none" w:sz="0" w:space="0" w:color="auto"/>
        <w:bottom w:val="none" w:sz="0" w:space="0" w:color="auto"/>
        <w:right w:val="none" w:sz="0" w:space="0" w:color="auto"/>
      </w:divBdr>
    </w:div>
    <w:div w:id="832372866">
      <w:bodyDiv w:val="1"/>
      <w:marLeft w:val="0"/>
      <w:marRight w:val="0"/>
      <w:marTop w:val="0"/>
      <w:marBottom w:val="0"/>
      <w:divBdr>
        <w:top w:val="none" w:sz="0" w:space="0" w:color="auto"/>
        <w:left w:val="none" w:sz="0" w:space="0" w:color="auto"/>
        <w:bottom w:val="none" w:sz="0" w:space="0" w:color="auto"/>
        <w:right w:val="none" w:sz="0" w:space="0" w:color="auto"/>
      </w:divBdr>
    </w:div>
    <w:div w:id="850803791">
      <w:bodyDiv w:val="1"/>
      <w:marLeft w:val="0"/>
      <w:marRight w:val="0"/>
      <w:marTop w:val="0"/>
      <w:marBottom w:val="0"/>
      <w:divBdr>
        <w:top w:val="none" w:sz="0" w:space="0" w:color="auto"/>
        <w:left w:val="none" w:sz="0" w:space="0" w:color="auto"/>
        <w:bottom w:val="none" w:sz="0" w:space="0" w:color="auto"/>
        <w:right w:val="none" w:sz="0" w:space="0" w:color="auto"/>
      </w:divBdr>
    </w:div>
    <w:div w:id="943653878">
      <w:bodyDiv w:val="1"/>
      <w:marLeft w:val="0"/>
      <w:marRight w:val="0"/>
      <w:marTop w:val="0"/>
      <w:marBottom w:val="0"/>
      <w:divBdr>
        <w:top w:val="none" w:sz="0" w:space="0" w:color="auto"/>
        <w:left w:val="none" w:sz="0" w:space="0" w:color="auto"/>
        <w:bottom w:val="none" w:sz="0" w:space="0" w:color="auto"/>
        <w:right w:val="none" w:sz="0" w:space="0" w:color="auto"/>
      </w:divBdr>
    </w:div>
    <w:div w:id="1020668944">
      <w:bodyDiv w:val="1"/>
      <w:marLeft w:val="0"/>
      <w:marRight w:val="0"/>
      <w:marTop w:val="0"/>
      <w:marBottom w:val="0"/>
      <w:divBdr>
        <w:top w:val="none" w:sz="0" w:space="0" w:color="auto"/>
        <w:left w:val="none" w:sz="0" w:space="0" w:color="auto"/>
        <w:bottom w:val="none" w:sz="0" w:space="0" w:color="auto"/>
        <w:right w:val="none" w:sz="0" w:space="0" w:color="auto"/>
      </w:divBdr>
    </w:div>
    <w:div w:id="1029525114">
      <w:bodyDiv w:val="1"/>
      <w:marLeft w:val="0"/>
      <w:marRight w:val="0"/>
      <w:marTop w:val="0"/>
      <w:marBottom w:val="0"/>
      <w:divBdr>
        <w:top w:val="none" w:sz="0" w:space="0" w:color="auto"/>
        <w:left w:val="none" w:sz="0" w:space="0" w:color="auto"/>
        <w:bottom w:val="none" w:sz="0" w:space="0" w:color="auto"/>
        <w:right w:val="none" w:sz="0" w:space="0" w:color="auto"/>
      </w:divBdr>
    </w:div>
    <w:div w:id="1086001340">
      <w:bodyDiv w:val="1"/>
      <w:marLeft w:val="0"/>
      <w:marRight w:val="0"/>
      <w:marTop w:val="0"/>
      <w:marBottom w:val="0"/>
      <w:divBdr>
        <w:top w:val="none" w:sz="0" w:space="0" w:color="auto"/>
        <w:left w:val="none" w:sz="0" w:space="0" w:color="auto"/>
        <w:bottom w:val="none" w:sz="0" w:space="0" w:color="auto"/>
        <w:right w:val="none" w:sz="0" w:space="0" w:color="auto"/>
      </w:divBdr>
    </w:div>
    <w:div w:id="1092779117">
      <w:bodyDiv w:val="1"/>
      <w:marLeft w:val="0"/>
      <w:marRight w:val="0"/>
      <w:marTop w:val="0"/>
      <w:marBottom w:val="0"/>
      <w:divBdr>
        <w:top w:val="none" w:sz="0" w:space="0" w:color="auto"/>
        <w:left w:val="none" w:sz="0" w:space="0" w:color="auto"/>
        <w:bottom w:val="none" w:sz="0" w:space="0" w:color="auto"/>
        <w:right w:val="none" w:sz="0" w:space="0" w:color="auto"/>
      </w:divBdr>
    </w:div>
    <w:div w:id="1101954945">
      <w:bodyDiv w:val="1"/>
      <w:marLeft w:val="0"/>
      <w:marRight w:val="0"/>
      <w:marTop w:val="0"/>
      <w:marBottom w:val="0"/>
      <w:divBdr>
        <w:top w:val="none" w:sz="0" w:space="0" w:color="auto"/>
        <w:left w:val="none" w:sz="0" w:space="0" w:color="auto"/>
        <w:bottom w:val="none" w:sz="0" w:space="0" w:color="auto"/>
        <w:right w:val="none" w:sz="0" w:space="0" w:color="auto"/>
      </w:divBdr>
    </w:div>
    <w:div w:id="1143497637">
      <w:bodyDiv w:val="1"/>
      <w:marLeft w:val="0"/>
      <w:marRight w:val="0"/>
      <w:marTop w:val="0"/>
      <w:marBottom w:val="0"/>
      <w:divBdr>
        <w:top w:val="none" w:sz="0" w:space="0" w:color="auto"/>
        <w:left w:val="none" w:sz="0" w:space="0" w:color="auto"/>
        <w:bottom w:val="none" w:sz="0" w:space="0" w:color="auto"/>
        <w:right w:val="none" w:sz="0" w:space="0" w:color="auto"/>
      </w:divBdr>
      <w:divsChild>
        <w:div w:id="305818564">
          <w:marLeft w:val="0"/>
          <w:marRight w:val="0"/>
          <w:marTop w:val="0"/>
          <w:marBottom w:val="0"/>
          <w:divBdr>
            <w:top w:val="none" w:sz="0" w:space="0" w:color="auto"/>
            <w:left w:val="none" w:sz="0" w:space="0" w:color="auto"/>
            <w:bottom w:val="none" w:sz="0" w:space="0" w:color="auto"/>
            <w:right w:val="none" w:sz="0" w:space="0" w:color="auto"/>
          </w:divBdr>
          <w:divsChild>
            <w:div w:id="1010984511">
              <w:marLeft w:val="0"/>
              <w:marRight w:val="0"/>
              <w:marTop w:val="0"/>
              <w:marBottom w:val="0"/>
              <w:divBdr>
                <w:top w:val="none" w:sz="0" w:space="0" w:color="auto"/>
                <w:left w:val="none" w:sz="0" w:space="0" w:color="auto"/>
                <w:bottom w:val="none" w:sz="0" w:space="0" w:color="auto"/>
                <w:right w:val="none" w:sz="0" w:space="0" w:color="auto"/>
              </w:divBdr>
            </w:div>
          </w:divsChild>
        </w:div>
        <w:div w:id="1021130841">
          <w:marLeft w:val="0"/>
          <w:marRight w:val="0"/>
          <w:marTop w:val="0"/>
          <w:marBottom w:val="0"/>
          <w:divBdr>
            <w:top w:val="none" w:sz="0" w:space="0" w:color="auto"/>
            <w:left w:val="none" w:sz="0" w:space="0" w:color="auto"/>
            <w:bottom w:val="none" w:sz="0" w:space="0" w:color="auto"/>
            <w:right w:val="none" w:sz="0" w:space="0" w:color="auto"/>
          </w:divBdr>
          <w:divsChild>
            <w:div w:id="16606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800">
      <w:bodyDiv w:val="1"/>
      <w:marLeft w:val="0"/>
      <w:marRight w:val="0"/>
      <w:marTop w:val="0"/>
      <w:marBottom w:val="0"/>
      <w:divBdr>
        <w:top w:val="none" w:sz="0" w:space="0" w:color="auto"/>
        <w:left w:val="none" w:sz="0" w:space="0" w:color="auto"/>
        <w:bottom w:val="none" w:sz="0" w:space="0" w:color="auto"/>
        <w:right w:val="none" w:sz="0" w:space="0" w:color="auto"/>
      </w:divBdr>
    </w:div>
    <w:div w:id="1258177130">
      <w:bodyDiv w:val="1"/>
      <w:marLeft w:val="0"/>
      <w:marRight w:val="0"/>
      <w:marTop w:val="0"/>
      <w:marBottom w:val="0"/>
      <w:divBdr>
        <w:top w:val="none" w:sz="0" w:space="0" w:color="auto"/>
        <w:left w:val="none" w:sz="0" w:space="0" w:color="auto"/>
        <w:bottom w:val="none" w:sz="0" w:space="0" w:color="auto"/>
        <w:right w:val="none" w:sz="0" w:space="0" w:color="auto"/>
      </w:divBdr>
    </w:div>
    <w:div w:id="1258715657">
      <w:bodyDiv w:val="1"/>
      <w:marLeft w:val="0"/>
      <w:marRight w:val="0"/>
      <w:marTop w:val="0"/>
      <w:marBottom w:val="0"/>
      <w:divBdr>
        <w:top w:val="none" w:sz="0" w:space="0" w:color="auto"/>
        <w:left w:val="none" w:sz="0" w:space="0" w:color="auto"/>
        <w:bottom w:val="none" w:sz="0" w:space="0" w:color="auto"/>
        <w:right w:val="none" w:sz="0" w:space="0" w:color="auto"/>
      </w:divBdr>
    </w:div>
    <w:div w:id="1298995965">
      <w:bodyDiv w:val="1"/>
      <w:marLeft w:val="0"/>
      <w:marRight w:val="0"/>
      <w:marTop w:val="0"/>
      <w:marBottom w:val="0"/>
      <w:divBdr>
        <w:top w:val="none" w:sz="0" w:space="0" w:color="auto"/>
        <w:left w:val="none" w:sz="0" w:space="0" w:color="auto"/>
        <w:bottom w:val="none" w:sz="0" w:space="0" w:color="auto"/>
        <w:right w:val="none" w:sz="0" w:space="0" w:color="auto"/>
      </w:divBdr>
    </w:div>
    <w:div w:id="1354959684">
      <w:bodyDiv w:val="1"/>
      <w:marLeft w:val="0"/>
      <w:marRight w:val="0"/>
      <w:marTop w:val="0"/>
      <w:marBottom w:val="0"/>
      <w:divBdr>
        <w:top w:val="none" w:sz="0" w:space="0" w:color="auto"/>
        <w:left w:val="none" w:sz="0" w:space="0" w:color="auto"/>
        <w:bottom w:val="none" w:sz="0" w:space="0" w:color="auto"/>
        <w:right w:val="none" w:sz="0" w:space="0" w:color="auto"/>
      </w:divBdr>
    </w:div>
    <w:div w:id="1421102978">
      <w:bodyDiv w:val="1"/>
      <w:marLeft w:val="0"/>
      <w:marRight w:val="0"/>
      <w:marTop w:val="0"/>
      <w:marBottom w:val="0"/>
      <w:divBdr>
        <w:top w:val="none" w:sz="0" w:space="0" w:color="auto"/>
        <w:left w:val="none" w:sz="0" w:space="0" w:color="auto"/>
        <w:bottom w:val="none" w:sz="0" w:space="0" w:color="auto"/>
        <w:right w:val="none" w:sz="0" w:space="0" w:color="auto"/>
      </w:divBdr>
    </w:div>
    <w:div w:id="1471820394">
      <w:bodyDiv w:val="1"/>
      <w:marLeft w:val="0"/>
      <w:marRight w:val="0"/>
      <w:marTop w:val="0"/>
      <w:marBottom w:val="0"/>
      <w:divBdr>
        <w:top w:val="none" w:sz="0" w:space="0" w:color="auto"/>
        <w:left w:val="none" w:sz="0" w:space="0" w:color="auto"/>
        <w:bottom w:val="none" w:sz="0" w:space="0" w:color="auto"/>
        <w:right w:val="none" w:sz="0" w:space="0" w:color="auto"/>
      </w:divBdr>
    </w:div>
    <w:div w:id="1473450538">
      <w:bodyDiv w:val="1"/>
      <w:marLeft w:val="0"/>
      <w:marRight w:val="0"/>
      <w:marTop w:val="0"/>
      <w:marBottom w:val="0"/>
      <w:divBdr>
        <w:top w:val="none" w:sz="0" w:space="0" w:color="auto"/>
        <w:left w:val="none" w:sz="0" w:space="0" w:color="auto"/>
        <w:bottom w:val="none" w:sz="0" w:space="0" w:color="auto"/>
        <w:right w:val="none" w:sz="0" w:space="0" w:color="auto"/>
      </w:divBdr>
    </w:div>
    <w:div w:id="1503475399">
      <w:bodyDiv w:val="1"/>
      <w:marLeft w:val="0"/>
      <w:marRight w:val="0"/>
      <w:marTop w:val="0"/>
      <w:marBottom w:val="0"/>
      <w:divBdr>
        <w:top w:val="none" w:sz="0" w:space="0" w:color="auto"/>
        <w:left w:val="none" w:sz="0" w:space="0" w:color="auto"/>
        <w:bottom w:val="none" w:sz="0" w:space="0" w:color="auto"/>
        <w:right w:val="none" w:sz="0" w:space="0" w:color="auto"/>
      </w:divBdr>
    </w:div>
    <w:div w:id="1504397292">
      <w:bodyDiv w:val="1"/>
      <w:marLeft w:val="0"/>
      <w:marRight w:val="0"/>
      <w:marTop w:val="0"/>
      <w:marBottom w:val="0"/>
      <w:divBdr>
        <w:top w:val="none" w:sz="0" w:space="0" w:color="auto"/>
        <w:left w:val="none" w:sz="0" w:space="0" w:color="auto"/>
        <w:bottom w:val="none" w:sz="0" w:space="0" w:color="auto"/>
        <w:right w:val="none" w:sz="0" w:space="0" w:color="auto"/>
      </w:divBdr>
    </w:div>
    <w:div w:id="1511605638">
      <w:bodyDiv w:val="1"/>
      <w:marLeft w:val="0"/>
      <w:marRight w:val="0"/>
      <w:marTop w:val="0"/>
      <w:marBottom w:val="0"/>
      <w:divBdr>
        <w:top w:val="none" w:sz="0" w:space="0" w:color="auto"/>
        <w:left w:val="none" w:sz="0" w:space="0" w:color="auto"/>
        <w:bottom w:val="none" w:sz="0" w:space="0" w:color="auto"/>
        <w:right w:val="none" w:sz="0" w:space="0" w:color="auto"/>
      </w:divBdr>
    </w:div>
    <w:div w:id="1535849730">
      <w:bodyDiv w:val="1"/>
      <w:marLeft w:val="0"/>
      <w:marRight w:val="0"/>
      <w:marTop w:val="0"/>
      <w:marBottom w:val="0"/>
      <w:divBdr>
        <w:top w:val="none" w:sz="0" w:space="0" w:color="auto"/>
        <w:left w:val="none" w:sz="0" w:space="0" w:color="auto"/>
        <w:bottom w:val="none" w:sz="0" w:space="0" w:color="auto"/>
        <w:right w:val="none" w:sz="0" w:space="0" w:color="auto"/>
      </w:divBdr>
    </w:div>
    <w:div w:id="1709835553">
      <w:bodyDiv w:val="1"/>
      <w:marLeft w:val="0"/>
      <w:marRight w:val="0"/>
      <w:marTop w:val="0"/>
      <w:marBottom w:val="0"/>
      <w:divBdr>
        <w:top w:val="none" w:sz="0" w:space="0" w:color="auto"/>
        <w:left w:val="none" w:sz="0" w:space="0" w:color="auto"/>
        <w:bottom w:val="none" w:sz="0" w:space="0" w:color="auto"/>
        <w:right w:val="none" w:sz="0" w:space="0" w:color="auto"/>
      </w:divBdr>
    </w:div>
    <w:div w:id="1714186303">
      <w:bodyDiv w:val="1"/>
      <w:marLeft w:val="0"/>
      <w:marRight w:val="0"/>
      <w:marTop w:val="0"/>
      <w:marBottom w:val="0"/>
      <w:divBdr>
        <w:top w:val="none" w:sz="0" w:space="0" w:color="auto"/>
        <w:left w:val="none" w:sz="0" w:space="0" w:color="auto"/>
        <w:bottom w:val="none" w:sz="0" w:space="0" w:color="auto"/>
        <w:right w:val="none" w:sz="0" w:space="0" w:color="auto"/>
      </w:divBdr>
    </w:div>
    <w:div w:id="1755514575">
      <w:bodyDiv w:val="1"/>
      <w:marLeft w:val="0"/>
      <w:marRight w:val="0"/>
      <w:marTop w:val="0"/>
      <w:marBottom w:val="0"/>
      <w:divBdr>
        <w:top w:val="none" w:sz="0" w:space="0" w:color="auto"/>
        <w:left w:val="none" w:sz="0" w:space="0" w:color="auto"/>
        <w:bottom w:val="none" w:sz="0" w:space="0" w:color="auto"/>
        <w:right w:val="none" w:sz="0" w:space="0" w:color="auto"/>
      </w:divBdr>
    </w:div>
    <w:div w:id="1770277899">
      <w:bodyDiv w:val="1"/>
      <w:marLeft w:val="0"/>
      <w:marRight w:val="0"/>
      <w:marTop w:val="0"/>
      <w:marBottom w:val="0"/>
      <w:divBdr>
        <w:top w:val="none" w:sz="0" w:space="0" w:color="auto"/>
        <w:left w:val="none" w:sz="0" w:space="0" w:color="auto"/>
        <w:bottom w:val="none" w:sz="0" w:space="0" w:color="auto"/>
        <w:right w:val="none" w:sz="0" w:space="0" w:color="auto"/>
      </w:divBdr>
    </w:div>
    <w:div w:id="1807968437">
      <w:bodyDiv w:val="1"/>
      <w:marLeft w:val="0"/>
      <w:marRight w:val="0"/>
      <w:marTop w:val="0"/>
      <w:marBottom w:val="0"/>
      <w:divBdr>
        <w:top w:val="none" w:sz="0" w:space="0" w:color="auto"/>
        <w:left w:val="none" w:sz="0" w:space="0" w:color="auto"/>
        <w:bottom w:val="none" w:sz="0" w:space="0" w:color="auto"/>
        <w:right w:val="none" w:sz="0" w:space="0" w:color="auto"/>
      </w:divBdr>
    </w:div>
    <w:div w:id="1830831802">
      <w:bodyDiv w:val="1"/>
      <w:marLeft w:val="0"/>
      <w:marRight w:val="0"/>
      <w:marTop w:val="0"/>
      <w:marBottom w:val="0"/>
      <w:divBdr>
        <w:top w:val="none" w:sz="0" w:space="0" w:color="auto"/>
        <w:left w:val="none" w:sz="0" w:space="0" w:color="auto"/>
        <w:bottom w:val="none" w:sz="0" w:space="0" w:color="auto"/>
        <w:right w:val="none" w:sz="0" w:space="0" w:color="auto"/>
      </w:divBdr>
    </w:div>
    <w:div w:id="1880319135">
      <w:bodyDiv w:val="1"/>
      <w:marLeft w:val="0"/>
      <w:marRight w:val="0"/>
      <w:marTop w:val="0"/>
      <w:marBottom w:val="0"/>
      <w:divBdr>
        <w:top w:val="none" w:sz="0" w:space="0" w:color="auto"/>
        <w:left w:val="none" w:sz="0" w:space="0" w:color="auto"/>
        <w:bottom w:val="none" w:sz="0" w:space="0" w:color="auto"/>
        <w:right w:val="none" w:sz="0" w:space="0" w:color="auto"/>
      </w:divBdr>
    </w:div>
    <w:div w:id="1897543820">
      <w:bodyDiv w:val="1"/>
      <w:marLeft w:val="0"/>
      <w:marRight w:val="0"/>
      <w:marTop w:val="0"/>
      <w:marBottom w:val="0"/>
      <w:divBdr>
        <w:top w:val="none" w:sz="0" w:space="0" w:color="auto"/>
        <w:left w:val="none" w:sz="0" w:space="0" w:color="auto"/>
        <w:bottom w:val="none" w:sz="0" w:space="0" w:color="auto"/>
        <w:right w:val="none" w:sz="0" w:space="0" w:color="auto"/>
      </w:divBdr>
    </w:div>
    <w:div w:id="1903321330">
      <w:bodyDiv w:val="1"/>
      <w:marLeft w:val="0"/>
      <w:marRight w:val="0"/>
      <w:marTop w:val="0"/>
      <w:marBottom w:val="0"/>
      <w:divBdr>
        <w:top w:val="none" w:sz="0" w:space="0" w:color="auto"/>
        <w:left w:val="none" w:sz="0" w:space="0" w:color="auto"/>
        <w:bottom w:val="none" w:sz="0" w:space="0" w:color="auto"/>
        <w:right w:val="none" w:sz="0" w:space="0" w:color="auto"/>
      </w:divBdr>
    </w:div>
    <w:div w:id="2028020843">
      <w:bodyDiv w:val="1"/>
      <w:marLeft w:val="0"/>
      <w:marRight w:val="0"/>
      <w:marTop w:val="0"/>
      <w:marBottom w:val="0"/>
      <w:divBdr>
        <w:top w:val="none" w:sz="0" w:space="0" w:color="auto"/>
        <w:left w:val="none" w:sz="0" w:space="0" w:color="auto"/>
        <w:bottom w:val="none" w:sz="0" w:space="0" w:color="auto"/>
        <w:right w:val="none" w:sz="0" w:space="0" w:color="auto"/>
      </w:divBdr>
    </w:div>
    <w:div w:id="2034961914">
      <w:bodyDiv w:val="1"/>
      <w:marLeft w:val="0"/>
      <w:marRight w:val="0"/>
      <w:marTop w:val="0"/>
      <w:marBottom w:val="0"/>
      <w:divBdr>
        <w:top w:val="none" w:sz="0" w:space="0" w:color="auto"/>
        <w:left w:val="none" w:sz="0" w:space="0" w:color="auto"/>
        <w:bottom w:val="none" w:sz="0" w:space="0" w:color="auto"/>
        <w:right w:val="none" w:sz="0" w:space="0" w:color="auto"/>
      </w:divBdr>
    </w:div>
    <w:div w:id="2074424883">
      <w:bodyDiv w:val="1"/>
      <w:marLeft w:val="0"/>
      <w:marRight w:val="0"/>
      <w:marTop w:val="0"/>
      <w:marBottom w:val="0"/>
      <w:divBdr>
        <w:top w:val="none" w:sz="0" w:space="0" w:color="auto"/>
        <w:left w:val="none" w:sz="0" w:space="0" w:color="auto"/>
        <w:bottom w:val="none" w:sz="0" w:space="0" w:color="auto"/>
        <w:right w:val="none" w:sz="0" w:space="0" w:color="auto"/>
      </w:divBdr>
    </w:div>
    <w:div w:id="2102067450">
      <w:bodyDiv w:val="1"/>
      <w:marLeft w:val="0"/>
      <w:marRight w:val="0"/>
      <w:marTop w:val="0"/>
      <w:marBottom w:val="0"/>
      <w:divBdr>
        <w:top w:val="none" w:sz="0" w:space="0" w:color="auto"/>
        <w:left w:val="none" w:sz="0" w:space="0" w:color="auto"/>
        <w:bottom w:val="none" w:sz="0" w:space="0" w:color="auto"/>
        <w:right w:val="none" w:sz="0" w:space="0" w:color="auto"/>
      </w:divBdr>
    </w:div>
    <w:div w:id="2113933608">
      <w:bodyDiv w:val="1"/>
      <w:marLeft w:val="0"/>
      <w:marRight w:val="0"/>
      <w:marTop w:val="0"/>
      <w:marBottom w:val="0"/>
      <w:divBdr>
        <w:top w:val="none" w:sz="0" w:space="0" w:color="auto"/>
        <w:left w:val="none" w:sz="0" w:space="0" w:color="auto"/>
        <w:bottom w:val="none" w:sz="0" w:space="0" w:color="auto"/>
        <w:right w:val="none" w:sz="0" w:space="0" w:color="auto"/>
      </w:divBdr>
    </w:div>
    <w:div w:id="21398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amending_instrument%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F5AABE2-53C7-4080-ACC4-9396C1BA0517}"/>
      </w:docPartPr>
      <w:docPartBody>
        <w:p w:rsidR="00422E97" w:rsidRDefault="009B5DD6">
          <w:r w:rsidRPr="005F7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D6"/>
    <w:rsid w:val="000550AC"/>
    <w:rsid w:val="001C5861"/>
    <w:rsid w:val="00422E97"/>
    <w:rsid w:val="00452B58"/>
    <w:rsid w:val="006F1929"/>
    <w:rsid w:val="00841AC3"/>
    <w:rsid w:val="009B5DD6"/>
    <w:rsid w:val="00AA3C2C"/>
    <w:rsid w:val="00AB743C"/>
    <w:rsid w:val="00AD30E0"/>
    <w:rsid w:val="00B83BB7"/>
    <w:rsid w:val="00D3741B"/>
    <w:rsid w:val="00E9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D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 D o c u m e n t s ! 5 4 0 9 4 6 8 4 . 7 < / d o c u m e n t i d >  
     < s e n d e r i d > G A R D I S < / s e n d e r i d >  
     < s e n d e r e m a i l > S T E V E N . G A R D I N E R @ A G S . G O V . A U < / s e n d e r e m a i l >  
     < l a s t m o d i f i e d > 2 0 2 5 - 0 5 - 0 6 T 1 0 : 5 6 : 0 0 . 0 0 0 0 0 0 0 + 1 0 : 0 0 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D5EDD-4109-4961-8EBE-444DEC4ACDD9}">
  <ds:schemaRefs>
    <ds:schemaRef ds:uri="http://www.imanage.com/work/xmlschema"/>
  </ds:schemaRefs>
</ds:datastoreItem>
</file>

<file path=customXml/itemProps2.xml><?xml version="1.0" encoding="utf-8"?>
<ds:datastoreItem xmlns:ds="http://schemas.openxmlformats.org/officeDocument/2006/customXml" ds:itemID="{A1AB9FF6-7B5A-4CBB-93A3-644F0F7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 (7).dotx</Template>
  <TotalTime>1</TotalTime>
  <Pages>111</Pages>
  <Words>23258</Words>
  <Characters>132576</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Disability Standards for Accessible Public Transport Amendment 2025</dc:title>
  <dc:subject/>
  <dc:creator>Gardiner, Steven</dc:creator>
  <cp:keywords/>
  <cp:lastModifiedBy>EGAN, Harry</cp:lastModifiedBy>
  <cp:revision>2</cp:revision>
  <cp:lastPrinted>2024-12-13T05:36:00Z</cp:lastPrinted>
  <dcterms:created xsi:type="dcterms:W3CDTF">2025-08-14T04:55:00Z</dcterms:created>
  <dcterms:modified xsi:type="dcterms:W3CDTF">2025-08-14T04:55:00Z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Template Filename">
    <vt:lpwstr/>
  </property>
  <property fmtid="{D5CDD505-2E9C-101B-9397-08002B2CF9AE}" pid="7" name="AGS Legal Classification">
    <vt:lpwstr>EXPOSURE DRAFT</vt:lpwstr>
  </property>
</Properties>
</file>