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7D9C" w14:textId="77777777" w:rsidR="00BC6AC3" w:rsidRPr="00585A53" w:rsidRDefault="00BC6AC3" w:rsidP="00BA4CCD">
      <w:pPr>
        <w:jc w:val="center"/>
        <w:rPr>
          <w:b/>
          <w:sz w:val="40"/>
          <w:szCs w:val="40"/>
        </w:rPr>
      </w:pPr>
      <w:bookmarkStart w:id="0" w:name="_GoBack"/>
      <w:bookmarkEnd w:id="0"/>
    </w:p>
    <w:p w14:paraId="3C5C9726" w14:textId="44BBE4D5" w:rsidR="00BA4F48" w:rsidRPr="00585A53" w:rsidRDefault="00DF063E" w:rsidP="003A3E29">
      <w:pPr>
        <w:jc w:val="center"/>
        <w:rPr>
          <w:b/>
          <w:sz w:val="40"/>
          <w:szCs w:val="40"/>
        </w:rPr>
      </w:pPr>
      <w:r w:rsidRPr="00DF063E">
        <w:rPr>
          <w:b/>
          <w:sz w:val="40"/>
          <w:szCs w:val="40"/>
        </w:rPr>
        <w:t xml:space="preserve">Vehicle Standard (Australian Design Rule) </w:t>
      </w:r>
      <w:r w:rsidR="004516D1">
        <w:rPr>
          <w:b/>
          <w:sz w:val="40"/>
          <w:szCs w:val="40"/>
        </w:rPr>
        <w:t>Vehicle Lighting Amendment</w:t>
      </w:r>
      <w:r w:rsidRPr="00DF063E">
        <w:rPr>
          <w:b/>
          <w:sz w:val="40"/>
          <w:szCs w:val="40"/>
        </w:rPr>
        <w:t xml:space="preserve"> 202</w:t>
      </w:r>
      <w:r w:rsidR="004516D1">
        <w:rPr>
          <w:b/>
          <w:sz w:val="40"/>
          <w:szCs w:val="40"/>
        </w:rPr>
        <w:t>5</w:t>
      </w:r>
    </w:p>
    <w:p w14:paraId="056CEA1C" w14:textId="77777777" w:rsidR="00E53E63" w:rsidRDefault="00E53E63" w:rsidP="00AD12BE">
      <w:pPr>
        <w:jc w:val="center"/>
      </w:pPr>
    </w:p>
    <w:p w14:paraId="035469B9" w14:textId="5CDF8136" w:rsidR="00AD12BE" w:rsidRPr="00585A53" w:rsidRDefault="00AD12BE" w:rsidP="00AD12BE">
      <w:pPr>
        <w:jc w:val="center"/>
      </w:pPr>
      <w:r w:rsidRPr="00585A53">
        <w:t xml:space="preserve">Made under section 12 of the </w:t>
      </w:r>
      <w:r w:rsidRPr="00585A53">
        <w:rPr>
          <w:i/>
        </w:rPr>
        <w:t>Road Vehicle Standards Act 2018</w:t>
      </w:r>
    </w:p>
    <w:p w14:paraId="6318A17E" w14:textId="77777777" w:rsidR="00AD12BE" w:rsidRPr="00585A53" w:rsidRDefault="00AD12BE" w:rsidP="00AD12BE"/>
    <w:p w14:paraId="42F852FD" w14:textId="77777777" w:rsidR="00AD12BE" w:rsidRPr="00585A53" w:rsidRDefault="00AD12BE" w:rsidP="00AD12BE"/>
    <w:p w14:paraId="5442ECB3" w14:textId="77777777" w:rsidR="00EB4439" w:rsidRDefault="00EB4439" w:rsidP="00EB4439">
      <w:pPr>
        <w:jc w:val="center"/>
        <w:rPr>
          <w:b/>
          <w:bCs/>
          <w:sz w:val="40"/>
        </w:rPr>
      </w:pPr>
      <w:r>
        <w:rPr>
          <w:b/>
          <w:bCs/>
          <w:sz w:val="40"/>
        </w:rPr>
        <w:t>Draft for Consultation</w:t>
      </w:r>
    </w:p>
    <w:p w14:paraId="267F6E90" w14:textId="77777777" w:rsidR="00EB4439" w:rsidRPr="00D85DCA" w:rsidRDefault="00EB4439" w:rsidP="00EB4439">
      <w:pPr>
        <w:jc w:val="center"/>
        <w:rPr>
          <w:b/>
          <w:bCs/>
          <w:sz w:val="40"/>
        </w:rPr>
      </w:pPr>
      <w:r w:rsidRPr="00D85DCA">
        <w:rPr>
          <w:b/>
          <w:bCs/>
          <w:sz w:val="40"/>
        </w:rPr>
        <w:t>Explanatory Statement</w:t>
      </w:r>
    </w:p>
    <w:p w14:paraId="01C1547F" w14:textId="77777777" w:rsidR="00EB4439" w:rsidRPr="00D85DCA" w:rsidRDefault="00EB4439" w:rsidP="00EB4439"/>
    <w:p w14:paraId="70D338DE" w14:textId="77777777" w:rsidR="00EB4439" w:rsidRPr="00D85DCA" w:rsidRDefault="00EB4439" w:rsidP="00EB4439"/>
    <w:p w14:paraId="72398759" w14:textId="77777777" w:rsidR="00EB4439" w:rsidRPr="00D85DCA" w:rsidRDefault="00EB4439" w:rsidP="00EB4439"/>
    <w:p w14:paraId="240A4510" w14:textId="77777777" w:rsidR="00EB4439" w:rsidRPr="00D85DCA" w:rsidRDefault="00EB4439" w:rsidP="00EB4439"/>
    <w:p w14:paraId="390847A9" w14:textId="77777777" w:rsidR="00EB4439" w:rsidRPr="00D85DCA" w:rsidRDefault="00EB4439" w:rsidP="00EB4439"/>
    <w:p w14:paraId="0DB1F7DD" w14:textId="77777777" w:rsidR="00EB4439" w:rsidRDefault="00EB4439" w:rsidP="00EB4439">
      <w:pPr>
        <w:jc w:val="center"/>
      </w:pPr>
      <w:r w:rsidRPr="00B30241">
        <w:t xml:space="preserve">Approved by the Hon </w:t>
      </w:r>
      <w:r>
        <w:t>XXX</w:t>
      </w:r>
      <w:r w:rsidRPr="00B30241">
        <w:t xml:space="preserve">, </w:t>
      </w:r>
      <w:r>
        <w:t>XXX</w:t>
      </w:r>
      <w:r w:rsidRPr="00D85DCA">
        <w:br/>
      </w:r>
    </w:p>
    <w:p w14:paraId="7F7E881D" w14:textId="77777777" w:rsidR="00EB4439" w:rsidRDefault="00EB4439" w:rsidP="00EB4439"/>
    <w:p w14:paraId="3438AE88" w14:textId="77777777" w:rsidR="00EB4439" w:rsidRDefault="00EB4439" w:rsidP="00EB4439"/>
    <w:p w14:paraId="7D8C63C1" w14:textId="77777777" w:rsidR="00EB4439" w:rsidRDefault="00EB4439" w:rsidP="00EB4439"/>
    <w:p w14:paraId="0DDBE6D7" w14:textId="77777777" w:rsidR="00EB4439" w:rsidRDefault="00EB4439" w:rsidP="00EB4439"/>
    <w:p w14:paraId="4833862B" w14:textId="77777777" w:rsidR="00EB4439" w:rsidRDefault="00EB4439" w:rsidP="00EB4439"/>
    <w:p w14:paraId="7BAF0512" w14:textId="77777777" w:rsidR="00EB4439" w:rsidRDefault="00EB4439" w:rsidP="00EB4439">
      <w:pPr>
        <w:jc w:val="center"/>
        <w:rPr>
          <w:b/>
          <w:bCs/>
          <w:sz w:val="40"/>
        </w:rPr>
      </w:pPr>
      <w:r>
        <w:rPr>
          <w:b/>
          <w:bCs/>
          <w:sz w:val="40"/>
        </w:rPr>
        <w:t>XXX</w:t>
      </w:r>
      <w:r w:rsidRPr="00317FB1">
        <w:rPr>
          <w:b/>
          <w:bCs/>
          <w:sz w:val="40"/>
        </w:rPr>
        <w:t xml:space="preserve"> 202</w:t>
      </w:r>
      <w:r>
        <w:rPr>
          <w:b/>
          <w:bCs/>
          <w:sz w:val="40"/>
        </w:rPr>
        <w:t>5</w:t>
      </w:r>
    </w:p>
    <w:p w14:paraId="78D26585" w14:textId="77777777" w:rsidR="00FD272C" w:rsidRPr="00585A53" w:rsidRDefault="00FD272C" w:rsidP="00780DE8">
      <w:pPr>
        <w:pStyle w:val="ContentsHeading"/>
        <w:sectPr w:rsidR="00FD272C" w:rsidRPr="00585A53" w:rsidSect="00767D05">
          <w:headerReference w:type="even" r:id="rId11"/>
          <w:headerReference w:type="default" r:id="rId12"/>
          <w:footerReference w:type="even" r:id="rId13"/>
          <w:footerReference w:type="default" r:id="rId14"/>
          <w:headerReference w:type="first" r:id="rId15"/>
          <w:footerReference w:type="first" r:id="rId16"/>
          <w:pgSz w:w="11906" w:h="16838" w:code="9"/>
          <w:pgMar w:top="1440" w:right="1474" w:bottom="1440" w:left="1474" w:header="709" w:footer="709" w:gutter="0"/>
          <w:pgNumType w:start="1"/>
          <w:cols w:space="708"/>
          <w:titlePg/>
          <w:docGrid w:linePitch="360"/>
        </w:sectPr>
      </w:pPr>
    </w:p>
    <w:p w14:paraId="39A4432B" w14:textId="77777777" w:rsidR="001242FA" w:rsidRPr="006364B7" w:rsidRDefault="001242FA" w:rsidP="001242FA">
      <w:pPr>
        <w:pStyle w:val="ContentsHeading"/>
      </w:pPr>
    </w:p>
    <w:p w14:paraId="3A8D96D4" w14:textId="2C1C924E" w:rsidR="00BA4F48" w:rsidRPr="00585A53" w:rsidRDefault="00BA4F48" w:rsidP="00780DE8">
      <w:pPr>
        <w:pStyle w:val="ContentsHeading"/>
      </w:pPr>
      <w:r w:rsidRPr="00585A53">
        <w:t>CONTENTS</w:t>
      </w:r>
    </w:p>
    <w:p w14:paraId="64E01210" w14:textId="77777777" w:rsidR="00DD4F22" w:rsidRPr="00585A53" w:rsidRDefault="00DD4F22" w:rsidP="00E2635B">
      <w:pPr>
        <w:jc w:val="center"/>
      </w:pPr>
    </w:p>
    <w:p w14:paraId="72360A27" w14:textId="11FE01FA" w:rsidR="004B6E3F" w:rsidRDefault="004B6E3F">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90497E">
        <w:rPr>
          <w:noProof/>
        </w:rPr>
        <w:t>3</w:t>
      </w:r>
    </w:p>
    <w:p w14:paraId="1E307FC4" w14:textId="21B99DEB" w:rsidR="004B6E3F" w:rsidRDefault="004B6E3F">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90497E">
        <w:rPr>
          <w:noProof/>
        </w:rPr>
        <w:t>3</w:t>
      </w:r>
    </w:p>
    <w:p w14:paraId="45A256F2" w14:textId="06EFA93C" w:rsidR="004B6E3F" w:rsidRDefault="004B6E3F">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90497E">
        <w:rPr>
          <w:noProof/>
        </w:rPr>
        <w:t>3</w:t>
      </w:r>
    </w:p>
    <w:p w14:paraId="78C3CFF1" w14:textId="4433F554" w:rsidR="004B6E3F" w:rsidRDefault="004B6E3F">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0E0781">
        <w:rPr>
          <w:noProof/>
        </w:rPr>
        <w:t>4</w:t>
      </w:r>
    </w:p>
    <w:p w14:paraId="0B0D521B" w14:textId="6BCA3711" w:rsidR="004B6E3F" w:rsidRDefault="004B6E3F">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0E0781">
        <w:rPr>
          <w:noProof/>
        </w:rPr>
        <w:t>4</w:t>
      </w:r>
    </w:p>
    <w:p w14:paraId="19138B89" w14:textId="150F7968" w:rsidR="004B6E3F" w:rsidRDefault="004B6E3F">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w:t>
      </w:r>
      <w:r w:rsidR="00912CB7">
        <w:rPr>
          <w:noProof/>
        </w:rPr>
        <w:t>mending Instrument</w:t>
      </w:r>
      <w:r>
        <w:rPr>
          <w:noProof/>
        </w:rPr>
        <w:tab/>
      </w:r>
      <w:r w:rsidR="00495C24">
        <w:rPr>
          <w:noProof/>
        </w:rPr>
        <w:t>5</w:t>
      </w:r>
    </w:p>
    <w:p w14:paraId="1DDCC350" w14:textId="44D7E5AA" w:rsidR="004B6E3F" w:rsidRDefault="004B6E3F">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E668D5">
        <w:rPr>
          <w:noProof/>
        </w:rPr>
        <w:t>7</w:t>
      </w:r>
    </w:p>
    <w:p w14:paraId="393DA4E9" w14:textId="7423DCB1" w:rsidR="004B6E3F" w:rsidRDefault="004B6E3F">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E668D5">
        <w:rPr>
          <w:noProof/>
        </w:rPr>
        <w:t>7</w:t>
      </w:r>
    </w:p>
    <w:p w14:paraId="0CEC581D" w14:textId="22F97BCA" w:rsidR="004B6E3F" w:rsidRDefault="004B6E3F">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E668D5">
        <w:rPr>
          <w:noProof/>
        </w:rPr>
        <w:t>7</w:t>
      </w:r>
    </w:p>
    <w:p w14:paraId="61FCFF5D" w14:textId="5FE7F592" w:rsidR="004B6E3F" w:rsidRDefault="004B6E3F">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sidR="00E668D5">
        <w:rPr>
          <w:noProof/>
        </w:rPr>
        <w:t>7</w:t>
      </w:r>
    </w:p>
    <w:p w14:paraId="41DD80C8" w14:textId="760C7C8C" w:rsidR="004B6E3F" w:rsidRDefault="004B6E3F">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sidR="00E668D5">
        <w:rPr>
          <w:noProof/>
        </w:rPr>
        <w:t>7</w:t>
      </w:r>
    </w:p>
    <w:p w14:paraId="69A24502" w14:textId="69B5A894" w:rsidR="004B6E3F" w:rsidRDefault="004B6E3F">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sidR="00E668D5">
        <w:rPr>
          <w:noProof/>
        </w:rPr>
        <w:t>7</w:t>
      </w:r>
    </w:p>
    <w:p w14:paraId="113E3B17" w14:textId="22E32D31" w:rsidR="004B6E3F" w:rsidRDefault="004B6E3F">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sidR="00E668D5">
        <w:rPr>
          <w:noProof/>
        </w:rPr>
        <w:t>8</w:t>
      </w:r>
    </w:p>
    <w:p w14:paraId="1B6DA146" w14:textId="1E3C1F91" w:rsidR="004B6E3F" w:rsidRDefault="004B6E3F">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Analysis</w:t>
      </w:r>
      <w:r>
        <w:rPr>
          <w:noProof/>
        </w:rPr>
        <w:tab/>
      </w:r>
      <w:r w:rsidR="00E668D5">
        <w:rPr>
          <w:noProof/>
        </w:rPr>
        <w:t>8</w:t>
      </w:r>
    </w:p>
    <w:p w14:paraId="7B5352F5" w14:textId="1E3BDB5C" w:rsidR="004B6E3F" w:rsidRDefault="004B6E3F">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AD2C71">
        <w:rPr>
          <w:noProof/>
        </w:rPr>
        <w:t>8</w:t>
      </w:r>
    </w:p>
    <w:p w14:paraId="46A28D6B" w14:textId="37D28679" w:rsidR="004B6E3F" w:rsidRDefault="004B6E3F">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AD2C71">
        <w:rPr>
          <w:noProof/>
        </w:rPr>
        <w:t>8</w:t>
      </w:r>
    </w:p>
    <w:p w14:paraId="65182AFE" w14:textId="49A2CBE3" w:rsidR="004B6E3F" w:rsidRDefault="004B6E3F">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AD2C71">
        <w:rPr>
          <w:noProof/>
        </w:rPr>
        <w:t>8</w:t>
      </w:r>
    </w:p>
    <w:p w14:paraId="2B1D788B" w14:textId="1A1B6154" w:rsidR="00DD4F22" w:rsidRPr="00585A53" w:rsidRDefault="004B6E3F" w:rsidP="000E0781">
      <w:pPr>
        <w:pStyle w:val="TOC2"/>
      </w:pPr>
      <w:r>
        <w:rPr>
          <w:noProof/>
        </w:rPr>
        <w:t>6.3.</w:t>
      </w:r>
      <w:r>
        <w:rPr>
          <w:rFonts w:asciiTheme="minorHAnsi" w:eastAsiaTheme="minorEastAsia" w:hAnsiTheme="minorHAnsi" w:cstheme="minorBidi"/>
          <w:noProof/>
          <w:sz w:val="22"/>
          <w:szCs w:val="22"/>
        </w:rPr>
        <w:tab/>
      </w:r>
      <w:r>
        <w:rPr>
          <w:noProof/>
        </w:rPr>
        <w:t>Conclusion</w:t>
      </w:r>
      <w:r>
        <w:rPr>
          <w:noProof/>
        </w:rPr>
        <w:tab/>
      </w:r>
      <w:r w:rsidR="00AD2C71">
        <w:rPr>
          <w:noProof/>
        </w:rPr>
        <w:t>8</w:t>
      </w:r>
    </w:p>
    <w:p w14:paraId="24A63C4C" w14:textId="77777777" w:rsidR="00BA4F48" w:rsidRPr="00585A53" w:rsidRDefault="00BA4F48" w:rsidP="00DD4F22">
      <w:pPr>
        <w:pStyle w:val="HeadingLevel1"/>
      </w:pPr>
      <w:r w:rsidRPr="00585A53">
        <w:rPr>
          <w:color w:val="3366FF"/>
        </w:rPr>
        <w:br w:type="page"/>
      </w:r>
      <w:bookmarkStart w:id="1" w:name="_Toc167864611"/>
      <w:bookmarkStart w:id="2" w:name="_Toc505092258"/>
      <w:bookmarkStart w:id="3" w:name="_Toc140826183"/>
      <w:r w:rsidRPr="00585A53">
        <w:lastRenderedPageBreak/>
        <w:t xml:space="preserve">legislative </w:t>
      </w:r>
      <w:bookmarkEnd w:id="1"/>
      <w:bookmarkEnd w:id="2"/>
      <w:r w:rsidR="00325E9B" w:rsidRPr="00585A53">
        <w:t>Authority</w:t>
      </w:r>
      <w:bookmarkEnd w:id="3"/>
    </w:p>
    <w:p w14:paraId="1863F43F" w14:textId="2A9B17F0" w:rsidR="004233CF" w:rsidRPr="00585A53" w:rsidRDefault="00AF47C2" w:rsidP="00E15765">
      <w:pPr>
        <w:pStyle w:val="HeadingLevel2"/>
      </w:pPr>
      <w:bookmarkStart w:id="4" w:name="_Toc140826184"/>
      <w:r w:rsidRPr="00585A53">
        <w:t>National Road Vehicle Standard</w:t>
      </w:r>
      <w:r w:rsidR="0072609E" w:rsidRPr="00585A53">
        <w:t>s</w:t>
      </w:r>
      <w:bookmarkEnd w:id="4"/>
    </w:p>
    <w:p w14:paraId="79921F45" w14:textId="62DB7538" w:rsidR="005F503F" w:rsidRDefault="002D0CD8" w:rsidP="001F42D7">
      <w:r w:rsidRPr="00585A53">
        <w:t xml:space="preserve">The </w:t>
      </w:r>
      <w:r w:rsidR="006C1A0C" w:rsidRPr="006C1A0C">
        <w:t xml:space="preserve">Vehicle Standard (Australian Design Rule) </w:t>
      </w:r>
      <w:r w:rsidR="004516D1">
        <w:t xml:space="preserve">Vehicle Lighting Amendment 2025 </w:t>
      </w:r>
      <w:r w:rsidR="005F503F" w:rsidRPr="005F503F">
        <w:t>(“the Amending Instrument”)</w:t>
      </w:r>
      <w:r w:rsidR="004233CF" w:rsidRPr="00585A53">
        <w:t xml:space="preserve"> is made under the </w:t>
      </w:r>
      <w:r w:rsidR="004233CF" w:rsidRPr="00585A53">
        <w:rPr>
          <w:i/>
        </w:rPr>
        <w:t>Road Vehicle Standards Act 2018</w:t>
      </w:r>
      <w:r w:rsidR="001F42D7" w:rsidRPr="00585A53">
        <w:t xml:space="preserve"> (RVSA)</w:t>
      </w:r>
      <w:r w:rsidR="004233CF" w:rsidRPr="00585A53">
        <w:t xml:space="preserve">. </w:t>
      </w:r>
    </w:p>
    <w:p w14:paraId="75800B39" w14:textId="118D7527" w:rsidR="00ED72F1" w:rsidRDefault="00ED72F1" w:rsidP="00662945">
      <w:r w:rsidRPr="00ED72F1">
        <w:t>The RVSA enables the Australian Government to establish nationally uniform standards that apply to road vehicles or road vehicle components when they are provided to the market in Australia</w:t>
      </w:r>
      <w:r w:rsidR="00560C21">
        <w:t xml:space="preserve"> for the first time</w:t>
      </w:r>
      <w:r w:rsidRPr="00ED72F1">
        <w:t>. The RVSA applies to vehicles or components whether they are manufactured in Australia or imported.</w:t>
      </w:r>
    </w:p>
    <w:p w14:paraId="23AB59A2" w14:textId="7AD401C7" w:rsidR="00ED72F1" w:rsidRDefault="00ED72F1" w:rsidP="00662945">
      <w:r w:rsidRPr="00ED72F1">
        <w:t>The making of the national road vehicle standards, necessary for the RVSA’s effective operation</w:t>
      </w:r>
      <w:r w:rsidR="00560C21">
        <w:t>,</w:t>
      </w:r>
      <w:r w:rsidRPr="00ED72F1">
        <w:t xml:space="preserve"> is provided for in section 12, which empowers the Minister to “determine standards for road vehicles or road vehicle components”. These standards are also </w:t>
      </w:r>
      <w:r w:rsidR="000E52D6">
        <w:t>referred to</w:t>
      </w:r>
      <w:r w:rsidRPr="00ED72F1">
        <w:t xml:space="preserve"> as the Australian Design Rules (ADRs).</w:t>
      </w:r>
    </w:p>
    <w:p w14:paraId="7920629C" w14:textId="26F86E47" w:rsidR="006C1A0C" w:rsidRPr="00585A53" w:rsidRDefault="006C1A0C" w:rsidP="00662945">
      <w:r w:rsidRPr="006C1A0C">
        <w:t xml:space="preserve">Subsection 33(3) of the </w:t>
      </w:r>
      <w:r w:rsidRPr="006C1A0C">
        <w:rPr>
          <w:i/>
        </w:rPr>
        <w:t>Acts Interpretation Act 1901</w:t>
      </w:r>
      <w:r w:rsidRPr="006C1A0C">
        <w:t xml:space="preserve"> provides, in part, that the power to amend instruments is conferred by the same power to make the instrument.</w:t>
      </w:r>
    </w:p>
    <w:p w14:paraId="533C1E1B" w14:textId="77777777" w:rsidR="00204702" w:rsidRPr="00585A53" w:rsidRDefault="00204702" w:rsidP="00204702">
      <w:pPr>
        <w:pStyle w:val="HeadingLevel2"/>
      </w:pPr>
      <w:bookmarkStart w:id="5" w:name="_Toc98331917"/>
      <w:bookmarkStart w:id="6" w:name="_Toc140826185"/>
      <w:r w:rsidRPr="00585A53">
        <w:t>Exemption from Sunsetting</w:t>
      </w:r>
      <w:bookmarkEnd w:id="5"/>
      <w:bookmarkEnd w:id="6"/>
    </w:p>
    <w:p w14:paraId="3C3D20B7" w14:textId="400D1D3A" w:rsidR="00013337" w:rsidRPr="00585A53" w:rsidRDefault="006C1A0C" w:rsidP="00013337">
      <w:r>
        <w:t xml:space="preserve">The </w:t>
      </w:r>
      <w:r w:rsidR="00ED72F1">
        <w:t>ADRs</w:t>
      </w:r>
      <w:r>
        <w:t xml:space="preserve"> are</w:t>
      </w:r>
      <w:r w:rsidR="00204702" w:rsidRPr="00585A53">
        <w:t xml:space="preserve"> exempt from the sunsetting provisions of the </w:t>
      </w:r>
      <w:r w:rsidR="00204702" w:rsidRPr="00585A53">
        <w:rPr>
          <w:i/>
        </w:rPr>
        <w:t>Legislation Act 2003</w:t>
      </w:r>
      <w:r w:rsidR="00204702" w:rsidRPr="00585A53">
        <w:t>.</w:t>
      </w:r>
    </w:p>
    <w:p w14:paraId="3BC45925" w14:textId="77777777" w:rsidR="00013337" w:rsidRPr="00585A53" w:rsidRDefault="00013337" w:rsidP="00013337">
      <w:pPr>
        <w:rPr>
          <w:i/>
        </w:rPr>
      </w:pPr>
      <w:r w:rsidRPr="00585A53">
        <w:rPr>
          <w:i/>
        </w:rPr>
        <w:t>Source of the Exemption</w:t>
      </w:r>
    </w:p>
    <w:p w14:paraId="769CA632" w14:textId="1DED25BC" w:rsidR="00013337" w:rsidRPr="00585A53" w:rsidRDefault="00013337" w:rsidP="00013337">
      <w:r w:rsidRPr="00585A53">
        <w:t xml:space="preserve">A standard made under section 12 of the RVSA is not subject to the sunsetting provisions of section 50 of the </w:t>
      </w:r>
      <w:r w:rsidRPr="00585A53">
        <w:rPr>
          <w:i/>
        </w:rPr>
        <w:t>Legislation Act 2003</w:t>
      </w:r>
      <w:r w:rsidRPr="00585A53">
        <w:t xml:space="preserve"> through section 12 of the Legislation (Exemptions and Other Matters) Regulation 2015 (table item 56C). A</w:t>
      </w:r>
      <w:r w:rsidR="00ED72F1">
        <w:t> </w:t>
      </w:r>
      <w:r w:rsidRPr="00585A53">
        <w:t xml:space="preserve">similar exemption was previously granted in respect of national road vehicle standards made under section 7 of the </w:t>
      </w:r>
      <w:r w:rsidRPr="00585A53">
        <w:rPr>
          <w:i/>
        </w:rPr>
        <w:t>Motor Vehicle Standards Act 1989</w:t>
      </w:r>
      <w:r w:rsidRPr="00585A53">
        <w:t xml:space="preserve"> (MVSA) (item 40, section 12 of the Legislation (Exemptions and Other Matters) Regulation 2015). This exemption is important to ensure that </w:t>
      </w:r>
      <w:r w:rsidR="00263B0A" w:rsidRPr="00585A53">
        <w:t>ADRs</w:t>
      </w:r>
      <w:r w:rsidR="00453919">
        <w:t xml:space="preserve"> </w:t>
      </w:r>
      <w:r w:rsidRPr="00585A53">
        <w:t>continue to remain in force and available to regulators</w:t>
      </w:r>
      <w:r w:rsidR="00ED72F1">
        <w:t>,</w:t>
      </w:r>
      <w:r w:rsidRPr="00585A53">
        <w:t xml:space="preserve"> industry</w:t>
      </w:r>
      <w:r w:rsidR="00ED72F1">
        <w:t xml:space="preserve"> and the public</w:t>
      </w:r>
      <w:r w:rsidRPr="00585A53">
        <w:t>.</w:t>
      </w:r>
    </w:p>
    <w:p w14:paraId="1E69983E" w14:textId="77777777" w:rsidR="00013337" w:rsidRPr="00585A53" w:rsidRDefault="00013337" w:rsidP="00013337">
      <w:pPr>
        <w:ind w:left="851" w:hanging="851"/>
        <w:rPr>
          <w:i/>
        </w:rPr>
      </w:pPr>
      <w:r w:rsidRPr="00585A53">
        <w:rPr>
          <w:i/>
        </w:rPr>
        <w:t>Intergovernmental dependencies</w:t>
      </w:r>
    </w:p>
    <w:p w14:paraId="54024908" w14:textId="5AC5A9C9" w:rsidR="00013337" w:rsidRPr="00585A53" w:rsidRDefault="00013337" w:rsidP="00013337">
      <w:r w:rsidRPr="00585A53">
        <w:t xml:space="preserve">The exemption concerns ADRs which facilitate the establishment and operation of the intergovernmental vehicle standard regime that Commonwealth, </w:t>
      </w:r>
      <w:r w:rsidR="005B6B1C">
        <w:t>s</w:t>
      </w:r>
      <w:r w:rsidRPr="00585A53">
        <w:t xml:space="preserve">tate and </w:t>
      </w:r>
      <w:r w:rsidR="005B6B1C">
        <w:t>t</w:t>
      </w:r>
      <w:r w:rsidRPr="00585A53">
        <w:t>erritory governments rely on to regulate the safety of vehicles on public roads.</w:t>
      </w:r>
    </w:p>
    <w:p w14:paraId="76B88ED2" w14:textId="5CAAA792" w:rsidR="00C611A7" w:rsidRPr="00585A53" w:rsidRDefault="00013337" w:rsidP="00013337">
      <w:r w:rsidRPr="00585A53">
        <w:t xml:space="preserve">The Commonwealth uses the ADRs as the basis on which approvals to supply types of road vehicles to the market are granted under the Road Vehicle Standards Rules 2019. States and territories </w:t>
      </w:r>
      <w:r w:rsidR="006E2106">
        <w:t xml:space="preserve">and </w:t>
      </w:r>
      <w:r w:rsidR="006E2106" w:rsidRPr="006E2106">
        <w:t xml:space="preserve">the National Heavy Vehicle Regulator </w:t>
      </w:r>
      <w:r w:rsidRPr="00585A53">
        <w:t xml:space="preserve">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w:t>
      </w:r>
      <w:r w:rsidR="00664841">
        <w:t>over 10</w:t>
      </w:r>
      <w:r w:rsidRPr="00585A53">
        <w:t xml:space="preserve"> years.</w:t>
      </w:r>
    </w:p>
    <w:p w14:paraId="6D74F44A" w14:textId="614172FF" w:rsidR="00013337" w:rsidRPr="00585A53" w:rsidRDefault="00013337" w:rsidP="00B928EB">
      <w:pPr>
        <w:spacing w:before="0" w:after="0"/>
      </w:pPr>
      <w:r w:rsidRPr="00585A53">
        <w:t xml:space="preserve">While the ADRs are updated </w:t>
      </w:r>
      <w:r w:rsidR="00560C21" w:rsidRPr="00585A53">
        <w:t>regularly</w:t>
      </w:r>
      <w:r w:rsidR="00560C21">
        <w:t xml:space="preserve"> </w:t>
      </w:r>
      <w:r w:rsidRPr="00585A53">
        <w:t xml:space="preserve">to reflect changes in technology, it is not possible to apply these new standards retrospectively to vehicles that are already in use. With </w:t>
      </w:r>
      <w:r w:rsidR="00ED72F1" w:rsidRPr="00ED72F1">
        <w:t xml:space="preserve">prior versions </w:t>
      </w:r>
      <w:r w:rsidRPr="00585A53">
        <w:t xml:space="preserve">ADRs kept on the Federal Register of Legislation, </w:t>
      </w:r>
      <w:r w:rsidR="005B6B1C">
        <w:t>s</w:t>
      </w:r>
      <w:r w:rsidRPr="00585A53">
        <w:t xml:space="preserve">tate and </w:t>
      </w:r>
      <w:r w:rsidR="005B6B1C">
        <w:t>t</w:t>
      </w:r>
      <w:r w:rsidRPr="00585A53">
        <w:t>erritory governments can use them to ensure vehicles continue to comply with the ADRs that were in force when they were first supplied to the market.</w:t>
      </w:r>
    </w:p>
    <w:p w14:paraId="445BC3C8" w14:textId="746DA6D6" w:rsidR="00204702" w:rsidRPr="00585A53" w:rsidRDefault="00013337" w:rsidP="00574E16">
      <w:pPr>
        <w:keepLines/>
      </w:pPr>
      <w:r w:rsidRPr="00585A53">
        <w:lastRenderedPageBreak/>
        <w:t xml:space="preserve">In the event that the Commonwealth could not justify the maintenance of the ADRs, </w:t>
      </w:r>
      <w:r w:rsidR="005B6B1C">
        <w:t>s</w:t>
      </w:r>
      <w:r w:rsidRPr="00585A53">
        <w:t xml:space="preserve">tate and </w:t>
      </w:r>
      <w:r w:rsidR="005B6B1C">
        <w:t>t</w:t>
      </w:r>
      <w:r w:rsidRPr="00585A53">
        <w:t xml:space="preserve">erritory governments would be compelled to create their own vehicle standards. Whilst this could mean adopting the substance of the lapsed ADRs as an interim measure, the differing needs and agendas of each </w:t>
      </w:r>
      <w:r w:rsidR="005B6B1C">
        <w:t>s</w:t>
      </w:r>
      <w:r w:rsidRPr="00585A53">
        <w:t xml:space="preserve">tate and </w:t>
      </w:r>
      <w:r w:rsidR="005B6B1C">
        <w:t>t</w:t>
      </w:r>
      <w:r w:rsidRPr="00585A53">
        <w:t>erritory government may result in variations to in-service regulations. Having different vehicle standards across the states and territories would make the scheme operate contrary to the underlying policy intent of the RVSA which is to set nationally consistent performance-based standards.</w:t>
      </w:r>
    </w:p>
    <w:p w14:paraId="68F558C0" w14:textId="77777777" w:rsidR="00013337" w:rsidRPr="00585A53" w:rsidRDefault="00013337" w:rsidP="00013337">
      <w:pPr>
        <w:ind w:left="851" w:hanging="851"/>
        <w:rPr>
          <w:i/>
        </w:rPr>
      </w:pPr>
      <w:r w:rsidRPr="00585A53">
        <w:rPr>
          <w:i/>
        </w:rPr>
        <w:t>Commercial dependencies</w:t>
      </w:r>
    </w:p>
    <w:p w14:paraId="4986B8E5" w14:textId="5CFA050C" w:rsidR="00013337" w:rsidRPr="00585A53" w:rsidRDefault="00013337" w:rsidP="00013337">
      <w:r w:rsidRPr="00585A53">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B635CD1" w14:textId="53505559" w:rsidR="00013337" w:rsidRPr="00585A53" w:rsidRDefault="00C24DCB" w:rsidP="00013337">
      <w:pPr>
        <w:ind w:left="851" w:hanging="851"/>
        <w:rPr>
          <w:i/>
        </w:rPr>
      </w:pPr>
      <w:r w:rsidRPr="00585A53">
        <w:rPr>
          <w:i/>
        </w:rPr>
        <w:t>Reviews of Australian Design Rules</w:t>
      </w:r>
    </w:p>
    <w:p w14:paraId="56EEE50E" w14:textId="2437FA46" w:rsidR="00013337" w:rsidRPr="00585A53" w:rsidRDefault="00013337" w:rsidP="00B13744">
      <w:r w:rsidRPr="00585A53">
        <w:t xml:space="preserve">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w:t>
      </w:r>
      <w:r w:rsidR="003C698A" w:rsidRPr="00585A53">
        <w:t xml:space="preserve">(UN) </w:t>
      </w:r>
      <w:r w:rsidRPr="00585A53">
        <w:t>regulations. This method facilitates the rapid introduction of the latest safety devices and technological advances into the Australian market, while also contributing to the industry’s cost competitiveness in the domestic market.</w:t>
      </w:r>
      <w:r w:rsidR="00B13744" w:rsidRPr="00585A53">
        <w:t xml:space="preserve"> Where a review results in a new or amended ADR, these changes are subject to full parliamentary scrutiny.</w:t>
      </w:r>
    </w:p>
    <w:p w14:paraId="23C49CB7" w14:textId="77777777" w:rsidR="00685271" w:rsidRPr="00585A53" w:rsidRDefault="00685271" w:rsidP="00685271">
      <w:pPr>
        <w:pStyle w:val="HeadingLevel1"/>
        <w:keepNext/>
        <w:tabs>
          <w:tab w:val="clear" w:pos="851"/>
          <w:tab w:val="num" w:pos="3119"/>
        </w:tabs>
      </w:pPr>
      <w:bookmarkStart w:id="7" w:name="_Toc46333217"/>
      <w:bookmarkStart w:id="8" w:name="_Toc46333471"/>
      <w:bookmarkStart w:id="9" w:name="_Toc46333625"/>
      <w:bookmarkStart w:id="10" w:name="_Toc46333790"/>
      <w:bookmarkStart w:id="11" w:name="_Toc46333904"/>
      <w:bookmarkStart w:id="12" w:name="_Toc46334640"/>
      <w:bookmarkStart w:id="13" w:name="_Toc47693308"/>
      <w:bookmarkStart w:id="14" w:name="_Toc140826187"/>
      <w:r w:rsidRPr="00585A53">
        <w:t>Purpose and Operation</w:t>
      </w:r>
      <w:bookmarkEnd w:id="7"/>
      <w:bookmarkEnd w:id="8"/>
      <w:bookmarkEnd w:id="9"/>
      <w:bookmarkEnd w:id="10"/>
      <w:bookmarkEnd w:id="11"/>
      <w:bookmarkEnd w:id="12"/>
      <w:bookmarkEnd w:id="13"/>
      <w:bookmarkEnd w:id="14"/>
    </w:p>
    <w:p w14:paraId="6EA4BA81" w14:textId="77777777" w:rsidR="00685271" w:rsidRPr="00585A53" w:rsidRDefault="00685271" w:rsidP="00685271">
      <w:pPr>
        <w:pStyle w:val="HeadingLevel2"/>
        <w:keepNext/>
        <w:tabs>
          <w:tab w:val="num" w:pos="993"/>
          <w:tab w:val="num" w:pos="3829"/>
        </w:tabs>
      </w:pPr>
      <w:bookmarkStart w:id="15" w:name="_Toc140826188"/>
      <w:r w:rsidRPr="00585A53">
        <w:t>Overview of the Regulatory Framework</w:t>
      </w:r>
      <w:bookmarkEnd w:id="15"/>
    </w:p>
    <w:p w14:paraId="38D2CB8B" w14:textId="40C8733E" w:rsidR="00685271" w:rsidRPr="00585A53" w:rsidRDefault="00685271" w:rsidP="003632F5">
      <w:pPr>
        <w:keepLines/>
      </w:pPr>
      <w:r w:rsidRPr="00585A53">
        <w:t xml:space="preserve">The </w:t>
      </w:r>
      <w:r w:rsidR="00B928EB" w:rsidRPr="00585A53">
        <w:t xml:space="preserve">RVSA </w:t>
      </w:r>
      <w:r w:rsidRPr="00585A53">
        <w:t xml:space="preserve">establishes a framework to regulate the importation and first provision of road vehicles to the market in Australia. The core principle of this framework is that vehicles </w:t>
      </w:r>
      <w:r w:rsidR="00560C21">
        <w:t>that</w:t>
      </w:r>
      <w:r w:rsidRPr="00585A53">
        <w:t xml:space="preserve">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w:t>
      </w:r>
      <w:r w:rsidR="005B6B1C">
        <w:t>s</w:t>
      </w:r>
      <w:r w:rsidRPr="00585A53">
        <w:t xml:space="preserve">tate and </w:t>
      </w:r>
      <w:r w:rsidR="005B6B1C">
        <w:t>t</w:t>
      </w:r>
      <w:r w:rsidRPr="00585A53">
        <w:t xml:space="preserve">erritory governments. In 1989, this arrangement was replaced by the MVSA and the Australian Design Rules were determined as national standards. </w:t>
      </w:r>
      <w:r w:rsidR="00AB0FEB" w:rsidRPr="00585A53">
        <w:t xml:space="preserve">The </w:t>
      </w:r>
      <w:r w:rsidR="00BC6B48" w:rsidRPr="00585A53">
        <w:t xml:space="preserve">RVSA commenced in full and replaced the </w:t>
      </w:r>
      <w:r w:rsidR="00AB0FEB" w:rsidRPr="00585A53">
        <w:t>MVSA on 1 July 2021</w:t>
      </w:r>
      <w:r w:rsidR="00BC6B48" w:rsidRPr="00585A53">
        <w:t xml:space="preserve">. </w:t>
      </w:r>
      <w:r w:rsidR="00AB0FEB" w:rsidRPr="00585A53">
        <w:t>A two-year transition period was provided between 1 July 2021 and</w:t>
      </w:r>
      <w:r w:rsidR="00BC6B48" w:rsidRPr="00585A53">
        <w:t xml:space="preserve"> 30 June 2023</w:t>
      </w:r>
      <w:r w:rsidRPr="00585A53">
        <w:t>.</w:t>
      </w:r>
    </w:p>
    <w:p w14:paraId="4104476F" w14:textId="75F055CD" w:rsidR="00C611A7" w:rsidRPr="00585A53" w:rsidRDefault="00685271" w:rsidP="008C510E">
      <w:r w:rsidRPr="00585A53">
        <w:t xml:space="preserve">Under the </w:t>
      </w:r>
      <w:r w:rsidR="004D4B51" w:rsidRPr="00585A53">
        <w:t>RVSA</w:t>
      </w:r>
      <w:r w:rsidRPr="00585A53">
        <w:t xml:space="preserve">, the ADRs are </w:t>
      </w:r>
      <w:r w:rsidR="00560C21">
        <w:t>n</w:t>
      </w:r>
      <w:r w:rsidRPr="00585A53">
        <w:t xml:space="preserve">ational </w:t>
      </w:r>
      <w:r w:rsidR="00560C21">
        <w:t>r</w:t>
      </w:r>
      <w:r w:rsidRPr="00585A53">
        <w:t xml:space="preserve">oad </w:t>
      </w:r>
      <w:r w:rsidR="00560C21">
        <w:t>v</w:t>
      </w:r>
      <w:r w:rsidRPr="00585A53">
        <w:t xml:space="preserve">ehicle </w:t>
      </w:r>
      <w:r w:rsidR="00560C21">
        <w:t>s</w:t>
      </w:r>
      <w:r w:rsidRPr="00585A53">
        <w:t>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4E560311" w14:textId="13A58FF9" w:rsidR="00BA4F48" w:rsidRPr="00585A53" w:rsidRDefault="00BA4F48" w:rsidP="002E4C93">
      <w:pPr>
        <w:pStyle w:val="HeadingLevel2"/>
        <w:keepNext/>
      </w:pPr>
      <w:bookmarkStart w:id="16" w:name="_Toc100306471"/>
      <w:bookmarkStart w:id="17" w:name="_Toc100308206"/>
      <w:bookmarkStart w:id="18" w:name="_Toc100308239"/>
      <w:bookmarkStart w:id="19" w:name="_Toc100310667"/>
      <w:bookmarkStart w:id="20" w:name="_Toc100317876"/>
      <w:bookmarkStart w:id="21" w:name="_Toc100306472"/>
      <w:bookmarkStart w:id="22" w:name="_Toc100308207"/>
      <w:bookmarkStart w:id="23" w:name="_Toc100308240"/>
      <w:bookmarkStart w:id="24" w:name="_Toc100310668"/>
      <w:bookmarkStart w:id="25" w:name="_Toc100317877"/>
      <w:bookmarkStart w:id="26" w:name="_Toc100306473"/>
      <w:bookmarkStart w:id="27" w:name="_Toc100308208"/>
      <w:bookmarkStart w:id="28" w:name="_Toc100308241"/>
      <w:bookmarkStart w:id="29" w:name="_Toc100310669"/>
      <w:bookmarkStart w:id="30" w:name="_Toc100317878"/>
      <w:bookmarkStart w:id="31" w:name="_Toc100306474"/>
      <w:bookmarkStart w:id="32" w:name="_Toc100308209"/>
      <w:bookmarkStart w:id="33" w:name="_Toc100308242"/>
      <w:bookmarkStart w:id="34" w:name="_Toc100310670"/>
      <w:bookmarkStart w:id="35" w:name="_Toc100317879"/>
      <w:bookmarkStart w:id="36" w:name="_Toc100306477"/>
      <w:bookmarkStart w:id="37" w:name="_Toc100308212"/>
      <w:bookmarkStart w:id="38" w:name="_Toc100308245"/>
      <w:bookmarkStart w:id="39" w:name="_Toc100310673"/>
      <w:bookmarkStart w:id="40" w:name="_Toc100317882"/>
      <w:bookmarkStart w:id="41" w:name="_Toc167864613"/>
      <w:bookmarkStart w:id="42" w:name="_Toc505092260"/>
      <w:bookmarkStart w:id="43" w:name="_Toc14082618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85A53">
        <w:lastRenderedPageBreak/>
        <w:t>Overview of</w:t>
      </w:r>
      <w:r w:rsidR="000E371A" w:rsidRPr="00585A53">
        <w:t xml:space="preserve"> </w:t>
      </w:r>
      <w:r w:rsidRPr="00585A53">
        <w:t>the A</w:t>
      </w:r>
      <w:bookmarkEnd w:id="41"/>
      <w:bookmarkEnd w:id="42"/>
      <w:bookmarkEnd w:id="43"/>
      <w:r w:rsidR="00912CB7">
        <w:t>mending Instrument</w:t>
      </w:r>
    </w:p>
    <w:p w14:paraId="461A1608" w14:textId="23EE1071" w:rsidR="008852D4" w:rsidRDefault="008852D4" w:rsidP="008852D4">
      <w:bookmarkStart w:id="44" w:name="_Toc167864614"/>
      <w:r>
        <w:t xml:space="preserve">The Amending Instrument includes revisions to </w:t>
      </w:r>
      <w:r w:rsidR="004516D1">
        <w:t>four</w:t>
      </w:r>
      <w:r>
        <w:t xml:space="preserve"> existing ADRs. The ADRs amended by this instrument are the </w:t>
      </w:r>
      <w:r w:rsidRPr="006F6CD4">
        <w:t xml:space="preserve">Australian Design Rule </w:t>
      </w:r>
      <w:r w:rsidR="004516D1">
        <w:t>13</w:t>
      </w:r>
      <w:r>
        <w:t xml:space="preserve">/00 – </w:t>
      </w:r>
      <w:r w:rsidR="004516D1" w:rsidRPr="004516D1">
        <w:t>Installation of Lighting and Light-signalling Devices on other than L-Group Vehicles</w:t>
      </w:r>
      <w:r>
        <w:t xml:space="preserve"> (ADR </w:t>
      </w:r>
      <w:r w:rsidR="004516D1">
        <w:t>13</w:t>
      </w:r>
      <w:r>
        <w:t xml:space="preserve">/00), </w:t>
      </w:r>
      <w:bookmarkStart w:id="45" w:name="_Hlk135219524"/>
      <w:r>
        <w:t xml:space="preserve">the </w:t>
      </w:r>
      <w:r w:rsidRPr="006F6CD4">
        <w:t>Australian Design Rule</w:t>
      </w:r>
      <w:r>
        <w:t xml:space="preserve"> 1</w:t>
      </w:r>
      <w:r w:rsidR="004516D1">
        <w:t>9</w:t>
      </w:r>
      <w:r>
        <w:t>/0</w:t>
      </w:r>
      <w:r w:rsidR="004516D1">
        <w:t>2</w:t>
      </w:r>
      <w:r>
        <w:t xml:space="preserve"> – </w:t>
      </w:r>
      <w:r w:rsidR="004516D1" w:rsidRPr="004516D1">
        <w:t>Installation of Lighting &amp; Light-signalling Devices on L-Group Vehicles</w:t>
      </w:r>
      <w:r>
        <w:t xml:space="preserve"> (ADR 1</w:t>
      </w:r>
      <w:r w:rsidR="004516D1">
        <w:t>9</w:t>
      </w:r>
      <w:r>
        <w:t>/0</w:t>
      </w:r>
      <w:r w:rsidR="004516D1">
        <w:t>2</w:t>
      </w:r>
      <w:r>
        <w:t>),</w:t>
      </w:r>
      <w:r w:rsidR="004516D1" w:rsidRPr="004516D1">
        <w:t xml:space="preserve"> </w:t>
      </w:r>
      <w:r w:rsidR="004516D1">
        <w:t xml:space="preserve">the </w:t>
      </w:r>
      <w:r w:rsidR="004516D1" w:rsidRPr="006F6CD4">
        <w:t>Australian Design Rule</w:t>
      </w:r>
      <w:r w:rsidR="004516D1">
        <w:t xml:space="preserve"> 19/01 – </w:t>
      </w:r>
      <w:r w:rsidR="004516D1" w:rsidRPr="004516D1">
        <w:t>Installation of Lighting &amp; Light-signalling Devices on L-Group Vehicles</w:t>
      </w:r>
      <w:r w:rsidR="004516D1">
        <w:t xml:space="preserve"> (ADR 19/01)</w:t>
      </w:r>
      <w:r>
        <w:t xml:space="preserve"> and the </w:t>
      </w:r>
      <w:r w:rsidRPr="006F6CD4">
        <w:t>Australian Design Rule</w:t>
      </w:r>
      <w:r>
        <w:t xml:space="preserve"> </w:t>
      </w:r>
      <w:bookmarkStart w:id="46" w:name="_Hlk135235337"/>
      <w:r w:rsidR="004516D1">
        <w:t>67</w:t>
      </w:r>
      <w:r>
        <w:t>/0</w:t>
      </w:r>
      <w:r w:rsidR="004516D1">
        <w:t>0</w:t>
      </w:r>
      <w:r>
        <w:t xml:space="preserve"> – </w:t>
      </w:r>
      <w:bookmarkEnd w:id="46"/>
      <w:r w:rsidR="004516D1" w:rsidRPr="004516D1">
        <w:t>Installation of Lighting and Light Signalling Devices on Three-Wheeled Vehicles</w:t>
      </w:r>
      <w:r w:rsidR="004516D1">
        <w:t xml:space="preserve"> </w:t>
      </w:r>
      <w:r>
        <w:t>(ADR </w:t>
      </w:r>
      <w:r w:rsidR="004516D1">
        <w:t>67</w:t>
      </w:r>
      <w:r>
        <w:t>/0</w:t>
      </w:r>
      <w:r w:rsidR="004516D1">
        <w:t>0</w:t>
      </w:r>
      <w:r>
        <w:t>)</w:t>
      </w:r>
      <w:bookmarkEnd w:id="45"/>
      <w:r>
        <w:t>.</w:t>
      </w:r>
    </w:p>
    <w:p w14:paraId="4416571A" w14:textId="40BA7616" w:rsidR="009A4B09" w:rsidRDefault="009A4B09" w:rsidP="008852D4">
      <w:r>
        <w:t xml:space="preserve">The Amending Instrument introduces three new ADRs as equivalent alternatives to the existing vehicle lighting ADRs referenced in ADRs 13/00, 19/02, 19/01 and 67/00. These new ADRs are Australian Design Rule 102/00 – Light Signalling Devices (ADR 102/00), Australian Design Rule 103/00 – </w:t>
      </w:r>
      <w:r w:rsidRPr="009A4B09">
        <w:t xml:space="preserve">Road Illumination Devices (Lamps) </w:t>
      </w:r>
      <w:r>
        <w:t xml:space="preserve">(ADR 103/00) and Australian Design Rule 104/00 – </w:t>
      </w:r>
      <w:r w:rsidRPr="009A4B09">
        <w:t xml:space="preserve">Retro-Reflective Devices </w:t>
      </w:r>
      <w:r>
        <w:t>(ADR 104/00).</w:t>
      </w:r>
    </w:p>
    <w:p w14:paraId="638E36D4" w14:textId="4F612101" w:rsidR="009A4B09" w:rsidRDefault="009A4B09" w:rsidP="008852D4">
      <w:r>
        <w:t>ADR 102/00 combines the technical provisions of individual ADRs (UN R No), 1 (23) – Reversing Lamps, 6 (6) – Direction Indicators, 48 (4) – Devices for Illumination of Rear Registration Plates, 49 (7) – Front and Rear Position (Side) Lamps, Stop Lamps and End-outline Marker Lamps, 52 (38) – Rear Fog Lamps, 53 (50) – Front and Rear Position Lamps, Stop Lamps, Direction Indicator &amp; Rear Registration Plates Lamps for L-Group Vehicles, 74 (91) – Side Marker Lamps, 76 (87) – Daytime Running Lamps and 86 (77) – Parking Lamps.</w:t>
      </w:r>
    </w:p>
    <w:p w14:paraId="5C3C0AFD" w14:textId="1BDAFDFA" w:rsidR="009A4B09" w:rsidRDefault="009A4B09" w:rsidP="008852D4">
      <w:r>
        <w:t>ADR 103/00 combines the technical provisions of individual ADRs (UN R No), 50 (19) – Front Fog Lamps, 77 (98) – Gas Discharge Headlamps, 46 (112,113) – Headlamps, 87 (119) – Cornering Lamps, ADR 13/00 Section 6.22 (123) – Adaptive Front Lighting Systems.</w:t>
      </w:r>
    </w:p>
    <w:p w14:paraId="3B4E2548" w14:textId="7FFE542E" w:rsidR="009A4B09" w:rsidRDefault="009A4B09" w:rsidP="008852D4">
      <w:r>
        <w:t>ADR 104/00 combines the technical provisions of individual ADRs (UN R No), 47 (3) – Retro-reflecting devices, (27) – Advanced warning triangles, (69) – Rear marker plates for slow moving vehicles, (70) – Rear marking plates for heavy and long vehicles, (104) –Retro reflective markings.</w:t>
      </w:r>
    </w:p>
    <w:p w14:paraId="71CBFBC2" w14:textId="77777777" w:rsidR="008852D4" w:rsidRPr="00202707" w:rsidRDefault="008852D4" w:rsidP="008852D4">
      <w:pPr>
        <w:rPr>
          <w:i/>
          <w:u w:val="single"/>
        </w:rPr>
      </w:pPr>
      <w:r w:rsidRPr="00202707">
        <w:rPr>
          <w:i/>
          <w:u w:val="single"/>
        </w:rPr>
        <w:t>Schedule 1 Amendments</w:t>
      </w:r>
    </w:p>
    <w:p w14:paraId="158BC524" w14:textId="60F3E456" w:rsidR="004516D1" w:rsidRDefault="008852D4" w:rsidP="00744974">
      <w:pPr>
        <w:rPr>
          <w:color w:val="000000"/>
        </w:rPr>
      </w:pPr>
      <w:r w:rsidRPr="00165733">
        <w:t xml:space="preserve">Schedule </w:t>
      </w:r>
      <w:r>
        <w:t>1</w:t>
      </w:r>
      <w:r w:rsidRPr="00165733">
        <w:t xml:space="preserve"> of the Amending Instrument amends </w:t>
      </w:r>
      <w:r w:rsidR="0038189D">
        <w:t xml:space="preserve">ADR </w:t>
      </w:r>
      <w:r w:rsidR="004516D1">
        <w:t>13</w:t>
      </w:r>
      <w:r w:rsidR="0038189D">
        <w:t>/00.</w:t>
      </w:r>
      <w:r w:rsidR="004E3F16">
        <w:t xml:space="preserve"> </w:t>
      </w:r>
      <w:r w:rsidR="004E3F16" w:rsidRPr="00585A53">
        <w:t>The purpose of ADR</w:t>
      </w:r>
      <w:r w:rsidR="00816F24">
        <w:t> </w:t>
      </w:r>
      <w:r w:rsidR="004516D1">
        <w:t>13</w:t>
      </w:r>
      <w:r w:rsidR="004E3F16" w:rsidRPr="00585A53">
        <w:t xml:space="preserve">/00 is to </w:t>
      </w:r>
      <w:r w:rsidR="004516D1">
        <w:rPr>
          <w:color w:val="000000"/>
        </w:rPr>
        <w:t>prescribe requirements for the number and mode of installation of lighting and light signalling devices on motor vehicle other than L-group vehicles.</w:t>
      </w:r>
    </w:p>
    <w:p w14:paraId="05CF171E" w14:textId="6A6F0E75" w:rsidR="00744974" w:rsidRDefault="008E1016" w:rsidP="00744974">
      <w:r>
        <w:t xml:space="preserve">The Amending Instrument inserts new </w:t>
      </w:r>
      <w:r w:rsidR="004516D1">
        <w:t xml:space="preserve">ADRs to Table 1 in </w:t>
      </w:r>
      <w:r>
        <w:t xml:space="preserve">clause </w:t>
      </w:r>
      <w:r w:rsidR="00895256">
        <w:t>7.7</w:t>
      </w:r>
      <w:r>
        <w:t xml:space="preserve"> </w:t>
      </w:r>
      <w:r w:rsidR="00CC27D6">
        <w:t>allowing additional certification pathways for vehicle lighting</w:t>
      </w:r>
      <w:r w:rsidR="00E67477">
        <w:t xml:space="preserve"> components</w:t>
      </w:r>
      <w:r w:rsidR="00744974">
        <w:t xml:space="preserve">. </w:t>
      </w:r>
      <w:r w:rsidR="00CC27D6">
        <w:t>Table 1</w:t>
      </w:r>
      <w:r w:rsidR="003B7CD7">
        <w:t xml:space="preserve"> in clause 7.7</w:t>
      </w:r>
      <w:r w:rsidR="00CC27D6">
        <w:t xml:space="preserve"> includes r</w:t>
      </w:r>
      <w:r w:rsidR="00CC27D6" w:rsidRPr="00CC27D6">
        <w:t>eferences to U</w:t>
      </w:r>
      <w:r w:rsidR="00CC27D6">
        <w:t xml:space="preserve">nited </w:t>
      </w:r>
      <w:r w:rsidR="00CC27D6" w:rsidRPr="00CC27D6">
        <w:t>N</w:t>
      </w:r>
      <w:r w:rsidR="00CC27D6">
        <w:t>ations (UN)</w:t>
      </w:r>
      <w:r w:rsidR="00CC27D6" w:rsidRPr="00CC27D6">
        <w:t xml:space="preserve"> regulations</w:t>
      </w:r>
      <w:r w:rsidR="00E67477">
        <w:t xml:space="preserve"> and equivalent ADRs</w:t>
      </w:r>
      <w:r w:rsidR="00CC27D6" w:rsidRPr="00CC27D6">
        <w:t xml:space="preserve"> for </w:t>
      </w:r>
      <w:r w:rsidR="00E67477">
        <w:t xml:space="preserve">vehicle </w:t>
      </w:r>
      <w:r w:rsidR="00CC27D6" w:rsidRPr="00CC27D6">
        <w:t>lighting components</w:t>
      </w:r>
      <w:r w:rsidR="00E67477">
        <w:t>.</w:t>
      </w:r>
      <w:r w:rsidR="00744974" w:rsidRPr="00585A53">
        <w:t xml:space="preserve"> </w:t>
      </w:r>
      <w:r w:rsidR="00BA471E">
        <w:t xml:space="preserve">Following this amendment, </w:t>
      </w:r>
      <w:r w:rsidR="00E67477">
        <w:t>manufacturers are provided additional pathways via the new ADRs to certify their vehicle lighting components</w:t>
      </w:r>
      <w:r w:rsidR="00744974">
        <w:t>.</w:t>
      </w:r>
    </w:p>
    <w:p w14:paraId="418A8289" w14:textId="4604D366" w:rsidR="008475EF" w:rsidRPr="00585A53" w:rsidRDefault="008475EF" w:rsidP="00744974">
      <w:r>
        <w:t xml:space="preserve">The Amending Instrument inserts a new clause 7.8 </w:t>
      </w:r>
      <w:r w:rsidR="003353CB">
        <w:t>which includes</w:t>
      </w:r>
      <w:r>
        <w:t xml:space="preserve"> a table with references to UN regulations</w:t>
      </w:r>
      <w:r w:rsidR="003353CB">
        <w:t xml:space="preserve"> and equivalent new ADRs</w:t>
      </w:r>
      <w:r>
        <w:t>.</w:t>
      </w:r>
      <w:r w:rsidRPr="008475EF">
        <w:t xml:space="preserve"> </w:t>
      </w:r>
      <w:r>
        <w:t>The purpose of this new table is to allow specific vehicle lighting components to certify to UN regulations where there was no equivalent ADR in the past. This ensures manufacturers are not forced to certify these specific vehicle lighting components</w:t>
      </w:r>
      <w:r w:rsidR="003353CB">
        <w:t xml:space="preserve"> to the new ADRs the day after this Amending Instrument is registered.</w:t>
      </w:r>
    </w:p>
    <w:p w14:paraId="5C836660" w14:textId="640B1C6E" w:rsidR="00E67477" w:rsidRPr="00585A53" w:rsidRDefault="00E67477" w:rsidP="00E67477">
      <w:r>
        <w:lastRenderedPageBreak/>
        <w:t xml:space="preserve">The Amending Instrument inserts new ADRs to Table 1 in clause 8.2 identifying additional certification pathways via the new ADRs for vehicle lighting components. Table 1 in clause 8.2 </w:t>
      </w:r>
      <w:r w:rsidRPr="00E67477">
        <w:t xml:space="preserve">lists the colours and the relevant component lighting standards </w:t>
      </w:r>
      <w:r>
        <w:t xml:space="preserve">(ADRs) </w:t>
      </w:r>
      <w:r w:rsidRPr="00E67477">
        <w:t>applicable for each type of lamp</w:t>
      </w:r>
      <w:r>
        <w:t>. Following this amendment, manufacturers are provided additional pathways via the new ADRs to certify their vehicle lighting components.</w:t>
      </w:r>
    </w:p>
    <w:p w14:paraId="2AAF6201" w14:textId="77777777" w:rsidR="00016E70" w:rsidRDefault="00E67477" w:rsidP="00016E70">
      <w:pPr>
        <w:keepLines/>
      </w:pPr>
      <w:r>
        <w:t>These changes do not increase the stringency of requirements with regard to vehicle lighting</w:t>
      </w:r>
      <w:r w:rsidR="00016E70">
        <w:t xml:space="preserve"> components</w:t>
      </w:r>
      <w:r>
        <w:t>, so will not require any vehicles demonstrated to comply with the original version of the ADR prior to these amendments to be re-tested or re-certified.</w:t>
      </w:r>
    </w:p>
    <w:p w14:paraId="5AFCEA6A" w14:textId="6C66469A" w:rsidR="001A569B" w:rsidRPr="00202707" w:rsidRDefault="001A569B" w:rsidP="00016E70">
      <w:pPr>
        <w:keepLines/>
        <w:rPr>
          <w:i/>
          <w:u w:val="single"/>
        </w:rPr>
      </w:pPr>
      <w:r w:rsidRPr="00202707">
        <w:rPr>
          <w:i/>
          <w:u w:val="single"/>
        </w:rPr>
        <w:t xml:space="preserve">Schedule </w:t>
      </w:r>
      <w:r>
        <w:rPr>
          <w:i/>
          <w:u w:val="single"/>
        </w:rPr>
        <w:t>2</w:t>
      </w:r>
      <w:r w:rsidRPr="00202707">
        <w:rPr>
          <w:i/>
          <w:u w:val="single"/>
        </w:rPr>
        <w:t xml:space="preserve"> Amendments</w:t>
      </w:r>
    </w:p>
    <w:p w14:paraId="0240221F" w14:textId="587331B2" w:rsidR="00E67477" w:rsidRDefault="00E67477" w:rsidP="00E67477">
      <w:pPr>
        <w:rPr>
          <w:color w:val="000000"/>
        </w:rPr>
      </w:pPr>
      <w:r w:rsidRPr="00165733">
        <w:t xml:space="preserve">Schedule </w:t>
      </w:r>
      <w:r>
        <w:t>2</w:t>
      </w:r>
      <w:r w:rsidRPr="00165733">
        <w:t xml:space="preserve"> of the Amending Instrument amends </w:t>
      </w:r>
      <w:r>
        <w:t xml:space="preserve">ADR 19/02. </w:t>
      </w:r>
      <w:r w:rsidRPr="00585A53">
        <w:t>The purpose of ADR</w:t>
      </w:r>
      <w:r>
        <w:t> 19</w:t>
      </w:r>
      <w:r w:rsidRPr="00585A53">
        <w:t>/0</w:t>
      </w:r>
      <w:r>
        <w:t>2</w:t>
      </w:r>
      <w:r w:rsidRPr="00585A53">
        <w:t xml:space="preserve"> is to </w:t>
      </w:r>
      <w:r w:rsidR="00016E70" w:rsidRPr="00016E70">
        <w:rPr>
          <w:color w:val="000000"/>
        </w:rPr>
        <w:t>prescribe requirements for the number and mode of installation of lighting and light-signalling devices on L-group vehicles.</w:t>
      </w:r>
    </w:p>
    <w:p w14:paraId="7169A04D" w14:textId="0CE38B99" w:rsidR="00E67477" w:rsidRPr="00585A53" w:rsidRDefault="00E67477" w:rsidP="00E67477">
      <w:r>
        <w:t xml:space="preserve">The Amending Instrument inserts new ADRs to Table 1 in clause </w:t>
      </w:r>
      <w:r w:rsidR="00016E70">
        <w:t>9.4</w:t>
      </w:r>
      <w:r>
        <w:t xml:space="preserve"> </w:t>
      </w:r>
      <w:r w:rsidR="00016E70">
        <w:t>identifying</w:t>
      </w:r>
      <w:r>
        <w:t xml:space="preserve"> additional certification pathways for vehicle lighting components. Table 1 in clause </w:t>
      </w:r>
      <w:r w:rsidR="00016E70">
        <w:t>9.4</w:t>
      </w:r>
      <w:r>
        <w:t xml:space="preserve"> </w:t>
      </w:r>
      <w:r w:rsidR="00016E70">
        <w:t xml:space="preserve">identifies the </w:t>
      </w:r>
      <w:proofErr w:type="spellStart"/>
      <w:r w:rsidR="00016E70">
        <w:t>color</w:t>
      </w:r>
      <w:proofErr w:type="spellEnd"/>
      <w:r w:rsidR="00016E70">
        <w:t xml:space="preserve"> of light emitted by lamps and reflectors and </w:t>
      </w:r>
      <w:r>
        <w:t>includes r</w:t>
      </w:r>
      <w:r w:rsidRPr="00CC27D6">
        <w:t xml:space="preserve">eferences to </w:t>
      </w:r>
      <w:r w:rsidR="00016E70">
        <w:t>the respective</w:t>
      </w:r>
      <w:r>
        <w:t xml:space="preserve"> ADRs</w:t>
      </w:r>
      <w:r w:rsidRPr="00CC27D6">
        <w:t xml:space="preserve"> for </w:t>
      </w:r>
      <w:r>
        <w:t xml:space="preserve">vehicle </w:t>
      </w:r>
      <w:r w:rsidRPr="00CC27D6">
        <w:t>lighting components</w:t>
      </w:r>
      <w:r>
        <w:t>.</w:t>
      </w:r>
      <w:r w:rsidRPr="00585A53">
        <w:t xml:space="preserve"> </w:t>
      </w:r>
      <w:r>
        <w:t>Following this amendment, manufacturers are provided additional pathways via the new ADRs to certify their vehicle lighting components.</w:t>
      </w:r>
    </w:p>
    <w:p w14:paraId="7BD44ECE" w14:textId="13C08B67" w:rsidR="00E67477" w:rsidRDefault="00E67477" w:rsidP="00016E70">
      <w:pPr>
        <w:keepLines/>
      </w:pPr>
      <w:r>
        <w:t>These changes do not increase the stringency of requirements with regard to vehicle lighting</w:t>
      </w:r>
      <w:r w:rsidR="00016E70">
        <w:t xml:space="preserve"> components</w:t>
      </w:r>
      <w:r>
        <w:t>, so will not require any vehicles demonstrated to comply with the original version of the ADR prior to these amendments to be re-tested or re-certified.</w:t>
      </w:r>
    </w:p>
    <w:p w14:paraId="47553324" w14:textId="4A60F980" w:rsidR="0038189D" w:rsidRPr="00202707" w:rsidRDefault="0038189D" w:rsidP="0038189D">
      <w:pPr>
        <w:keepNext/>
        <w:rPr>
          <w:i/>
          <w:u w:val="single"/>
        </w:rPr>
      </w:pPr>
      <w:r w:rsidRPr="00202707">
        <w:rPr>
          <w:i/>
          <w:u w:val="single"/>
        </w:rPr>
        <w:t xml:space="preserve">Schedule </w:t>
      </w:r>
      <w:r>
        <w:rPr>
          <w:i/>
          <w:u w:val="single"/>
        </w:rPr>
        <w:t>3</w:t>
      </w:r>
      <w:r w:rsidRPr="00202707">
        <w:rPr>
          <w:i/>
          <w:u w:val="single"/>
        </w:rPr>
        <w:t xml:space="preserve"> Amendments</w:t>
      </w:r>
    </w:p>
    <w:p w14:paraId="55F4EEAB" w14:textId="0EFC050B" w:rsidR="00016E70" w:rsidRDefault="00016E70" w:rsidP="00016E70">
      <w:pPr>
        <w:rPr>
          <w:color w:val="000000"/>
        </w:rPr>
      </w:pPr>
      <w:r w:rsidRPr="00165733">
        <w:t xml:space="preserve">Schedule </w:t>
      </w:r>
      <w:r>
        <w:t>3</w:t>
      </w:r>
      <w:r w:rsidRPr="00165733">
        <w:t xml:space="preserve"> of the Amending Instrument amends </w:t>
      </w:r>
      <w:r>
        <w:t xml:space="preserve">ADR 19/01. </w:t>
      </w:r>
      <w:r w:rsidRPr="00585A53">
        <w:t>The purpose of ADR</w:t>
      </w:r>
      <w:r>
        <w:t> 19</w:t>
      </w:r>
      <w:r w:rsidRPr="00585A53">
        <w:t>/0</w:t>
      </w:r>
      <w:r>
        <w:t>1</w:t>
      </w:r>
      <w:r w:rsidRPr="00585A53">
        <w:t xml:space="preserve"> is to </w:t>
      </w:r>
      <w:r w:rsidRPr="00016E70">
        <w:rPr>
          <w:color w:val="000000"/>
        </w:rPr>
        <w:t>prescribe requirements for the number and mode of installation of lighting and light-signalling devices on L-group vehicles.</w:t>
      </w:r>
      <w:r>
        <w:rPr>
          <w:color w:val="000000"/>
        </w:rPr>
        <w:t xml:space="preserve"> ADR 19/01 is an acceptable prior rule for ADR 19/02.</w:t>
      </w:r>
    </w:p>
    <w:p w14:paraId="3075053E" w14:textId="2BEFBAC9" w:rsidR="00016E70" w:rsidRPr="00585A53" w:rsidRDefault="00016E70" w:rsidP="00016E70">
      <w:r>
        <w:t xml:space="preserve">The Amending Instrument inserts new ADRs to Table 1 in clause </w:t>
      </w:r>
      <w:r w:rsidR="00255A00">
        <w:t>6</w:t>
      </w:r>
      <w:r>
        <w:t xml:space="preserve">.4 identifying additional certification pathways for vehicle lighting components. Table 1 in clause </w:t>
      </w:r>
      <w:r w:rsidR="00255A00">
        <w:t>6</w:t>
      </w:r>
      <w:r>
        <w:t xml:space="preserve">.4 identifies the </w:t>
      </w:r>
      <w:proofErr w:type="spellStart"/>
      <w:r>
        <w:t>color</w:t>
      </w:r>
      <w:proofErr w:type="spellEnd"/>
      <w:r>
        <w:t xml:space="preserve"> of light emitted by lamps and reflectors and includes r</w:t>
      </w:r>
      <w:r w:rsidRPr="00CC27D6">
        <w:t xml:space="preserve">eferences to </w:t>
      </w:r>
      <w:r>
        <w:t>the respective ADRs</w:t>
      </w:r>
      <w:r w:rsidRPr="00CC27D6">
        <w:t xml:space="preserve"> for </w:t>
      </w:r>
      <w:r>
        <w:t xml:space="preserve">vehicle </w:t>
      </w:r>
      <w:r w:rsidRPr="00CC27D6">
        <w:t>lighting components</w:t>
      </w:r>
      <w:r>
        <w:t>.</w:t>
      </w:r>
      <w:r w:rsidRPr="00585A53">
        <w:t xml:space="preserve"> </w:t>
      </w:r>
      <w:r>
        <w:t>Following this amendment, manufacturers are provided additional pathways via the new ADRs to certify their vehicle lighting components.</w:t>
      </w:r>
    </w:p>
    <w:p w14:paraId="1456DD50" w14:textId="755A20E1" w:rsidR="00016E70" w:rsidRDefault="00016E70" w:rsidP="00016E70">
      <w:pPr>
        <w:keepLines/>
      </w:pPr>
      <w:r>
        <w:t>These changes do not increase the stringency of requirements with regard to vehicle lighting components, so will not require any vehicles demonstrated to comply with the original version of the ADR prior to these amendments to be re-tested or re-certified.</w:t>
      </w:r>
    </w:p>
    <w:p w14:paraId="5C558CA3" w14:textId="3F19C138" w:rsidR="00016E70" w:rsidRPr="00202707" w:rsidRDefault="00016E70" w:rsidP="00016E70">
      <w:pPr>
        <w:keepNext/>
        <w:rPr>
          <w:i/>
          <w:u w:val="single"/>
        </w:rPr>
      </w:pPr>
      <w:r w:rsidRPr="00202707">
        <w:rPr>
          <w:i/>
          <w:u w:val="single"/>
        </w:rPr>
        <w:t xml:space="preserve">Schedule </w:t>
      </w:r>
      <w:r>
        <w:rPr>
          <w:i/>
          <w:u w:val="single"/>
        </w:rPr>
        <w:t>4</w:t>
      </w:r>
      <w:r w:rsidRPr="00202707">
        <w:rPr>
          <w:i/>
          <w:u w:val="single"/>
        </w:rPr>
        <w:t xml:space="preserve"> Amendments</w:t>
      </w:r>
    </w:p>
    <w:p w14:paraId="59013C74" w14:textId="07619068" w:rsidR="00016E70" w:rsidRDefault="00016E70" w:rsidP="00016E70">
      <w:pPr>
        <w:rPr>
          <w:color w:val="000000"/>
        </w:rPr>
      </w:pPr>
      <w:r w:rsidRPr="00165733">
        <w:t xml:space="preserve">Schedule </w:t>
      </w:r>
      <w:r>
        <w:t>4</w:t>
      </w:r>
      <w:r w:rsidRPr="00165733">
        <w:t xml:space="preserve"> of the Amending Instrument amends </w:t>
      </w:r>
      <w:r>
        <w:t xml:space="preserve">ADR </w:t>
      </w:r>
      <w:r w:rsidR="00565107">
        <w:t>67/00</w:t>
      </w:r>
      <w:r>
        <w:t xml:space="preserve">. </w:t>
      </w:r>
      <w:r w:rsidRPr="00585A53">
        <w:t>The purpose of ADR</w:t>
      </w:r>
      <w:r>
        <w:t> </w:t>
      </w:r>
      <w:r w:rsidR="00565107">
        <w:t>67/00</w:t>
      </w:r>
      <w:r w:rsidRPr="00585A53">
        <w:t xml:space="preserve"> is </w:t>
      </w:r>
      <w:proofErr w:type="gramStart"/>
      <w:r w:rsidR="00565107" w:rsidRPr="00565107">
        <w:t>ensure</w:t>
      </w:r>
      <w:proofErr w:type="gramEnd"/>
      <w:r w:rsidR="00565107" w:rsidRPr="00565107">
        <w:t xml:space="preserve"> that the installation of the lighting and light-signalling devices on </w:t>
      </w:r>
      <w:r w:rsidR="00565107">
        <w:t>a three-wheeled vehicle</w:t>
      </w:r>
      <w:r w:rsidR="00565107" w:rsidRPr="00565107">
        <w:t xml:space="preserve"> is such that the effective operation of these devices is not impaired.</w:t>
      </w:r>
      <w:r w:rsidR="00565107">
        <w:t xml:space="preserve"> </w:t>
      </w:r>
      <w:r w:rsidR="00C40492">
        <w:t>Three-wheeled v</w:t>
      </w:r>
      <w:r w:rsidR="00565107">
        <w:t xml:space="preserve">ehicles certified to </w:t>
      </w:r>
      <w:r>
        <w:rPr>
          <w:color w:val="000000"/>
        </w:rPr>
        <w:t>ADR 19</w:t>
      </w:r>
      <w:r w:rsidR="00C40492">
        <w:rPr>
          <w:color w:val="000000"/>
        </w:rPr>
        <w:t>/…</w:t>
      </w:r>
      <w:r>
        <w:rPr>
          <w:color w:val="000000"/>
        </w:rPr>
        <w:t xml:space="preserve"> </w:t>
      </w:r>
      <w:r w:rsidR="00565107">
        <w:rPr>
          <w:color w:val="000000"/>
        </w:rPr>
        <w:t>need not comply with ADR 67/00</w:t>
      </w:r>
      <w:r>
        <w:rPr>
          <w:color w:val="000000"/>
        </w:rPr>
        <w:t>.</w:t>
      </w:r>
    </w:p>
    <w:p w14:paraId="1F7915EB" w14:textId="4C5105EE" w:rsidR="00016E70" w:rsidRDefault="00016E70" w:rsidP="00016E70">
      <w:r>
        <w:t xml:space="preserve">The Amending Instrument inserts new ADRs </w:t>
      </w:r>
      <w:r w:rsidR="007432D0">
        <w:t xml:space="preserve">where applicable </w:t>
      </w:r>
      <w:r w:rsidR="00565107">
        <w:t>which are equivalent to the existing lighting ADRs thereby</w:t>
      </w:r>
      <w:r>
        <w:t xml:space="preserve"> </w:t>
      </w:r>
      <w:r w:rsidR="006B3024">
        <w:t>providing</w:t>
      </w:r>
      <w:r>
        <w:t xml:space="preserve"> additional certification pathways for </w:t>
      </w:r>
      <w:r>
        <w:lastRenderedPageBreak/>
        <w:t>vehicle lighting components. Following this amendment, manufacturers are provided additional pathways via the new ADRs to certify their vehicle lighting components.</w:t>
      </w:r>
    </w:p>
    <w:p w14:paraId="0DF56389" w14:textId="19A5FDD7" w:rsidR="00AA0B67" w:rsidRDefault="00AA0B67" w:rsidP="00AA0B67">
      <w:r>
        <w:t>The Amending Instrument inserts the new ADR 102</w:t>
      </w:r>
      <w:r w:rsidR="004E4AE5">
        <w:t>/00</w:t>
      </w:r>
      <w:r>
        <w:t xml:space="preserve"> to clauses 7.3.2.1.1., 7.3.2.1.2., 7.3.2.2.1., 7.3.2.2.2., 7.3.2.2.3., 7.3.2.3.1., 7.3.2.3.2., 7.3.2.3.3., 7.4.1.1., 7.4.1.2., 7.4.1.3., 7.5.1.2., 7.5.1.3., 7.6.1.1.1., 7.6.1.2.1., 7.7.1.1., 7.7.1.2., 7.7.1.3., 7.11.1.1., </w:t>
      </w:r>
      <w:r w:rsidR="004E4AE5">
        <w:t xml:space="preserve">7.11.1.2., 7.13.2.1.1., 7.13.2.1.2., 7.13.2.2.1., 7.13.2.2.2., 7.14.1., 7.17.2., 7.18.2., 7.19.1.1. and 7.19.2.1 </w:t>
      </w:r>
      <w:r>
        <w:t xml:space="preserve">identifying additional certification pathways for </w:t>
      </w:r>
      <w:r w:rsidR="004E4AE5">
        <w:t>light signalling devices</w:t>
      </w:r>
      <w:r>
        <w:t>.</w:t>
      </w:r>
    </w:p>
    <w:p w14:paraId="138210FC" w14:textId="24FCEB2F" w:rsidR="00AA0B67" w:rsidRDefault="00AA0B67" w:rsidP="00AA0B67">
      <w:r>
        <w:t>The Amending Instrument inserts the new ADR 103</w:t>
      </w:r>
      <w:r w:rsidR="004E4AE5">
        <w:t>/00</w:t>
      </w:r>
      <w:r>
        <w:t xml:space="preserve"> to clauses 7.1.1.1., 7.1.1.2., 7.2.1.1., 7.2.1.2., 7.2.1.3., 7.10.1.1., 7.10.1.2. and 7.16.1 identifying additional certification pathways for </w:t>
      </w:r>
      <w:r w:rsidR="004E4AE5">
        <w:t>road illumination devices</w:t>
      </w:r>
      <w:r>
        <w:t>.</w:t>
      </w:r>
    </w:p>
    <w:p w14:paraId="0598B9B7" w14:textId="5EF86BA7" w:rsidR="004E4AE5" w:rsidRDefault="004E4AE5" w:rsidP="004E4AE5">
      <w:r>
        <w:t>The Amending Instrument inserts the new ADR 104/00 to clauses 7.8.1.1., 7.8.1.2., 7.12.1., 7.15.1.1. and 7.15.1.2. identifying additional certification pathways for retro-reflective devices.</w:t>
      </w:r>
    </w:p>
    <w:p w14:paraId="034AA1CE" w14:textId="77777777" w:rsidR="00016E70" w:rsidRDefault="00016E70" w:rsidP="00016E70">
      <w:pPr>
        <w:keepLines/>
      </w:pPr>
      <w:r>
        <w:t>These changes do not increase the stringency of requirements with regard to vehicle lighting components, so will not require any vehicles demonstrated to comply with the original version of the ADR prior to these amendments to be re-tested or re-certified.</w:t>
      </w:r>
    </w:p>
    <w:p w14:paraId="4B1825FE" w14:textId="77777777" w:rsidR="00C6506F" w:rsidRPr="00585A53" w:rsidRDefault="00C6506F" w:rsidP="00E72DD6">
      <w:pPr>
        <w:pStyle w:val="HeadingLevel1"/>
        <w:keepNext/>
        <w:tabs>
          <w:tab w:val="clear" w:pos="851"/>
          <w:tab w:val="num" w:pos="3119"/>
        </w:tabs>
      </w:pPr>
      <w:bookmarkStart w:id="47" w:name="_Toc140826190"/>
      <w:bookmarkEnd w:id="44"/>
      <w:r w:rsidRPr="00585A53">
        <w:t>MATTERS INCORPORATED BY REFERENCE</w:t>
      </w:r>
      <w:bookmarkEnd w:id="47"/>
    </w:p>
    <w:p w14:paraId="78765E1B" w14:textId="77777777" w:rsidR="00C6506F" w:rsidRPr="00585A53" w:rsidRDefault="00C6506F" w:rsidP="00C6506F">
      <w:pPr>
        <w:pStyle w:val="HeadingLevel2"/>
        <w:keepNext/>
        <w:tabs>
          <w:tab w:val="num" w:pos="3829"/>
        </w:tabs>
      </w:pPr>
      <w:bookmarkStart w:id="48" w:name="_Toc47693317"/>
      <w:bookmarkStart w:id="49" w:name="_Toc140826191"/>
      <w:r w:rsidRPr="00585A53">
        <w:t>Legislative Instruments</w:t>
      </w:r>
      <w:bookmarkEnd w:id="48"/>
      <w:bookmarkEnd w:id="49"/>
    </w:p>
    <w:p w14:paraId="6ECD4B84" w14:textId="54B983A0" w:rsidR="00CF577C" w:rsidRDefault="00CF577C" w:rsidP="00CF577C">
      <w:r>
        <w:t>[To be completed after public consultation]</w:t>
      </w:r>
    </w:p>
    <w:p w14:paraId="139243A9" w14:textId="35220ADF" w:rsidR="00C6506F" w:rsidRPr="00585A53" w:rsidRDefault="00290D2A" w:rsidP="00B244FD">
      <w:pPr>
        <w:pStyle w:val="HeadingLevel2"/>
        <w:keepNext/>
        <w:tabs>
          <w:tab w:val="num" w:pos="3829"/>
        </w:tabs>
      </w:pPr>
      <w:bookmarkStart w:id="50" w:name="_Toc140826192"/>
      <w:r w:rsidRPr="00585A53">
        <w:t>Other Documents</w:t>
      </w:r>
      <w:bookmarkEnd w:id="50"/>
    </w:p>
    <w:p w14:paraId="6F19E5C3" w14:textId="07E47E38" w:rsidR="00CF577C" w:rsidRDefault="00CF577C" w:rsidP="00CF577C">
      <w:bookmarkStart w:id="51" w:name="_Hlk206144373"/>
      <w:r>
        <w:t>[To be completed after public consultation]</w:t>
      </w:r>
    </w:p>
    <w:p w14:paraId="49072698" w14:textId="28C4B31F" w:rsidR="00586887" w:rsidRPr="00585A53" w:rsidRDefault="00610FED" w:rsidP="008520BB">
      <w:pPr>
        <w:pStyle w:val="HeadingLevel1"/>
        <w:keepNext/>
        <w:tabs>
          <w:tab w:val="clear" w:pos="851"/>
          <w:tab w:val="num" w:pos="3119"/>
        </w:tabs>
      </w:pPr>
      <w:bookmarkStart w:id="52" w:name="_Toc140826193"/>
      <w:bookmarkEnd w:id="51"/>
      <w:r w:rsidRPr="00585A53">
        <w:t>CONSULTATION</w:t>
      </w:r>
      <w:bookmarkEnd w:id="52"/>
    </w:p>
    <w:p w14:paraId="3260622C" w14:textId="77777777" w:rsidR="00040841" w:rsidRPr="00585A53" w:rsidRDefault="00040841" w:rsidP="00E72DD6">
      <w:pPr>
        <w:pStyle w:val="HeadingLevel2"/>
        <w:keepNext/>
        <w:tabs>
          <w:tab w:val="num" w:pos="993"/>
          <w:tab w:val="num" w:pos="3829"/>
        </w:tabs>
      </w:pPr>
      <w:bookmarkStart w:id="53" w:name="_Toc140826194"/>
      <w:r w:rsidRPr="00585A53">
        <w:t>General Consultation Arrangements</w:t>
      </w:r>
      <w:bookmarkEnd w:id="53"/>
    </w:p>
    <w:p w14:paraId="36A2FA5E" w14:textId="7588C9AB" w:rsidR="00EE68A7" w:rsidRPr="00585A53" w:rsidRDefault="00EE68A7" w:rsidP="00E90B0F">
      <w:pPr>
        <w:jc w:val="both"/>
      </w:pPr>
      <w:r w:rsidRPr="00585A53">
        <w:t>It has been longstanding practice to consult widely on proposed ne</w:t>
      </w:r>
      <w:r w:rsidR="005E5780" w:rsidRPr="00585A53">
        <w:t xml:space="preserve">w or amended vehicle standards. </w:t>
      </w:r>
      <w:r w:rsidRPr="00585A53">
        <w:t xml:space="preserve">For many years, there has been active collaboration between the Commonwealth and the </w:t>
      </w:r>
      <w:r w:rsidR="005B6B1C">
        <w:t>s</w:t>
      </w:r>
      <w:r w:rsidRPr="00585A53">
        <w:t>tate</w:t>
      </w:r>
      <w:r w:rsidR="004D4B51" w:rsidRPr="00585A53">
        <w:t xml:space="preserve"> and </w:t>
      </w:r>
      <w:r w:rsidR="005B6B1C">
        <w:t>t</w:t>
      </w:r>
      <w:r w:rsidRPr="00585A53">
        <w:t>erritory governments, as well as consultation with industry and consumer groups. Much of the consultation takes place within</w:t>
      </w:r>
      <w:r w:rsidR="00E90B0F">
        <w:t xml:space="preserve"> </w:t>
      </w:r>
      <w:r w:rsidRPr="00585A53">
        <w:t>institutional arrangements established for this purpose. The analysis and</w:t>
      </w:r>
      <w:r w:rsidR="00E90B0F">
        <w:t xml:space="preserve"> </w:t>
      </w:r>
      <w:r w:rsidRPr="00585A53">
        <w:t>documentation prepared in a particular case, and the bodies consulted, depend on the degree of impact the new or amended standard is expected to have on industry or road users.</w:t>
      </w:r>
    </w:p>
    <w:p w14:paraId="256BAD76" w14:textId="222D3E56" w:rsidR="00776E99" w:rsidRPr="00585A53" w:rsidRDefault="00776E99" w:rsidP="00254E43">
      <w:pPr>
        <w:keepLines/>
        <w:rPr>
          <w:i/>
        </w:rPr>
      </w:pPr>
      <w:r w:rsidRPr="00585A53">
        <w:t>Proposals that are regarded as significant need to be supported by a</w:t>
      </w:r>
      <w:r w:rsidR="004D4B51" w:rsidRPr="00585A53">
        <w:t>n Impact Analysis (IA)</w:t>
      </w:r>
      <w:r w:rsidRPr="00585A53">
        <w:t xml:space="preserve"> meeting the requirements of the Office of </w:t>
      </w:r>
      <w:r w:rsidR="009432DC" w:rsidRPr="00585A53">
        <w:t>Impact Analysis</w:t>
      </w:r>
      <w:r w:rsidRPr="00585A53">
        <w:t xml:space="preserve"> (O</w:t>
      </w:r>
      <w:r w:rsidR="009432DC" w:rsidRPr="00585A53">
        <w:t>IA</w:t>
      </w:r>
      <w:r w:rsidRPr="00585A53">
        <w:t>) as published in the</w:t>
      </w:r>
      <w:r w:rsidR="009432DC" w:rsidRPr="00585A53">
        <w:t xml:space="preserve"> </w:t>
      </w:r>
      <w:r w:rsidR="009432DC" w:rsidRPr="00585A53">
        <w:rPr>
          <w:i/>
          <w:iCs/>
        </w:rPr>
        <w:t xml:space="preserve">Australian Government Guide to </w:t>
      </w:r>
      <w:r w:rsidR="00072DF9" w:rsidRPr="00585A53">
        <w:rPr>
          <w:i/>
          <w:iCs/>
        </w:rPr>
        <w:t>Policy</w:t>
      </w:r>
      <w:r w:rsidR="009432DC" w:rsidRPr="00585A53">
        <w:rPr>
          <w:i/>
          <w:iCs/>
        </w:rPr>
        <w:t xml:space="preserve"> Impact Analysis</w:t>
      </w:r>
      <w:r w:rsidR="009432DC" w:rsidRPr="00585A53">
        <w:t xml:space="preserve"> or the </w:t>
      </w:r>
      <w:r w:rsidR="009432DC" w:rsidRPr="00585A53">
        <w:rPr>
          <w:i/>
        </w:rPr>
        <w:t>Regulatory Impact Analysis Guide for Ministers’ Meetings and National Standard Setting Bodies.</w:t>
      </w:r>
    </w:p>
    <w:p w14:paraId="2EEA3C05" w14:textId="77777777" w:rsidR="00040841" w:rsidRPr="00585A53" w:rsidRDefault="00040841" w:rsidP="00E72DD6">
      <w:pPr>
        <w:pStyle w:val="HeadingLevel2"/>
        <w:keepNext/>
        <w:tabs>
          <w:tab w:val="num" w:pos="993"/>
          <w:tab w:val="num" w:pos="3829"/>
        </w:tabs>
      </w:pPr>
      <w:bookmarkStart w:id="54" w:name="_Toc77091664"/>
      <w:bookmarkStart w:id="55" w:name="_Toc77253508"/>
      <w:bookmarkStart w:id="56" w:name="_Toc77253559"/>
      <w:bookmarkStart w:id="57" w:name="_Toc77263179"/>
      <w:bookmarkStart w:id="58" w:name="_Toc77264489"/>
      <w:bookmarkStart w:id="59" w:name="_Toc140826195"/>
      <w:bookmarkEnd w:id="54"/>
      <w:bookmarkEnd w:id="55"/>
      <w:bookmarkEnd w:id="56"/>
      <w:bookmarkEnd w:id="57"/>
      <w:bookmarkEnd w:id="58"/>
      <w:r w:rsidRPr="00585A53">
        <w:t>Specific Consultation Arrangements</w:t>
      </w:r>
      <w:bookmarkEnd w:id="59"/>
    </w:p>
    <w:p w14:paraId="168178BD" w14:textId="41E29CB6" w:rsidR="00E90B0F" w:rsidRDefault="00E31B54" w:rsidP="00E90B0F">
      <w:bookmarkStart w:id="60" w:name="_Toc100306489"/>
      <w:bookmarkStart w:id="61" w:name="_Toc100308223"/>
      <w:bookmarkStart w:id="62" w:name="_Toc100308256"/>
      <w:bookmarkStart w:id="63" w:name="_Toc100310684"/>
      <w:bookmarkStart w:id="64" w:name="_Toc100317893"/>
      <w:bookmarkStart w:id="65" w:name="_Toc100306490"/>
      <w:bookmarkStart w:id="66" w:name="_Toc100308224"/>
      <w:bookmarkStart w:id="67" w:name="_Toc100308257"/>
      <w:bookmarkStart w:id="68" w:name="_Toc100310685"/>
      <w:bookmarkStart w:id="69" w:name="_Toc100317894"/>
      <w:bookmarkStart w:id="70" w:name="_Toc100306491"/>
      <w:bookmarkStart w:id="71" w:name="_Toc100308225"/>
      <w:bookmarkStart w:id="72" w:name="_Toc100308258"/>
      <w:bookmarkStart w:id="73" w:name="_Toc100310686"/>
      <w:bookmarkStart w:id="74" w:name="_Toc100317895"/>
      <w:bookmarkStart w:id="75" w:name="_Toc100306492"/>
      <w:bookmarkStart w:id="76" w:name="_Toc100308226"/>
      <w:bookmarkStart w:id="77" w:name="_Toc100308259"/>
      <w:bookmarkStart w:id="78" w:name="_Toc100310687"/>
      <w:bookmarkStart w:id="79" w:name="_Toc100317896"/>
      <w:bookmarkStart w:id="80" w:name="_Toc100306493"/>
      <w:bookmarkStart w:id="81" w:name="_Toc100308227"/>
      <w:bookmarkStart w:id="82" w:name="_Toc100308260"/>
      <w:bookmarkStart w:id="83" w:name="_Toc100310688"/>
      <w:bookmarkStart w:id="84" w:name="_Toc100317897"/>
      <w:bookmarkStart w:id="85" w:name="_Toc77253510"/>
      <w:bookmarkStart w:id="86" w:name="_Toc77253561"/>
      <w:bookmarkStart w:id="87" w:name="_Toc77263181"/>
      <w:bookmarkStart w:id="88" w:name="_Toc77264491"/>
      <w:bookmarkStart w:id="89" w:name="_Toc77253511"/>
      <w:bookmarkStart w:id="90" w:name="_Toc77253562"/>
      <w:bookmarkStart w:id="91" w:name="_Toc77263182"/>
      <w:bookmarkStart w:id="92" w:name="_Toc77264492"/>
      <w:bookmarkStart w:id="93" w:name="_Toc77253512"/>
      <w:bookmarkStart w:id="94" w:name="_Toc77253563"/>
      <w:bookmarkStart w:id="95" w:name="_Toc77263183"/>
      <w:bookmarkStart w:id="96" w:name="_Toc77264493"/>
      <w:bookmarkStart w:id="97" w:name="_Toc77253513"/>
      <w:bookmarkStart w:id="98" w:name="_Toc77253564"/>
      <w:bookmarkStart w:id="99" w:name="_Toc77263184"/>
      <w:bookmarkStart w:id="100" w:name="_Toc77264494"/>
      <w:bookmarkStart w:id="101" w:name="_Hlk206172649"/>
      <w:bookmarkStart w:id="102" w:name="_Toc74044077"/>
      <w:bookmarkStart w:id="103" w:name="_Toc74044726"/>
      <w:bookmarkStart w:id="104" w:name="_Toc140826196"/>
      <w:bookmarkStart w:id="105" w:name="_Toc46333225"/>
      <w:bookmarkStart w:id="106" w:name="_Toc46333479"/>
      <w:bookmarkStart w:id="107" w:name="_Toc46333633"/>
      <w:bookmarkStart w:id="108" w:name="_Toc46333798"/>
      <w:bookmarkStart w:id="109" w:name="_Toc46333912"/>
      <w:bookmarkStart w:id="110" w:name="_Toc4633464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Del="00E31B54">
        <w:t xml:space="preserve"> </w:t>
      </w:r>
      <w:r w:rsidR="00E90B0F">
        <w:t>[To be completed after public consultation]</w:t>
      </w:r>
      <w:bookmarkEnd w:id="101"/>
    </w:p>
    <w:p w14:paraId="4E3C1F86" w14:textId="040A035A" w:rsidR="00EE68A7" w:rsidRPr="00585A53" w:rsidRDefault="00EE68A7" w:rsidP="00EE68A7">
      <w:pPr>
        <w:pStyle w:val="HeadingLevel1"/>
      </w:pPr>
      <w:r w:rsidRPr="00585A53">
        <w:t>Regulatory Impact</w:t>
      </w:r>
      <w:bookmarkEnd w:id="102"/>
      <w:bookmarkEnd w:id="103"/>
      <w:bookmarkEnd w:id="104"/>
    </w:p>
    <w:p w14:paraId="550019F5" w14:textId="3C4EC3D3" w:rsidR="00C6506F" w:rsidRPr="00585A53" w:rsidRDefault="004D4B51" w:rsidP="00C6506F">
      <w:pPr>
        <w:pStyle w:val="HeadingLevel2"/>
        <w:keepNext/>
        <w:tabs>
          <w:tab w:val="num" w:pos="3829"/>
        </w:tabs>
      </w:pPr>
      <w:bookmarkStart w:id="111" w:name="_Toc140826197"/>
      <w:r w:rsidRPr="00585A53">
        <w:t>Impact Analysis</w:t>
      </w:r>
      <w:bookmarkEnd w:id="111"/>
    </w:p>
    <w:p w14:paraId="0D92C212" w14:textId="367D20B5" w:rsidR="002750BF" w:rsidRDefault="00E31B54" w:rsidP="002750BF">
      <w:bookmarkStart w:id="112" w:name="_Toc74044080"/>
      <w:bookmarkStart w:id="113" w:name="_Toc74044729"/>
      <w:bookmarkStart w:id="114" w:name="_Toc140826199"/>
      <w:r w:rsidRPr="00E31B54">
        <w:t>[To be completed after public consultation]</w:t>
      </w:r>
    </w:p>
    <w:p w14:paraId="4DB5C821" w14:textId="3CDD36F9" w:rsidR="00EE68A7" w:rsidRPr="00585A53" w:rsidRDefault="00EE68A7" w:rsidP="002750BF">
      <w:pPr>
        <w:pStyle w:val="HeadingLevel1"/>
      </w:pPr>
      <w:r w:rsidRPr="00585A53">
        <w:lastRenderedPageBreak/>
        <w:t>STATEMENT OF COMPATIBILITY WITH HUMAN RIGHTS</w:t>
      </w:r>
      <w:bookmarkEnd w:id="105"/>
      <w:bookmarkEnd w:id="106"/>
      <w:bookmarkEnd w:id="107"/>
      <w:bookmarkEnd w:id="108"/>
      <w:bookmarkEnd w:id="109"/>
      <w:bookmarkEnd w:id="110"/>
      <w:bookmarkEnd w:id="112"/>
      <w:bookmarkEnd w:id="113"/>
      <w:bookmarkEnd w:id="114"/>
    </w:p>
    <w:p w14:paraId="51CB8236" w14:textId="77777777" w:rsidR="00EE68A7" w:rsidRPr="00585A53" w:rsidRDefault="00EE68A7" w:rsidP="00EE68A7">
      <w:r w:rsidRPr="00585A53">
        <w:t xml:space="preserve">The following Statement is prepared in accordance with Part 3 of the </w:t>
      </w:r>
      <w:r w:rsidRPr="00585A53">
        <w:rPr>
          <w:i/>
          <w:iCs/>
        </w:rPr>
        <w:t>Human Rights (Parliamentary Scrutiny) Act 2011.</w:t>
      </w:r>
    </w:p>
    <w:p w14:paraId="074F44DC" w14:textId="77777777" w:rsidR="00EE68A7" w:rsidRPr="00585A53" w:rsidRDefault="00EE68A7" w:rsidP="00E15765">
      <w:pPr>
        <w:pStyle w:val="HeadingLevel2"/>
      </w:pPr>
      <w:bookmarkStart w:id="115" w:name="_Toc318271646"/>
      <w:bookmarkStart w:id="116" w:name="_Toc317171518"/>
      <w:bookmarkStart w:id="117" w:name="_Toc317171392"/>
      <w:bookmarkStart w:id="118" w:name="_Toc318272905"/>
      <w:bookmarkStart w:id="119" w:name="_Toc319402530"/>
      <w:bookmarkStart w:id="120" w:name="_Toc505092268"/>
      <w:bookmarkStart w:id="121" w:name="_Toc46333226"/>
      <w:bookmarkStart w:id="122" w:name="_Toc46333480"/>
      <w:bookmarkStart w:id="123" w:name="_Toc46333634"/>
      <w:bookmarkStart w:id="124" w:name="_Toc46333799"/>
      <w:bookmarkStart w:id="125" w:name="_Toc46333913"/>
      <w:bookmarkStart w:id="126" w:name="_Toc46334649"/>
      <w:bookmarkStart w:id="127" w:name="_Toc74044081"/>
      <w:bookmarkStart w:id="128" w:name="_Toc74044730"/>
      <w:bookmarkStart w:id="129" w:name="_Toc140826200"/>
      <w:r w:rsidRPr="00585A53">
        <w:t>Overview</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E4BAA87" w14:textId="53B4D04F" w:rsidR="002D5FCC" w:rsidRDefault="00A16932" w:rsidP="002D5FCC">
      <w:r>
        <w:t xml:space="preserve">The </w:t>
      </w:r>
      <w:r w:rsidR="004C13E7">
        <w:t>A</w:t>
      </w:r>
      <w:r>
        <w:t xml:space="preserve">mending </w:t>
      </w:r>
      <w:r w:rsidR="004C13E7">
        <w:t>I</w:t>
      </w:r>
      <w:r>
        <w:t xml:space="preserve">nstrument </w:t>
      </w:r>
      <w:r w:rsidR="004C13E7">
        <w:t>includes changes to</w:t>
      </w:r>
      <w:r w:rsidR="002D5FCC">
        <w:t xml:space="preserve"> ADRs 13/00, 19/02, 19/01 and 67/00 to introduce three new ADRs as equivalent alternatives to the existing vehicle lighting ADRs. These new ADRs are Australian Design Rule 102/00 – Light Signalling Devices (ADR 102/00), Australian Design Rule 103/00 – </w:t>
      </w:r>
      <w:r w:rsidR="002D5FCC" w:rsidRPr="009A4B09">
        <w:t xml:space="preserve">Road Illumination Devices (Lamps) </w:t>
      </w:r>
      <w:r w:rsidR="002D5FCC">
        <w:t xml:space="preserve">(ADR 103/00) and Australian Design Rule 104/00 – </w:t>
      </w:r>
      <w:r w:rsidR="002D5FCC" w:rsidRPr="009A4B09">
        <w:t xml:space="preserve">Retro-Reflective Devices </w:t>
      </w:r>
      <w:r w:rsidR="002D5FCC">
        <w:t>(ADR 104/00).</w:t>
      </w:r>
    </w:p>
    <w:p w14:paraId="429C45AC" w14:textId="3FE10847" w:rsidR="00EE68A7" w:rsidRPr="00585A53" w:rsidRDefault="00EE68A7" w:rsidP="00D04704">
      <w:pPr>
        <w:pStyle w:val="HeadingLevel2"/>
      </w:pPr>
      <w:bookmarkStart w:id="130" w:name="_Toc318271647"/>
      <w:bookmarkStart w:id="131" w:name="_Toc317171519"/>
      <w:bookmarkStart w:id="132" w:name="_Toc317171393"/>
      <w:bookmarkStart w:id="133" w:name="_Toc318272906"/>
      <w:bookmarkStart w:id="134" w:name="_Toc319402531"/>
      <w:bookmarkStart w:id="135" w:name="_Toc505092269"/>
      <w:bookmarkStart w:id="136" w:name="_Toc46333227"/>
      <w:bookmarkStart w:id="137" w:name="_Toc46333481"/>
      <w:bookmarkStart w:id="138" w:name="_Toc46333635"/>
      <w:bookmarkStart w:id="139" w:name="_Toc46333800"/>
      <w:bookmarkStart w:id="140" w:name="_Toc46333914"/>
      <w:bookmarkStart w:id="141" w:name="_Toc46334650"/>
      <w:bookmarkStart w:id="142" w:name="_Toc74044082"/>
      <w:bookmarkStart w:id="143" w:name="_Toc74044731"/>
      <w:bookmarkStart w:id="144" w:name="_Toc140826201"/>
      <w:r w:rsidRPr="00585A53">
        <w:t>Human Rights Implications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029B1A1" w14:textId="22EEA237" w:rsidR="00EE68A7" w:rsidRPr="00585A53" w:rsidRDefault="002F611F" w:rsidP="00EE68A7">
      <w:r>
        <w:t>The Amending Instrument</w:t>
      </w:r>
      <w:r w:rsidR="00EE68A7" w:rsidRPr="00585A53">
        <w:t xml:space="preserve"> does not engage any of the human rights and freedoms recognised or declared in the international instruments listed in section 3 of the </w:t>
      </w:r>
      <w:r w:rsidR="00EE68A7" w:rsidRPr="00585A53">
        <w:rPr>
          <w:i/>
          <w:iCs/>
        </w:rPr>
        <w:t>Human Rights (Parliamentary Scrutiny) Act 2011</w:t>
      </w:r>
      <w:r w:rsidR="00EE68A7" w:rsidRPr="00585A53">
        <w:t>.</w:t>
      </w:r>
    </w:p>
    <w:p w14:paraId="5A900E4E" w14:textId="77777777" w:rsidR="00EE68A7" w:rsidRPr="00585A53" w:rsidRDefault="00EE68A7" w:rsidP="00E15765">
      <w:pPr>
        <w:pStyle w:val="HeadingLevel2"/>
      </w:pPr>
      <w:bookmarkStart w:id="145" w:name="_Toc319402532"/>
      <w:bookmarkStart w:id="146" w:name="_Toc505092270"/>
      <w:bookmarkStart w:id="147" w:name="_Toc46333228"/>
      <w:bookmarkStart w:id="148" w:name="_Toc46333482"/>
      <w:bookmarkStart w:id="149" w:name="_Toc46333636"/>
      <w:bookmarkStart w:id="150" w:name="_Toc46333801"/>
      <w:bookmarkStart w:id="151" w:name="_Toc46333915"/>
      <w:bookmarkStart w:id="152" w:name="_Toc46334651"/>
      <w:bookmarkStart w:id="153" w:name="_Toc74044083"/>
      <w:bookmarkStart w:id="154" w:name="_Toc74044732"/>
      <w:bookmarkStart w:id="155" w:name="_Toc140826202"/>
      <w:r w:rsidRPr="00585A53">
        <w:t>Conclusion</w:t>
      </w:r>
      <w:bookmarkEnd w:id="145"/>
      <w:bookmarkEnd w:id="146"/>
      <w:bookmarkEnd w:id="147"/>
      <w:bookmarkEnd w:id="148"/>
      <w:bookmarkEnd w:id="149"/>
      <w:bookmarkEnd w:id="150"/>
      <w:bookmarkEnd w:id="151"/>
      <w:bookmarkEnd w:id="152"/>
      <w:bookmarkEnd w:id="153"/>
      <w:bookmarkEnd w:id="154"/>
      <w:bookmarkEnd w:id="155"/>
    </w:p>
    <w:p w14:paraId="0220D96C" w14:textId="5512FFED" w:rsidR="00EE68A7" w:rsidRPr="00585A53" w:rsidRDefault="002F611F" w:rsidP="00EE68A7">
      <w:r>
        <w:t>The Amending Instrument</w:t>
      </w:r>
      <w:r w:rsidR="00EE68A7" w:rsidRPr="00585A53">
        <w:t xml:space="preserve"> is compatible with human rights, as it does not raise any human rights issues.</w:t>
      </w:r>
    </w:p>
    <w:sectPr w:rsidR="00EE68A7" w:rsidRPr="00585A53" w:rsidSect="000A0A41">
      <w:headerReference w:type="even" r:id="rId17"/>
      <w:headerReference w:type="default" r:id="rId18"/>
      <w:headerReference w:type="first" r:id="rId1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09632" w14:textId="77777777" w:rsidR="0034317A" w:rsidRDefault="0034317A" w:rsidP="00D82CC0">
      <w:r>
        <w:separator/>
      </w:r>
    </w:p>
  </w:endnote>
  <w:endnote w:type="continuationSeparator" w:id="0">
    <w:p w14:paraId="5743E8C9" w14:textId="77777777" w:rsidR="0034317A" w:rsidRDefault="0034317A"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5A56" w14:textId="77777777" w:rsidR="006F15B0" w:rsidRDefault="006F1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32B5" w14:textId="77777777" w:rsidR="006F15B0" w:rsidRDefault="006F1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5ECB" w14:textId="77777777" w:rsidR="006F15B0" w:rsidRDefault="006F1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FFC4" w14:textId="77777777" w:rsidR="0034317A" w:rsidRDefault="0034317A" w:rsidP="00D82CC0">
      <w:r>
        <w:separator/>
      </w:r>
    </w:p>
  </w:footnote>
  <w:footnote w:type="continuationSeparator" w:id="0">
    <w:p w14:paraId="7AA59570" w14:textId="77777777" w:rsidR="0034317A" w:rsidRDefault="0034317A"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B56D" w14:textId="479FA78D" w:rsidR="006F15B0" w:rsidRDefault="00FA3320">
    <w:pPr>
      <w:pStyle w:val="Header"/>
    </w:pPr>
    <w:r>
      <w:rPr>
        <w:noProof/>
      </w:rPr>
      <w:pict w14:anchorId="2A743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956610" o:spid="_x0000_s2050" type="#_x0000_t136" style="position:absolute;margin-left:0;margin-top:0;width:451.05pt;height:180.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1366" w14:textId="31FC8176" w:rsidR="00BE6FA3" w:rsidRPr="00E2635B" w:rsidRDefault="00FA3320" w:rsidP="00BE6FA3">
    <w:pPr>
      <w:pStyle w:val="Header"/>
      <w:pBdr>
        <w:bottom w:val="single" w:sz="4" w:space="1" w:color="auto"/>
      </w:pBdr>
      <w:spacing w:before="0" w:after="0"/>
      <w:rPr>
        <w:szCs w:val="20"/>
      </w:rPr>
    </w:pPr>
    <w:r>
      <w:rPr>
        <w:noProof/>
      </w:rPr>
      <w:pict w14:anchorId="7D514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956611" o:spid="_x0000_s2051" type="#_x0000_t136" style="position:absolute;margin-left:0;margin-top:0;width:451.05pt;height:180.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E6FA3">
      <w:t>V</w:t>
    </w:r>
    <w:r w:rsidR="00BE6FA3" w:rsidRPr="00DC33CF">
      <w:t xml:space="preserve">ehicle Standard </w:t>
    </w:r>
    <w:r w:rsidR="00BE6FA3">
      <w:t>(Australian Design Rule 99/00 – Lane Departure Warning Systems) 2023</w:t>
    </w:r>
    <w:r w:rsidR="00BE6FA3">
      <w:rPr>
        <w:szCs w:val="20"/>
      </w:rPr>
      <w:tab/>
    </w:r>
    <w:r w:rsidR="00BE6FA3" w:rsidRPr="005F7AFE">
      <w:rPr>
        <w:spacing w:val="-2"/>
        <w:szCs w:val="20"/>
        <w:lang w:val="x-none" w:eastAsia="x-none"/>
      </w:rPr>
      <w:fldChar w:fldCharType="begin"/>
    </w:r>
    <w:r w:rsidR="00BE6FA3" w:rsidRPr="005F7AFE">
      <w:rPr>
        <w:spacing w:val="-2"/>
        <w:szCs w:val="20"/>
        <w:lang w:val="x-none" w:eastAsia="x-none"/>
      </w:rPr>
      <w:instrText xml:space="preserve"> PAGE </w:instrText>
    </w:r>
    <w:r w:rsidR="00BE6FA3" w:rsidRPr="005F7AFE">
      <w:rPr>
        <w:spacing w:val="-2"/>
        <w:szCs w:val="20"/>
        <w:lang w:val="x-none" w:eastAsia="x-none"/>
      </w:rPr>
      <w:fldChar w:fldCharType="separate"/>
    </w:r>
    <w:r w:rsidR="00BE6FA3">
      <w:rPr>
        <w:noProof/>
        <w:spacing w:val="-2"/>
        <w:szCs w:val="20"/>
        <w:lang w:val="x-none" w:eastAsia="x-none"/>
      </w:rPr>
      <w:t>2</w:t>
    </w:r>
    <w:r w:rsidR="00BE6FA3" w:rsidRPr="005F7AFE">
      <w:rPr>
        <w:spacing w:val="-2"/>
        <w:szCs w:val="20"/>
        <w:lang w:val="x-none" w:eastAsia="x-none"/>
      </w:rPr>
      <w:fldChar w:fldCharType="end"/>
    </w:r>
    <w:r w:rsidR="00BE6FA3">
      <w:rPr>
        <w:spacing w:val="-2"/>
        <w:szCs w:val="20"/>
        <w:lang w:val="x-none" w:eastAsia="x-none"/>
      </w:rPr>
      <w:br/>
    </w:r>
    <w:r w:rsidR="00BE6FA3">
      <w:t>Explanatory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EAA55" w14:textId="3D33EB64" w:rsidR="006F15B0" w:rsidRDefault="00FA3320">
    <w:pPr>
      <w:pStyle w:val="Header"/>
    </w:pPr>
    <w:r>
      <w:rPr>
        <w:noProof/>
      </w:rPr>
      <w:pict w14:anchorId="360D7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956609" o:spid="_x0000_s2049" type="#_x0000_t136" style="position:absolute;margin-left:0;margin-top:0;width:451.05pt;height:180.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2AF4E" w14:textId="4F53FD97" w:rsidR="006F15B0" w:rsidRDefault="00FA3320">
    <w:pPr>
      <w:pStyle w:val="Header"/>
    </w:pPr>
    <w:r>
      <w:rPr>
        <w:noProof/>
      </w:rPr>
      <w:pict w14:anchorId="2CE10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956613" o:spid="_x0000_s2053" type="#_x0000_t136" style="position:absolute;margin-left:0;margin-top:0;width:451.05pt;height:180.4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3A86" w14:textId="13F6323F" w:rsidR="003B0357" w:rsidRPr="00E2635B" w:rsidRDefault="00FA3320" w:rsidP="003B0357">
    <w:pPr>
      <w:pStyle w:val="Header"/>
      <w:pBdr>
        <w:bottom w:val="single" w:sz="4" w:space="1" w:color="auto"/>
      </w:pBdr>
      <w:spacing w:before="0" w:after="0"/>
      <w:rPr>
        <w:szCs w:val="20"/>
      </w:rPr>
    </w:pPr>
    <w:r>
      <w:rPr>
        <w:noProof/>
      </w:rPr>
      <w:pict w14:anchorId="38EDC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956614" o:spid="_x0000_s2054" type="#_x0000_t136" style="position:absolute;margin-left:0;margin-top:0;width:451.05pt;height:180.4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F063E" w:rsidRPr="00DF063E">
      <w:t xml:space="preserve">Vehicle Standard (Australian Design Rule) </w:t>
    </w:r>
    <w:r w:rsidR="004516D1">
      <w:t>Vehicle Lighting Amendment 2025</w:t>
    </w:r>
    <w:r w:rsidR="003B0357">
      <w:rPr>
        <w:szCs w:val="20"/>
      </w:rPr>
      <w:tab/>
    </w:r>
    <w:r w:rsidR="003B0357" w:rsidRPr="005F7AFE">
      <w:rPr>
        <w:spacing w:val="-2"/>
        <w:szCs w:val="20"/>
        <w:lang w:val="x-none" w:eastAsia="x-none"/>
      </w:rPr>
      <w:fldChar w:fldCharType="begin"/>
    </w:r>
    <w:r w:rsidR="003B0357" w:rsidRPr="005F7AFE">
      <w:rPr>
        <w:spacing w:val="-2"/>
        <w:szCs w:val="20"/>
        <w:lang w:val="x-none" w:eastAsia="x-none"/>
      </w:rPr>
      <w:instrText xml:space="preserve"> PAGE </w:instrText>
    </w:r>
    <w:r w:rsidR="003B0357" w:rsidRPr="005F7AFE">
      <w:rPr>
        <w:spacing w:val="-2"/>
        <w:szCs w:val="20"/>
        <w:lang w:val="x-none" w:eastAsia="x-none"/>
      </w:rPr>
      <w:fldChar w:fldCharType="separate"/>
    </w:r>
    <w:r w:rsidR="00C34284">
      <w:rPr>
        <w:noProof/>
        <w:spacing w:val="-2"/>
        <w:szCs w:val="20"/>
        <w:lang w:val="x-none" w:eastAsia="x-none"/>
      </w:rPr>
      <w:t>2</w:t>
    </w:r>
    <w:r w:rsidR="003B0357" w:rsidRPr="005F7AFE">
      <w:rPr>
        <w:spacing w:val="-2"/>
        <w:szCs w:val="20"/>
        <w:lang w:val="x-none" w:eastAsia="x-none"/>
      </w:rPr>
      <w:fldChar w:fldCharType="end"/>
    </w:r>
    <w:r w:rsidR="003B0357">
      <w:rPr>
        <w:spacing w:val="-2"/>
        <w:szCs w:val="20"/>
        <w:lang w:val="x-none" w:eastAsia="x-none"/>
      </w:rPr>
      <w:br/>
    </w:r>
    <w:r w:rsidR="003B0357">
      <w:t>Explanatory Statement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450F36" w:rsidRPr="001F5393" w14:paraId="1A37950B" w14:textId="77777777" w:rsidTr="001E3FA7">
      <w:tc>
        <w:tcPr>
          <w:tcW w:w="8162" w:type="dxa"/>
          <w:shd w:val="clear" w:color="auto" w:fill="auto"/>
          <w:vAlign w:val="center"/>
        </w:tcPr>
        <w:p w14:paraId="5C606A57" w14:textId="77777777" w:rsidR="00450F36" w:rsidRPr="001F5393" w:rsidRDefault="00450F36" w:rsidP="001F5393">
          <w:pPr>
            <w:pStyle w:val="Header"/>
            <w:spacing w:before="0" w:after="0"/>
            <w:rPr>
              <w:szCs w:val="20"/>
            </w:rPr>
          </w:pPr>
          <w:r w:rsidRPr="001F5393">
            <w:t xml:space="preserve">Vehicle Standard (Australian </w:t>
          </w:r>
          <w:r w:rsidR="00A52062">
            <w:t>Design Rule XX/XX Lane Departure Warning System for Heavy</w:t>
          </w:r>
          <w:r w:rsidR="00827AF7">
            <w:t xml:space="preserve"> Vehicles)</w:t>
          </w:r>
          <w:r w:rsidR="00A52062">
            <w:t xml:space="preserve"> 2022</w:t>
          </w:r>
        </w:p>
      </w:tc>
      <w:tc>
        <w:tcPr>
          <w:tcW w:w="343" w:type="dxa"/>
          <w:vMerge w:val="restart"/>
          <w:shd w:val="clear" w:color="auto" w:fill="auto"/>
        </w:tcPr>
        <w:p w14:paraId="79DC79BF" w14:textId="681CB66E"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7C6347">
            <w:rPr>
              <w:noProof/>
              <w:spacing w:val="-2"/>
              <w:sz w:val="20"/>
              <w:szCs w:val="20"/>
              <w:lang w:val="x-none" w:eastAsia="x-none"/>
            </w:rPr>
            <w:t>9</w:t>
          </w:r>
          <w:r w:rsidRPr="001F5393">
            <w:rPr>
              <w:spacing w:val="-2"/>
              <w:sz w:val="20"/>
              <w:szCs w:val="20"/>
              <w:lang w:val="x-none" w:eastAsia="x-none"/>
            </w:rPr>
            <w:fldChar w:fldCharType="end"/>
          </w:r>
        </w:p>
      </w:tc>
    </w:tr>
    <w:tr w:rsidR="00450F36" w:rsidRPr="001F5393" w14:paraId="53DE65A8" w14:textId="77777777" w:rsidTr="001E3FA7">
      <w:tc>
        <w:tcPr>
          <w:tcW w:w="8162" w:type="dxa"/>
          <w:tcBorders>
            <w:bottom w:val="single" w:sz="4" w:space="0" w:color="auto"/>
          </w:tcBorders>
          <w:shd w:val="clear" w:color="auto" w:fill="auto"/>
          <w:vAlign w:val="center"/>
        </w:tcPr>
        <w:p w14:paraId="615D75D3" w14:textId="77777777" w:rsidR="00450F36" w:rsidRPr="001F5393" w:rsidRDefault="00450F3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597E0DA5" w14:textId="77777777" w:rsidR="00450F36" w:rsidRPr="001F5393" w:rsidRDefault="00450F36" w:rsidP="001F5393">
          <w:pPr>
            <w:tabs>
              <w:tab w:val="center" w:pos="4153"/>
              <w:tab w:val="right" w:pos="8306"/>
            </w:tabs>
            <w:suppressAutoHyphens/>
            <w:spacing w:before="0" w:after="0"/>
            <w:jc w:val="center"/>
            <w:rPr>
              <w:spacing w:val="-2"/>
              <w:sz w:val="20"/>
              <w:szCs w:val="20"/>
              <w:lang w:val="x-none" w:eastAsia="x-none"/>
            </w:rPr>
          </w:pPr>
        </w:p>
      </w:tc>
    </w:tr>
  </w:tbl>
  <w:p w14:paraId="15EEBB65" w14:textId="3B23D666" w:rsidR="00450F36" w:rsidRDefault="00FA3320">
    <w:pPr>
      <w:pStyle w:val="Header"/>
    </w:pPr>
    <w:r>
      <w:rPr>
        <w:noProof/>
      </w:rPr>
      <w:pict w14:anchorId="7117D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956612" o:spid="_x0000_s2052" type="#_x0000_t136" style="position:absolute;margin-left:0;margin-top:0;width:451.05pt;height:180.4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0145F"/>
    <w:multiLevelType w:val="hybridMultilevel"/>
    <w:tmpl w:val="7C74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569EE"/>
    <w:multiLevelType w:val="hybridMultilevel"/>
    <w:tmpl w:val="3B34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CB4DDF"/>
    <w:multiLevelType w:val="hybridMultilevel"/>
    <w:tmpl w:val="56D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7518A3"/>
    <w:multiLevelType w:val="hybridMultilevel"/>
    <w:tmpl w:val="FCCEF444"/>
    <w:lvl w:ilvl="0" w:tplc="5AAAB9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E754E85"/>
    <w:multiLevelType w:val="hybridMultilevel"/>
    <w:tmpl w:val="FFB4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CC0B1A"/>
    <w:multiLevelType w:val="multilevel"/>
    <w:tmpl w:val="20BAF5B2"/>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FA16E3A"/>
    <w:multiLevelType w:val="hybridMultilevel"/>
    <w:tmpl w:val="F266C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644CE"/>
    <w:multiLevelType w:val="hybridMultilevel"/>
    <w:tmpl w:val="947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3"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A08B4"/>
    <w:multiLevelType w:val="hybridMultilevel"/>
    <w:tmpl w:val="4922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
  </w:num>
  <w:num w:numId="4">
    <w:abstractNumId w:val="22"/>
  </w:num>
  <w:num w:numId="5">
    <w:abstractNumId w:val="2"/>
  </w:num>
  <w:num w:numId="6">
    <w:abstractNumId w:val="20"/>
  </w:num>
  <w:num w:numId="7">
    <w:abstractNumId w:val="4"/>
  </w:num>
  <w:num w:numId="8">
    <w:abstractNumId w:val="16"/>
  </w:num>
  <w:num w:numId="9">
    <w:abstractNumId w:val="13"/>
  </w:num>
  <w:num w:numId="10">
    <w:abstractNumId w:val="18"/>
  </w:num>
  <w:num w:numId="11">
    <w:abstractNumId w:val="10"/>
  </w:num>
  <w:num w:numId="12">
    <w:abstractNumId w:val="15"/>
  </w:num>
  <w:num w:numId="13">
    <w:abstractNumId w:val="5"/>
  </w:num>
  <w:num w:numId="14">
    <w:abstractNumId w:val="14"/>
  </w:num>
  <w:num w:numId="15">
    <w:abstractNumId w:val="17"/>
  </w:num>
  <w:num w:numId="16">
    <w:abstractNumId w:val="17"/>
  </w:num>
  <w:num w:numId="17">
    <w:abstractNumId w:val="17"/>
  </w:num>
  <w:num w:numId="18">
    <w:abstractNumId w:val="17"/>
  </w:num>
  <w:num w:numId="19">
    <w:abstractNumId w:val="0"/>
  </w:num>
  <w:num w:numId="20">
    <w:abstractNumId w:val="17"/>
  </w:num>
  <w:num w:numId="21">
    <w:abstractNumId w:val="1"/>
  </w:num>
  <w:num w:numId="22">
    <w:abstractNumId w:val="17"/>
  </w:num>
  <w:num w:numId="23">
    <w:abstractNumId w:val="7"/>
  </w:num>
  <w:num w:numId="24">
    <w:abstractNumId w:val="8"/>
  </w:num>
  <w:num w:numId="25">
    <w:abstractNumId w:val="6"/>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9"/>
  </w:num>
  <w:num w:numId="38">
    <w:abstractNumId w:val="11"/>
  </w:num>
  <w:num w:numId="39">
    <w:abstractNumId w:val="21"/>
  </w:num>
  <w:num w:numId="40">
    <w:abstractNumId w:val="12"/>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0E17"/>
    <w:rsid w:val="000040F7"/>
    <w:rsid w:val="00004F0B"/>
    <w:rsid w:val="00006046"/>
    <w:rsid w:val="00006B90"/>
    <w:rsid w:val="00007B5F"/>
    <w:rsid w:val="00010B0D"/>
    <w:rsid w:val="00011604"/>
    <w:rsid w:val="00013337"/>
    <w:rsid w:val="000157B0"/>
    <w:rsid w:val="000166ED"/>
    <w:rsid w:val="00016E70"/>
    <w:rsid w:val="000220C0"/>
    <w:rsid w:val="00022CA1"/>
    <w:rsid w:val="00023874"/>
    <w:rsid w:val="000241C6"/>
    <w:rsid w:val="000245BE"/>
    <w:rsid w:val="00024B57"/>
    <w:rsid w:val="000306A8"/>
    <w:rsid w:val="00031C17"/>
    <w:rsid w:val="00033370"/>
    <w:rsid w:val="000335E2"/>
    <w:rsid w:val="0003449C"/>
    <w:rsid w:val="00035887"/>
    <w:rsid w:val="0003681E"/>
    <w:rsid w:val="00040841"/>
    <w:rsid w:val="000412A1"/>
    <w:rsid w:val="00041D7B"/>
    <w:rsid w:val="0004459A"/>
    <w:rsid w:val="000450E7"/>
    <w:rsid w:val="000476C9"/>
    <w:rsid w:val="00050C17"/>
    <w:rsid w:val="00050FB8"/>
    <w:rsid w:val="00052EF3"/>
    <w:rsid w:val="0005416F"/>
    <w:rsid w:val="00054492"/>
    <w:rsid w:val="00054851"/>
    <w:rsid w:val="00054923"/>
    <w:rsid w:val="00054DEF"/>
    <w:rsid w:val="000562F1"/>
    <w:rsid w:val="00056F3D"/>
    <w:rsid w:val="000604A0"/>
    <w:rsid w:val="000637E0"/>
    <w:rsid w:val="000643D2"/>
    <w:rsid w:val="00064AFA"/>
    <w:rsid w:val="000650DA"/>
    <w:rsid w:val="000655E9"/>
    <w:rsid w:val="00066290"/>
    <w:rsid w:val="00066F93"/>
    <w:rsid w:val="00067219"/>
    <w:rsid w:val="0006768B"/>
    <w:rsid w:val="000707B0"/>
    <w:rsid w:val="000713D8"/>
    <w:rsid w:val="00072DF9"/>
    <w:rsid w:val="00073E14"/>
    <w:rsid w:val="000740DE"/>
    <w:rsid w:val="00074343"/>
    <w:rsid w:val="00074D90"/>
    <w:rsid w:val="000760A3"/>
    <w:rsid w:val="0007625E"/>
    <w:rsid w:val="00076719"/>
    <w:rsid w:val="0007752C"/>
    <w:rsid w:val="00081497"/>
    <w:rsid w:val="0008418F"/>
    <w:rsid w:val="00084625"/>
    <w:rsid w:val="0008652F"/>
    <w:rsid w:val="00093AA6"/>
    <w:rsid w:val="000957CE"/>
    <w:rsid w:val="000964DF"/>
    <w:rsid w:val="0009658B"/>
    <w:rsid w:val="000968DF"/>
    <w:rsid w:val="000A0A41"/>
    <w:rsid w:val="000A1DD0"/>
    <w:rsid w:val="000A1FE7"/>
    <w:rsid w:val="000A5A8B"/>
    <w:rsid w:val="000B0430"/>
    <w:rsid w:val="000B07AE"/>
    <w:rsid w:val="000B0D5D"/>
    <w:rsid w:val="000B0E53"/>
    <w:rsid w:val="000B1B1F"/>
    <w:rsid w:val="000B1C73"/>
    <w:rsid w:val="000B2840"/>
    <w:rsid w:val="000B3D64"/>
    <w:rsid w:val="000B3DBE"/>
    <w:rsid w:val="000B4684"/>
    <w:rsid w:val="000B60B9"/>
    <w:rsid w:val="000B7EF8"/>
    <w:rsid w:val="000C0B71"/>
    <w:rsid w:val="000C0E62"/>
    <w:rsid w:val="000C14D3"/>
    <w:rsid w:val="000C171E"/>
    <w:rsid w:val="000C2AF4"/>
    <w:rsid w:val="000C3C06"/>
    <w:rsid w:val="000C57AC"/>
    <w:rsid w:val="000C6195"/>
    <w:rsid w:val="000D0AC6"/>
    <w:rsid w:val="000D1A08"/>
    <w:rsid w:val="000D1F9B"/>
    <w:rsid w:val="000D2C70"/>
    <w:rsid w:val="000D3459"/>
    <w:rsid w:val="000D4AC1"/>
    <w:rsid w:val="000D6331"/>
    <w:rsid w:val="000E0781"/>
    <w:rsid w:val="000E3161"/>
    <w:rsid w:val="000E371A"/>
    <w:rsid w:val="000E3BAA"/>
    <w:rsid w:val="000E3CB6"/>
    <w:rsid w:val="000E46B1"/>
    <w:rsid w:val="000E52D6"/>
    <w:rsid w:val="000E556E"/>
    <w:rsid w:val="000E6F99"/>
    <w:rsid w:val="000E73ED"/>
    <w:rsid w:val="000E7A76"/>
    <w:rsid w:val="000F0904"/>
    <w:rsid w:val="000F1192"/>
    <w:rsid w:val="000F162D"/>
    <w:rsid w:val="000F36B1"/>
    <w:rsid w:val="000F4182"/>
    <w:rsid w:val="000F534E"/>
    <w:rsid w:val="000F5B27"/>
    <w:rsid w:val="000F6F83"/>
    <w:rsid w:val="000F793B"/>
    <w:rsid w:val="00101E42"/>
    <w:rsid w:val="00102EE7"/>
    <w:rsid w:val="00105209"/>
    <w:rsid w:val="00106C75"/>
    <w:rsid w:val="00110A04"/>
    <w:rsid w:val="00112B8E"/>
    <w:rsid w:val="001143B9"/>
    <w:rsid w:val="001147B7"/>
    <w:rsid w:val="001153DE"/>
    <w:rsid w:val="0012081F"/>
    <w:rsid w:val="0012110B"/>
    <w:rsid w:val="00121CBA"/>
    <w:rsid w:val="001242FA"/>
    <w:rsid w:val="0012466F"/>
    <w:rsid w:val="00126387"/>
    <w:rsid w:val="00126493"/>
    <w:rsid w:val="00127289"/>
    <w:rsid w:val="001276F6"/>
    <w:rsid w:val="00130F68"/>
    <w:rsid w:val="00131492"/>
    <w:rsid w:val="00131C34"/>
    <w:rsid w:val="00132596"/>
    <w:rsid w:val="00132EF4"/>
    <w:rsid w:val="00133187"/>
    <w:rsid w:val="00133EA1"/>
    <w:rsid w:val="001359EF"/>
    <w:rsid w:val="00141E4F"/>
    <w:rsid w:val="00141FF9"/>
    <w:rsid w:val="0014211E"/>
    <w:rsid w:val="0014264C"/>
    <w:rsid w:val="0014311B"/>
    <w:rsid w:val="00144561"/>
    <w:rsid w:val="001461EB"/>
    <w:rsid w:val="001465C7"/>
    <w:rsid w:val="00147F05"/>
    <w:rsid w:val="00150C04"/>
    <w:rsid w:val="0015120A"/>
    <w:rsid w:val="00152636"/>
    <w:rsid w:val="00153A82"/>
    <w:rsid w:val="001551CF"/>
    <w:rsid w:val="00155DDC"/>
    <w:rsid w:val="00155FE4"/>
    <w:rsid w:val="00157142"/>
    <w:rsid w:val="001572C8"/>
    <w:rsid w:val="00157631"/>
    <w:rsid w:val="0015793C"/>
    <w:rsid w:val="001606BF"/>
    <w:rsid w:val="00160C84"/>
    <w:rsid w:val="00161B14"/>
    <w:rsid w:val="00161F08"/>
    <w:rsid w:val="00163B33"/>
    <w:rsid w:val="00166DC2"/>
    <w:rsid w:val="00170AE8"/>
    <w:rsid w:val="001717FC"/>
    <w:rsid w:val="001719EE"/>
    <w:rsid w:val="00171B84"/>
    <w:rsid w:val="00177811"/>
    <w:rsid w:val="00177ADF"/>
    <w:rsid w:val="001811E9"/>
    <w:rsid w:val="00181511"/>
    <w:rsid w:val="00181FC7"/>
    <w:rsid w:val="00183534"/>
    <w:rsid w:val="00185C42"/>
    <w:rsid w:val="00187070"/>
    <w:rsid w:val="00187A7D"/>
    <w:rsid w:val="00187D37"/>
    <w:rsid w:val="00192B4F"/>
    <w:rsid w:val="00192F2E"/>
    <w:rsid w:val="00194433"/>
    <w:rsid w:val="0019540C"/>
    <w:rsid w:val="00197732"/>
    <w:rsid w:val="00197EE4"/>
    <w:rsid w:val="001A0001"/>
    <w:rsid w:val="001A28AB"/>
    <w:rsid w:val="001A569B"/>
    <w:rsid w:val="001B0EFB"/>
    <w:rsid w:val="001B217D"/>
    <w:rsid w:val="001B2251"/>
    <w:rsid w:val="001B2451"/>
    <w:rsid w:val="001B29A2"/>
    <w:rsid w:val="001B38AA"/>
    <w:rsid w:val="001B3B65"/>
    <w:rsid w:val="001B5F38"/>
    <w:rsid w:val="001C28CA"/>
    <w:rsid w:val="001C2946"/>
    <w:rsid w:val="001C2FDB"/>
    <w:rsid w:val="001C69AE"/>
    <w:rsid w:val="001D01E5"/>
    <w:rsid w:val="001D17F3"/>
    <w:rsid w:val="001D2618"/>
    <w:rsid w:val="001D2D0B"/>
    <w:rsid w:val="001D467A"/>
    <w:rsid w:val="001D4C8A"/>
    <w:rsid w:val="001D592B"/>
    <w:rsid w:val="001E0205"/>
    <w:rsid w:val="001E0A6A"/>
    <w:rsid w:val="001E0FED"/>
    <w:rsid w:val="001E1A19"/>
    <w:rsid w:val="001E218D"/>
    <w:rsid w:val="001E3FA7"/>
    <w:rsid w:val="001E543A"/>
    <w:rsid w:val="001E5490"/>
    <w:rsid w:val="001E6416"/>
    <w:rsid w:val="001E6F6F"/>
    <w:rsid w:val="001E746A"/>
    <w:rsid w:val="001E7E7F"/>
    <w:rsid w:val="001F128D"/>
    <w:rsid w:val="001F42D7"/>
    <w:rsid w:val="001F5393"/>
    <w:rsid w:val="001F566C"/>
    <w:rsid w:val="00200879"/>
    <w:rsid w:val="00200AEE"/>
    <w:rsid w:val="002019EC"/>
    <w:rsid w:val="00201A02"/>
    <w:rsid w:val="00204702"/>
    <w:rsid w:val="0020549D"/>
    <w:rsid w:val="00206EF3"/>
    <w:rsid w:val="002105AD"/>
    <w:rsid w:val="00210C5E"/>
    <w:rsid w:val="00212153"/>
    <w:rsid w:val="0021550D"/>
    <w:rsid w:val="00215C84"/>
    <w:rsid w:val="00216DD3"/>
    <w:rsid w:val="002172AC"/>
    <w:rsid w:val="00217590"/>
    <w:rsid w:val="002209DA"/>
    <w:rsid w:val="002214DC"/>
    <w:rsid w:val="00221A03"/>
    <w:rsid w:val="002233FB"/>
    <w:rsid w:val="00225589"/>
    <w:rsid w:val="0022575C"/>
    <w:rsid w:val="00225D2D"/>
    <w:rsid w:val="00225EEA"/>
    <w:rsid w:val="00226CB6"/>
    <w:rsid w:val="0022719C"/>
    <w:rsid w:val="00227A72"/>
    <w:rsid w:val="0023125C"/>
    <w:rsid w:val="002313B3"/>
    <w:rsid w:val="002325B1"/>
    <w:rsid w:val="00232C1B"/>
    <w:rsid w:val="00233F4B"/>
    <w:rsid w:val="00235D5D"/>
    <w:rsid w:val="00236974"/>
    <w:rsid w:val="002373D8"/>
    <w:rsid w:val="00237831"/>
    <w:rsid w:val="0024087E"/>
    <w:rsid w:val="002411F9"/>
    <w:rsid w:val="0024155C"/>
    <w:rsid w:val="002425A0"/>
    <w:rsid w:val="00242D6F"/>
    <w:rsid w:val="0024440F"/>
    <w:rsid w:val="002449FF"/>
    <w:rsid w:val="00246F06"/>
    <w:rsid w:val="002471BF"/>
    <w:rsid w:val="00253F55"/>
    <w:rsid w:val="00254E43"/>
    <w:rsid w:val="002550C2"/>
    <w:rsid w:val="00255A00"/>
    <w:rsid w:val="0025659C"/>
    <w:rsid w:val="00256C8A"/>
    <w:rsid w:val="00263B0A"/>
    <w:rsid w:val="002640E7"/>
    <w:rsid w:val="00265ABF"/>
    <w:rsid w:val="002664F3"/>
    <w:rsid w:val="002667FE"/>
    <w:rsid w:val="00266FE7"/>
    <w:rsid w:val="002707F7"/>
    <w:rsid w:val="0027099F"/>
    <w:rsid w:val="00270FAD"/>
    <w:rsid w:val="002714C6"/>
    <w:rsid w:val="00271923"/>
    <w:rsid w:val="00271DCE"/>
    <w:rsid w:val="00273C6F"/>
    <w:rsid w:val="002750BF"/>
    <w:rsid w:val="00276384"/>
    <w:rsid w:val="00276D6F"/>
    <w:rsid w:val="00277209"/>
    <w:rsid w:val="00280232"/>
    <w:rsid w:val="00282AAC"/>
    <w:rsid w:val="0028346B"/>
    <w:rsid w:val="002834A5"/>
    <w:rsid w:val="00283C75"/>
    <w:rsid w:val="00283C82"/>
    <w:rsid w:val="00285ADA"/>
    <w:rsid w:val="00287770"/>
    <w:rsid w:val="002904A2"/>
    <w:rsid w:val="00290ABB"/>
    <w:rsid w:val="00290D2A"/>
    <w:rsid w:val="002918CC"/>
    <w:rsid w:val="00291920"/>
    <w:rsid w:val="00291E7B"/>
    <w:rsid w:val="00292D0D"/>
    <w:rsid w:val="00293D22"/>
    <w:rsid w:val="002968C5"/>
    <w:rsid w:val="00296970"/>
    <w:rsid w:val="00296D1C"/>
    <w:rsid w:val="002971CA"/>
    <w:rsid w:val="0029745D"/>
    <w:rsid w:val="00297504"/>
    <w:rsid w:val="002975C7"/>
    <w:rsid w:val="00297D5D"/>
    <w:rsid w:val="002A005B"/>
    <w:rsid w:val="002A063C"/>
    <w:rsid w:val="002A302C"/>
    <w:rsid w:val="002A4357"/>
    <w:rsid w:val="002A435A"/>
    <w:rsid w:val="002A4E59"/>
    <w:rsid w:val="002A5439"/>
    <w:rsid w:val="002A7B68"/>
    <w:rsid w:val="002B19F2"/>
    <w:rsid w:val="002B1FE3"/>
    <w:rsid w:val="002B4649"/>
    <w:rsid w:val="002B574B"/>
    <w:rsid w:val="002B6473"/>
    <w:rsid w:val="002B7491"/>
    <w:rsid w:val="002B7CA5"/>
    <w:rsid w:val="002C3293"/>
    <w:rsid w:val="002C3BE5"/>
    <w:rsid w:val="002C4578"/>
    <w:rsid w:val="002C55A1"/>
    <w:rsid w:val="002C5829"/>
    <w:rsid w:val="002D070C"/>
    <w:rsid w:val="002D0CD8"/>
    <w:rsid w:val="002D0D1B"/>
    <w:rsid w:val="002D0D9C"/>
    <w:rsid w:val="002D22AB"/>
    <w:rsid w:val="002D295F"/>
    <w:rsid w:val="002D3608"/>
    <w:rsid w:val="002D508E"/>
    <w:rsid w:val="002D51EF"/>
    <w:rsid w:val="002D5A2E"/>
    <w:rsid w:val="002D5B95"/>
    <w:rsid w:val="002D5FCC"/>
    <w:rsid w:val="002D630E"/>
    <w:rsid w:val="002D6916"/>
    <w:rsid w:val="002D7277"/>
    <w:rsid w:val="002D7454"/>
    <w:rsid w:val="002D7D28"/>
    <w:rsid w:val="002D7E26"/>
    <w:rsid w:val="002E0D02"/>
    <w:rsid w:val="002E10E0"/>
    <w:rsid w:val="002E1691"/>
    <w:rsid w:val="002E1798"/>
    <w:rsid w:val="002E1BBE"/>
    <w:rsid w:val="002E23B9"/>
    <w:rsid w:val="002E37E2"/>
    <w:rsid w:val="002E4C93"/>
    <w:rsid w:val="002E5035"/>
    <w:rsid w:val="002E51D2"/>
    <w:rsid w:val="002E6D99"/>
    <w:rsid w:val="002E7A66"/>
    <w:rsid w:val="002F17FE"/>
    <w:rsid w:val="002F2A22"/>
    <w:rsid w:val="002F2C61"/>
    <w:rsid w:val="002F3A90"/>
    <w:rsid w:val="002F3EEF"/>
    <w:rsid w:val="002F48AF"/>
    <w:rsid w:val="002F5AF9"/>
    <w:rsid w:val="002F611F"/>
    <w:rsid w:val="002F6B56"/>
    <w:rsid w:val="002F6C96"/>
    <w:rsid w:val="0030081B"/>
    <w:rsid w:val="0030182F"/>
    <w:rsid w:val="00301882"/>
    <w:rsid w:val="003039C0"/>
    <w:rsid w:val="00304422"/>
    <w:rsid w:val="00305740"/>
    <w:rsid w:val="003057C9"/>
    <w:rsid w:val="003067FA"/>
    <w:rsid w:val="00307AA5"/>
    <w:rsid w:val="00307DAE"/>
    <w:rsid w:val="00310E9F"/>
    <w:rsid w:val="00311344"/>
    <w:rsid w:val="003119C5"/>
    <w:rsid w:val="00312276"/>
    <w:rsid w:val="0031368D"/>
    <w:rsid w:val="00314E88"/>
    <w:rsid w:val="00315263"/>
    <w:rsid w:val="003157F6"/>
    <w:rsid w:val="00316D44"/>
    <w:rsid w:val="003210C8"/>
    <w:rsid w:val="00325734"/>
    <w:rsid w:val="00325E9B"/>
    <w:rsid w:val="00327EF6"/>
    <w:rsid w:val="003303E7"/>
    <w:rsid w:val="0033055C"/>
    <w:rsid w:val="003319EF"/>
    <w:rsid w:val="0033287C"/>
    <w:rsid w:val="003353CB"/>
    <w:rsid w:val="00335687"/>
    <w:rsid w:val="0033629A"/>
    <w:rsid w:val="003405D7"/>
    <w:rsid w:val="00340BB9"/>
    <w:rsid w:val="00341EF6"/>
    <w:rsid w:val="0034317A"/>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848"/>
    <w:rsid w:val="003559D2"/>
    <w:rsid w:val="00356128"/>
    <w:rsid w:val="003567BF"/>
    <w:rsid w:val="00360AC0"/>
    <w:rsid w:val="0036182A"/>
    <w:rsid w:val="0036261D"/>
    <w:rsid w:val="0036265F"/>
    <w:rsid w:val="0036300A"/>
    <w:rsid w:val="003632F5"/>
    <w:rsid w:val="003634A7"/>
    <w:rsid w:val="00364F93"/>
    <w:rsid w:val="00365500"/>
    <w:rsid w:val="0036631C"/>
    <w:rsid w:val="00366380"/>
    <w:rsid w:val="00367091"/>
    <w:rsid w:val="00370864"/>
    <w:rsid w:val="00373116"/>
    <w:rsid w:val="003736E6"/>
    <w:rsid w:val="003737A4"/>
    <w:rsid w:val="00373852"/>
    <w:rsid w:val="00373A7D"/>
    <w:rsid w:val="00374CD7"/>
    <w:rsid w:val="00376103"/>
    <w:rsid w:val="003764FA"/>
    <w:rsid w:val="00376574"/>
    <w:rsid w:val="003771C7"/>
    <w:rsid w:val="003778A3"/>
    <w:rsid w:val="00380D2E"/>
    <w:rsid w:val="0038189D"/>
    <w:rsid w:val="00381BCC"/>
    <w:rsid w:val="0038362C"/>
    <w:rsid w:val="003864BF"/>
    <w:rsid w:val="003868ED"/>
    <w:rsid w:val="0039041B"/>
    <w:rsid w:val="00390444"/>
    <w:rsid w:val="003917B0"/>
    <w:rsid w:val="0039439E"/>
    <w:rsid w:val="00394C6B"/>
    <w:rsid w:val="00394DCB"/>
    <w:rsid w:val="00395DAB"/>
    <w:rsid w:val="00396C92"/>
    <w:rsid w:val="00397976"/>
    <w:rsid w:val="00397F88"/>
    <w:rsid w:val="003A06A3"/>
    <w:rsid w:val="003A1919"/>
    <w:rsid w:val="003A22EF"/>
    <w:rsid w:val="003A2BF6"/>
    <w:rsid w:val="003A3291"/>
    <w:rsid w:val="003A3373"/>
    <w:rsid w:val="003A3E29"/>
    <w:rsid w:val="003A45FB"/>
    <w:rsid w:val="003A4F94"/>
    <w:rsid w:val="003A512F"/>
    <w:rsid w:val="003A7701"/>
    <w:rsid w:val="003A7E34"/>
    <w:rsid w:val="003B0357"/>
    <w:rsid w:val="003B0546"/>
    <w:rsid w:val="003B05B6"/>
    <w:rsid w:val="003B220C"/>
    <w:rsid w:val="003B2EB6"/>
    <w:rsid w:val="003B4057"/>
    <w:rsid w:val="003B4091"/>
    <w:rsid w:val="003B4482"/>
    <w:rsid w:val="003B48EF"/>
    <w:rsid w:val="003B6992"/>
    <w:rsid w:val="003B7123"/>
    <w:rsid w:val="003B7C60"/>
    <w:rsid w:val="003B7CD7"/>
    <w:rsid w:val="003C06B1"/>
    <w:rsid w:val="003C0DE4"/>
    <w:rsid w:val="003C0FCE"/>
    <w:rsid w:val="003C14FD"/>
    <w:rsid w:val="003C1591"/>
    <w:rsid w:val="003C33AE"/>
    <w:rsid w:val="003C3B0E"/>
    <w:rsid w:val="003C3FD1"/>
    <w:rsid w:val="003C5827"/>
    <w:rsid w:val="003C698A"/>
    <w:rsid w:val="003D0DC7"/>
    <w:rsid w:val="003D1A38"/>
    <w:rsid w:val="003D1AB8"/>
    <w:rsid w:val="003D1BC8"/>
    <w:rsid w:val="003D2889"/>
    <w:rsid w:val="003D3D19"/>
    <w:rsid w:val="003D4EBB"/>
    <w:rsid w:val="003D579C"/>
    <w:rsid w:val="003D7E2A"/>
    <w:rsid w:val="003E1D23"/>
    <w:rsid w:val="003E2ACE"/>
    <w:rsid w:val="003E40C9"/>
    <w:rsid w:val="003E49F6"/>
    <w:rsid w:val="003E5643"/>
    <w:rsid w:val="003E56E7"/>
    <w:rsid w:val="003E57F7"/>
    <w:rsid w:val="003E68EF"/>
    <w:rsid w:val="003E6EE5"/>
    <w:rsid w:val="003E6F11"/>
    <w:rsid w:val="003E6FFF"/>
    <w:rsid w:val="003F01D5"/>
    <w:rsid w:val="003F05AD"/>
    <w:rsid w:val="003F25A8"/>
    <w:rsid w:val="003F2671"/>
    <w:rsid w:val="003F3B46"/>
    <w:rsid w:val="003F3F23"/>
    <w:rsid w:val="003F43E4"/>
    <w:rsid w:val="003F4D6B"/>
    <w:rsid w:val="003F51E5"/>
    <w:rsid w:val="003F584A"/>
    <w:rsid w:val="003F6981"/>
    <w:rsid w:val="003F6FBD"/>
    <w:rsid w:val="004001EB"/>
    <w:rsid w:val="0040119F"/>
    <w:rsid w:val="00401482"/>
    <w:rsid w:val="00402B28"/>
    <w:rsid w:val="00402C27"/>
    <w:rsid w:val="004047EF"/>
    <w:rsid w:val="00404CC7"/>
    <w:rsid w:val="00406B4C"/>
    <w:rsid w:val="00407B7A"/>
    <w:rsid w:val="00407EDD"/>
    <w:rsid w:val="00407F3B"/>
    <w:rsid w:val="00410063"/>
    <w:rsid w:val="00410952"/>
    <w:rsid w:val="00411ED1"/>
    <w:rsid w:val="004120B1"/>
    <w:rsid w:val="00412A94"/>
    <w:rsid w:val="00413440"/>
    <w:rsid w:val="00414BCC"/>
    <w:rsid w:val="004161CF"/>
    <w:rsid w:val="00420BFB"/>
    <w:rsid w:val="00422A41"/>
    <w:rsid w:val="004233CF"/>
    <w:rsid w:val="00423778"/>
    <w:rsid w:val="00423EEA"/>
    <w:rsid w:val="00426BF7"/>
    <w:rsid w:val="00430717"/>
    <w:rsid w:val="004317FF"/>
    <w:rsid w:val="00431883"/>
    <w:rsid w:val="0043191E"/>
    <w:rsid w:val="004319D5"/>
    <w:rsid w:val="00433473"/>
    <w:rsid w:val="0043557B"/>
    <w:rsid w:val="00436451"/>
    <w:rsid w:val="00437142"/>
    <w:rsid w:val="00437AB8"/>
    <w:rsid w:val="00441D7B"/>
    <w:rsid w:val="00443380"/>
    <w:rsid w:val="004433E1"/>
    <w:rsid w:val="004434BD"/>
    <w:rsid w:val="004454CA"/>
    <w:rsid w:val="00445A77"/>
    <w:rsid w:val="004472A2"/>
    <w:rsid w:val="00450F36"/>
    <w:rsid w:val="00450F3A"/>
    <w:rsid w:val="00451400"/>
    <w:rsid w:val="004516D1"/>
    <w:rsid w:val="004524F9"/>
    <w:rsid w:val="00453027"/>
    <w:rsid w:val="004533BE"/>
    <w:rsid w:val="00453919"/>
    <w:rsid w:val="00454834"/>
    <w:rsid w:val="00455920"/>
    <w:rsid w:val="004574BB"/>
    <w:rsid w:val="00457BD8"/>
    <w:rsid w:val="004619D3"/>
    <w:rsid w:val="004621A1"/>
    <w:rsid w:val="004625CE"/>
    <w:rsid w:val="00462A19"/>
    <w:rsid w:val="004653E6"/>
    <w:rsid w:val="00465E40"/>
    <w:rsid w:val="004661F6"/>
    <w:rsid w:val="004674D6"/>
    <w:rsid w:val="00471385"/>
    <w:rsid w:val="00471762"/>
    <w:rsid w:val="00471F50"/>
    <w:rsid w:val="00472C2C"/>
    <w:rsid w:val="004767B9"/>
    <w:rsid w:val="00476B93"/>
    <w:rsid w:val="00477202"/>
    <w:rsid w:val="00477560"/>
    <w:rsid w:val="00477592"/>
    <w:rsid w:val="00481ACE"/>
    <w:rsid w:val="0048427B"/>
    <w:rsid w:val="00484940"/>
    <w:rsid w:val="00485D93"/>
    <w:rsid w:val="00485E16"/>
    <w:rsid w:val="00487D1D"/>
    <w:rsid w:val="0049097D"/>
    <w:rsid w:val="00490A91"/>
    <w:rsid w:val="00490CB0"/>
    <w:rsid w:val="00491690"/>
    <w:rsid w:val="0049177C"/>
    <w:rsid w:val="004923CD"/>
    <w:rsid w:val="00493A3B"/>
    <w:rsid w:val="00494FFD"/>
    <w:rsid w:val="00495C24"/>
    <w:rsid w:val="004A12B5"/>
    <w:rsid w:val="004A17B7"/>
    <w:rsid w:val="004A369F"/>
    <w:rsid w:val="004A3C32"/>
    <w:rsid w:val="004A41E0"/>
    <w:rsid w:val="004A4440"/>
    <w:rsid w:val="004A66BF"/>
    <w:rsid w:val="004A68FD"/>
    <w:rsid w:val="004B17C6"/>
    <w:rsid w:val="004B182E"/>
    <w:rsid w:val="004B5921"/>
    <w:rsid w:val="004B59B3"/>
    <w:rsid w:val="004B6091"/>
    <w:rsid w:val="004B6159"/>
    <w:rsid w:val="004B6E3F"/>
    <w:rsid w:val="004B7D5C"/>
    <w:rsid w:val="004C0560"/>
    <w:rsid w:val="004C13E7"/>
    <w:rsid w:val="004C2A7B"/>
    <w:rsid w:val="004C3365"/>
    <w:rsid w:val="004C40E7"/>
    <w:rsid w:val="004C4E3A"/>
    <w:rsid w:val="004C52F0"/>
    <w:rsid w:val="004C68B7"/>
    <w:rsid w:val="004C77FE"/>
    <w:rsid w:val="004D1C0A"/>
    <w:rsid w:val="004D4A4C"/>
    <w:rsid w:val="004D4B51"/>
    <w:rsid w:val="004D6CC1"/>
    <w:rsid w:val="004D785B"/>
    <w:rsid w:val="004E0001"/>
    <w:rsid w:val="004E1083"/>
    <w:rsid w:val="004E2968"/>
    <w:rsid w:val="004E3E84"/>
    <w:rsid w:val="004E3F16"/>
    <w:rsid w:val="004E4AE5"/>
    <w:rsid w:val="004E4D2D"/>
    <w:rsid w:val="004E5834"/>
    <w:rsid w:val="004E6FEB"/>
    <w:rsid w:val="004E7515"/>
    <w:rsid w:val="004F1001"/>
    <w:rsid w:val="004F2075"/>
    <w:rsid w:val="004F3265"/>
    <w:rsid w:val="004F39A3"/>
    <w:rsid w:val="004F56B7"/>
    <w:rsid w:val="004F7C96"/>
    <w:rsid w:val="0050039E"/>
    <w:rsid w:val="005022F7"/>
    <w:rsid w:val="00502C9B"/>
    <w:rsid w:val="0050367A"/>
    <w:rsid w:val="0050415B"/>
    <w:rsid w:val="0050439A"/>
    <w:rsid w:val="00507DEA"/>
    <w:rsid w:val="00510C5B"/>
    <w:rsid w:val="00510E74"/>
    <w:rsid w:val="005111D7"/>
    <w:rsid w:val="0051368F"/>
    <w:rsid w:val="00514C80"/>
    <w:rsid w:val="0051543E"/>
    <w:rsid w:val="00515D0D"/>
    <w:rsid w:val="00516CF8"/>
    <w:rsid w:val="00517BDA"/>
    <w:rsid w:val="005242E3"/>
    <w:rsid w:val="005248C3"/>
    <w:rsid w:val="00524A81"/>
    <w:rsid w:val="00525905"/>
    <w:rsid w:val="005260BB"/>
    <w:rsid w:val="00532C88"/>
    <w:rsid w:val="00532D71"/>
    <w:rsid w:val="00532F57"/>
    <w:rsid w:val="005338E3"/>
    <w:rsid w:val="00536F80"/>
    <w:rsid w:val="00537635"/>
    <w:rsid w:val="005405AD"/>
    <w:rsid w:val="00540BD6"/>
    <w:rsid w:val="00540FA7"/>
    <w:rsid w:val="005421B3"/>
    <w:rsid w:val="0054227D"/>
    <w:rsid w:val="005425A9"/>
    <w:rsid w:val="00542FE1"/>
    <w:rsid w:val="0054369F"/>
    <w:rsid w:val="0054701F"/>
    <w:rsid w:val="00547224"/>
    <w:rsid w:val="00550A6B"/>
    <w:rsid w:val="005513D4"/>
    <w:rsid w:val="005517EA"/>
    <w:rsid w:val="0055471D"/>
    <w:rsid w:val="00557504"/>
    <w:rsid w:val="0056022C"/>
    <w:rsid w:val="00560C21"/>
    <w:rsid w:val="00560C37"/>
    <w:rsid w:val="00561BCD"/>
    <w:rsid w:val="005625B8"/>
    <w:rsid w:val="005632AF"/>
    <w:rsid w:val="00563329"/>
    <w:rsid w:val="00565107"/>
    <w:rsid w:val="0056701E"/>
    <w:rsid w:val="00571229"/>
    <w:rsid w:val="00571381"/>
    <w:rsid w:val="00571507"/>
    <w:rsid w:val="005718EA"/>
    <w:rsid w:val="005725C2"/>
    <w:rsid w:val="00572EAA"/>
    <w:rsid w:val="005737EB"/>
    <w:rsid w:val="00574ABB"/>
    <w:rsid w:val="00574E16"/>
    <w:rsid w:val="005753E3"/>
    <w:rsid w:val="00577BF0"/>
    <w:rsid w:val="00581C0B"/>
    <w:rsid w:val="00581CB5"/>
    <w:rsid w:val="00581F4C"/>
    <w:rsid w:val="00582135"/>
    <w:rsid w:val="00582247"/>
    <w:rsid w:val="0058306B"/>
    <w:rsid w:val="005831BF"/>
    <w:rsid w:val="00583EAD"/>
    <w:rsid w:val="00584B46"/>
    <w:rsid w:val="00585A53"/>
    <w:rsid w:val="005864B1"/>
    <w:rsid w:val="00586887"/>
    <w:rsid w:val="0059095D"/>
    <w:rsid w:val="005910E6"/>
    <w:rsid w:val="00591671"/>
    <w:rsid w:val="0059192A"/>
    <w:rsid w:val="0059199F"/>
    <w:rsid w:val="00591CFD"/>
    <w:rsid w:val="00592B2F"/>
    <w:rsid w:val="0059343F"/>
    <w:rsid w:val="00594765"/>
    <w:rsid w:val="005949F7"/>
    <w:rsid w:val="00595B2F"/>
    <w:rsid w:val="005963A1"/>
    <w:rsid w:val="00596471"/>
    <w:rsid w:val="00596853"/>
    <w:rsid w:val="005978F7"/>
    <w:rsid w:val="005A0F2A"/>
    <w:rsid w:val="005A2F36"/>
    <w:rsid w:val="005A3EFB"/>
    <w:rsid w:val="005A44A1"/>
    <w:rsid w:val="005A526D"/>
    <w:rsid w:val="005A7A67"/>
    <w:rsid w:val="005B1147"/>
    <w:rsid w:val="005B114C"/>
    <w:rsid w:val="005B1202"/>
    <w:rsid w:val="005B1D19"/>
    <w:rsid w:val="005B31F5"/>
    <w:rsid w:val="005B36D2"/>
    <w:rsid w:val="005B578B"/>
    <w:rsid w:val="005B62EF"/>
    <w:rsid w:val="005B6759"/>
    <w:rsid w:val="005B6B1C"/>
    <w:rsid w:val="005B70A8"/>
    <w:rsid w:val="005C0234"/>
    <w:rsid w:val="005C0DEA"/>
    <w:rsid w:val="005C1161"/>
    <w:rsid w:val="005C11B8"/>
    <w:rsid w:val="005C170C"/>
    <w:rsid w:val="005C3ACA"/>
    <w:rsid w:val="005C4195"/>
    <w:rsid w:val="005C42CD"/>
    <w:rsid w:val="005C461B"/>
    <w:rsid w:val="005C46E4"/>
    <w:rsid w:val="005C48D4"/>
    <w:rsid w:val="005C5EEF"/>
    <w:rsid w:val="005C628F"/>
    <w:rsid w:val="005C65A4"/>
    <w:rsid w:val="005C687F"/>
    <w:rsid w:val="005C7236"/>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12E9"/>
    <w:rsid w:val="005E24DF"/>
    <w:rsid w:val="005E2B4C"/>
    <w:rsid w:val="005E4A4A"/>
    <w:rsid w:val="005E4E5D"/>
    <w:rsid w:val="005E5780"/>
    <w:rsid w:val="005E7CEF"/>
    <w:rsid w:val="005E7E6B"/>
    <w:rsid w:val="005F02D7"/>
    <w:rsid w:val="005F0774"/>
    <w:rsid w:val="005F1DF6"/>
    <w:rsid w:val="005F24BA"/>
    <w:rsid w:val="005F26EF"/>
    <w:rsid w:val="005F35E2"/>
    <w:rsid w:val="005F4354"/>
    <w:rsid w:val="005F503F"/>
    <w:rsid w:val="005F51BD"/>
    <w:rsid w:val="005F671F"/>
    <w:rsid w:val="005F67B0"/>
    <w:rsid w:val="005F6B63"/>
    <w:rsid w:val="005F7451"/>
    <w:rsid w:val="005F7F32"/>
    <w:rsid w:val="006016B4"/>
    <w:rsid w:val="00601B0E"/>
    <w:rsid w:val="00604430"/>
    <w:rsid w:val="00605DCE"/>
    <w:rsid w:val="00606506"/>
    <w:rsid w:val="00606DC2"/>
    <w:rsid w:val="00607F79"/>
    <w:rsid w:val="00610119"/>
    <w:rsid w:val="006103D4"/>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7EE"/>
    <w:rsid w:val="00626DBC"/>
    <w:rsid w:val="00627927"/>
    <w:rsid w:val="00630795"/>
    <w:rsid w:val="00630A4B"/>
    <w:rsid w:val="00630F38"/>
    <w:rsid w:val="00631505"/>
    <w:rsid w:val="00631AE5"/>
    <w:rsid w:val="006327B3"/>
    <w:rsid w:val="00633730"/>
    <w:rsid w:val="0063421C"/>
    <w:rsid w:val="00635090"/>
    <w:rsid w:val="00635444"/>
    <w:rsid w:val="00636B66"/>
    <w:rsid w:val="00636C4A"/>
    <w:rsid w:val="0063768F"/>
    <w:rsid w:val="00641268"/>
    <w:rsid w:val="00642A3D"/>
    <w:rsid w:val="006434F1"/>
    <w:rsid w:val="006438BB"/>
    <w:rsid w:val="00643F38"/>
    <w:rsid w:val="006440AF"/>
    <w:rsid w:val="006448C3"/>
    <w:rsid w:val="00644988"/>
    <w:rsid w:val="00645459"/>
    <w:rsid w:val="00645C09"/>
    <w:rsid w:val="00647B87"/>
    <w:rsid w:val="00647E31"/>
    <w:rsid w:val="00650534"/>
    <w:rsid w:val="006512CC"/>
    <w:rsid w:val="00651832"/>
    <w:rsid w:val="00652A1E"/>
    <w:rsid w:val="006534F5"/>
    <w:rsid w:val="00654410"/>
    <w:rsid w:val="00654C03"/>
    <w:rsid w:val="006550CE"/>
    <w:rsid w:val="006562FA"/>
    <w:rsid w:val="00657AD3"/>
    <w:rsid w:val="00662058"/>
    <w:rsid w:val="00662397"/>
    <w:rsid w:val="00662945"/>
    <w:rsid w:val="0066358C"/>
    <w:rsid w:val="00663810"/>
    <w:rsid w:val="0066449E"/>
    <w:rsid w:val="00664841"/>
    <w:rsid w:val="0066528C"/>
    <w:rsid w:val="0066531B"/>
    <w:rsid w:val="006665C5"/>
    <w:rsid w:val="00672700"/>
    <w:rsid w:val="00673DD8"/>
    <w:rsid w:val="00674CF8"/>
    <w:rsid w:val="00675BED"/>
    <w:rsid w:val="00675C3C"/>
    <w:rsid w:val="0067686F"/>
    <w:rsid w:val="00680C49"/>
    <w:rsid w:val="0068132F"/>
    <w:rsid w:val="006815B3"/>
    <w:rsid w:val="00681FF3"/>
    <w:rsid w:val="00682172"/>
    <w:rsid w:val="00683127"/>
    <w:rsid w:val="00683139"/>
    <w:rsid w:val="00684418"/>
    <w:rsid w:val="006844AF"/>
    <w:rsid w:val="00684A9B"/>
    <w:rsid w:val="00684C79"/>
    <w:rsid w:val="00685271"/>
    <w:rsid w:val="006858D4"/>
    <w:rsid w:val="00686219"/>
    <w:rsid w:val="006875BF"/>
    <w:rsid w:val="00687DAD"/>
    <w:rsid w:val="00690355"/>
    <w:rsid w:val="006904FE"/>
    <w:rsid w:val="0069365C"/>
    <w:rsid w:val="00694C9C"/>
    <w:rsid w:val="00696758"/>
    <w:rsid w:val="006971C6"/>
    <w:rsid w:val="006A0D9E"/>
    <w:rsid w:val="006A3C57"/>
    <w:rsid w:val="006A4B82"/>
    <w:rsid w:val="006A58BD"/>
    <w:rsid w:val="006A5E2A"/>
    <w:rsid w:val="006A5FCD"/>
    <w:rsid w:val="006A6A5D"/>
    <w:rsid w:val="006A6CDC"/>
    <w:rsid w:val="006A754C"/>
    <w:rsid w:val="006B0E32"/>
    <w:rsid w:val="006B2A4B"/>
    <w:rsid w:val="006B3024"/>
    <w:rsid w:val="006B306D"/>
    <w:rsid w:val="006B3F0A"/>
    <w:rsid w:val="006B420D"/>
    <w:rsid w:val="006B5454"/>
    <w:rsid w:val="006B55BE"/>
    <w:rsid w:val="006B6354"/>
    <w:rsid w:val="006B7D5F"/>
    <w:rsid w:val="006C0B97"/>
    <w:rsid w:val="006C11BB"/>
    <w:rsid w:val="006C1A0C"/>
    <w:rsid w:val="006C1E06"/>
    <w:rsid w:val="006C32A2"/>
    <w:rsid w:val="006C415F"/>
    <w:rsid w:val="006C4478"/>
    <w:rsid w:val="006C44F6"/>
    <w:rsid w:val="006C69D9"/>
    <w:rsid w:val="006C6A77"/>
    <w:rsid w:val="006C6AFC"/>
    <w:rsid w:val="006C7137"/>
    <w:rsid w:val="006C75E5"/>
    <w:rsid w:val="006D11F0"/>
    <w:rsid w:val="006D1A5C"/>
    <w:rsid w:val="006D3E64"/>
    <w:rsid w:val="006D493C"/>
    <w:rsid w:val="006D5556"/>
    <w:rsid w:val="006D6283"/>
    <w:rsid w:val="006D79EA"/>
    <w:rsid w:val="006D7FA7"/>
    <w:rsid w:val="006E1541"/>
    <w:rsid w:val="006E2106"/>
    <w:rsid w:val="006E2F86"/>
    <w:rsid w:val="006E381D"/>
    <w:rsid w:val="006E6538"/>
    <w:rsid w:val="006F15B0"/>
    <w:rsid w:val="006F25F7"/>
    <w:rsid w:val="006F2BF5"/>
    <w:rsid w:val="006F4650"/>
    <w:rsid w:val="006F46E6"/>
    <w:rsid w:val="006F589D"/>
    <w:rsid w:val="006F6F26"/>
    <w:rsid w:val="006F7D82"/>
    <w:rsid w:val="00700CEB"/>
    <w:rsid w:val="007011DC"/>
    <w:rsid w:val="007030D9"/>
    <w:rsid w:val="00703ACD"/>
    <w:rsid w:val="00704142"/>
    <w:rsid w:val="0070421F"/>
    <w:rsid w:val="0070692D"/>
    <w:rsid w:val="00707003"/>
    <w:rsid w:val="00707639"/>
    <w:rsid w:val="00707E33"/>
    <w:rsid w:val="00712DB9"/>
    <w:rsid w:val="007136C2"/>
    <w:rsid w:val="007144E3"/>
    <w:rsid w:val="0071541C"/>
    <w:rsid w:val="007163CE"/>
    <w:rsid w:val="007243F0"/>
    <w:rsid w:val="00725167"/>
    <w:rsid w:val="00725705"/>
    <w:rsid w:val="0072609E"/>
    <w:rsid w:val="00727DCD"/>
    <w:rsid w:val="0073109B"/>
    <w:rsid w:val="00731996"/>
    <w:rsid w:val="00731C60"/>
    <w:rsid w:val="00731D99"/>
    <w:rsid w:val="007324EE"/>
    <w:rsid w:val="00734046"/>
    <w:rsid w:val="0073476E"/>
    <w:rsid w:val="007358A7"/>
    <w:rsid w:val="00735FFE"/>
    <w:rsid w:val="00740261"/>
    <w:rsid w:val="00740F06"/>
    <w:rsid w:val="00741AB3"/>
    <w:rsid w:val="007432D0"/>
    <w:rsid w:val="00743AC9"/>
    <w:rsid w:val="00743B9A"/>
    <w:rsid w:val="00744702"/>
    <w:rsid w:val="00744974"/>
    <w:rsid w:val="00744CAF"/>
    <w:rsid w:val="00744ED0"/>
    <w:rsid w:val="00745BB1"/>
    <w:rsid w:val="00746744"/>
    <w:rsid w:val="00746F95"/>
    <w:rsid w:val="0074788B"/>
    <w:rsid w:val="00747D71"/>
    <w:rsid w:val="00747F6A"/>
    <w:rsid w:val="00750893"/>
    <w:rsid w:val="00751F22"/>
    <w:rsid w:val="0075500F"/>
    <w:rsid w:val="00756E1D"/>
    <w:rsid w:val="00757931"/>
    <w:rsid w:val="00760342"/>
    <w:rsid w:val="00760426"/>
    <w:rsid w:val="00761C3F"/>
    <w:rsid w:val="00762957"/>
    <w:rsid w:val="0076466E"/>
    <w:rsid w:val="007653BB"/>
    <w:rsid w:val="00765462"/>
    <w:rsid w:val="00765739"/>
    <w:rsid w:val="0076682E"/>
    <w:rsid w:val="007668B6"/>
    <w:rsid w:val="007671F8"/>
    <w:rsid w:val="00767D05"/>
    <w:rsid w:val="007714FB"/>
    <w:rsid w:val="00775196"/>
    <w:rsid w:val="007753E7"/>
    <w:rsid w:val="00776E99"/>
    <w:rsid w:val="00780DE8"/>
    <w:rsid w:val="00782661"/>
    <w:rsid w:val="0078303D"/>
    <w:rsid w:val="007832B9"/>
    <w:rsid w:val="00785284"/>
    <w:rsid w:val="00785BEC"/>
    <w:rsid w:val="00785C95"/>
    <w:rsid w:val="007861CC"/>
    <w:rsid w:val="00786B33"/>
    <w:rsid w:val="00786B7B"/>
    <w:rsid w:val="00787252"/>
    <w:rsid w:val="00787405"/>
    <w:rsid w:val="00787CED"/>
    <w:rsid w:val="00790205"/>
    <w:rsid w:val="0079040E"/>
    <w:rsid w:val="00790656"/>
    <w:rsid w:val="00792A45"/>
    <w:rsid w:val="00792C5E"/>
    <w:rsid w:val="00793E3C"/>
    <w:rsid w:val="00796570"/>
    <w:rsid w:val="00796751"/>
    <w:rsid w:val="00797677"/>
    <w:rsid w:val="00797BD2"/>
    <w:rsid w:val="00797ECB"/>
    <w:rsid w:val="007A1BE9"/>
    <w:rsid w:val="007A1E1A"/>
    <w:rsid w:val="007A36C3"/>
    <w:rsid w:val="007A3BB4"/>
    <w:rsid w:val="007A3DC6"/>
    <w:rsid w:val="007A4CFE"/>
    <w:rsid w:val="007A576D"/>
    <w:rsid w:val="007A61D6"/>
    <w:rsid w:val="007B136E"/>
    <w:rsid w:val="007B14D6"/>
    <w:rsid w:val="007B247C"/>
    <w:rsid w:val="007B331E"/>
    <w:rsid w:val="007B4CE7"/>
    <w:rsid w:val="007B53B1"/>
    <w:rsid w:val="007B679E"/>
    <w:rsid w:val="007B6B17"/>
    <w:rsid w:val="007B779C"/>
    <w:rsid w:val="007C326A"/>
    <w:rsid w:val="007C337C"/>
    <w:rsid w:val="007C379F"/>
    <w:rsid w:val="007C4142"/>
    <w:rsid w:val="007C42D9"/>
    <w:rsid w:val="007C454A"/>
    <w:rsid w:val="007C6347"/>
    <w:rsid w:val="007C6571"/>
    <w:rsid w:val="007C70AE"/>
    <w:rsid w:val="007D28E4"/>
    <w:rsid w:val="007D5AE7"/>
    <w:rsid w:val="007D65A6"/>
    <w:rsid w:val="007D671C"/>
    <w:rsid w:val="007D7CA7"/>
    <w:rsid w:val="007E0293"/>
    <w:rsid w:val="007E1FD6"/>
    <w:rsid w:val="007E25A1"/>
    <w:rsid w:val="007F117E"/>
    <w:rsid w:val="007F1CA7"/>
    <w:rsid w:val="007F2A6F"/>
    <w:rsid w:val="007F2AA2"/>
    <w:rsid w:val="007F3A3C"/>
    <w:rsid w:val="007F5327"/>
    <w:rsid w:val="007F5822"/>
    <w:rsid w:val="007F60ED"/>
    <w:rsid w:val="00802062"/>
    <w:rsid w:val="0080439B"/>
    <w:rsid w:val="008048C9"/>
    <w:rsid w:val="00804961"/>
    <w:rsid w:val="00805CB4"/>
    <w:rsid w:val="00807755"/>
    <w:rsid w:val="00811BFA"/>
    <w:rsid w:val="0081476C"/>
    <w:rsid w:val="00816F24"/>
    <w:rsid w:val="00816F99"/>
    <w:rsid w:val="00816FAC"/>
    <w:rsid w:val="008175AE"/>
    <w:rsid w:val="00820DA2"/>
    <w:rsid w:val="0082139D"/>
    <w:rsid w:val="008217CA"/>
    <w:rsid w:val="00822161"/>
    <w:rsid w:val="00822B5C"/>
    <w:rsid w:val="008235EB"/>
    <w:rsid w:val="00826C3A"/>
    <w:rsid w:val="008276F3"/>
    <w:rsid w:val="00827AF7"/>
    <w:rsid w:val="00827FAE"/>
    <w:rsid w:val="00832F7F"/>
    <w:rsid w:val="00833446"/>
    <w:rsid w:val="008353AD"/>
    <w:rsid w:val="008356AB"/>
    <w:rsid w:val="00836221"/>
    <w:rsid w:val="00837CEA"/>
    <w:rsid w:val="0084069A"/>
    <w:rsid w:val="00841407"/>
    <w:rsid w:val="008439FD"/>
    <w:rsid w:val="00844365"/>
    <w:rsid w:val="00844828"/>
    <w:rsid w:val="0084493D"/>
    <w:rsid w:val="00845ABF"/>
    <w:rsid w:val="00845BB7"/>
    <w:rsid w:val="00846B0F"/>
    <w:rsid w:val="008470F8"/>
    <w:rsid w:val="008475EF"/>
    <w:rsid w:val="008511A9"/>
    <w:rsid w:val="0085194A"/>
    <w:rsid w:val="00851E23"/>
    <w:rsid w:val="008520BB"/>
    <w:rsid w:val="008529DA"/>
    <w:rsid w:val="00852F8E"/>
    <w:rsid w:val="00854C95"/>
    <w:rsid w:val="008553C3"/>
    <w:rsid w:val="0085692E"/>
    <w:rsid w:val="0085695A"/>
    <w:rsid w:val="0085751C"/>
    <w:rsid w:val="00862803"/>
    <w:rsid w:val="00863EF3"/>
    <w:rsid w:val="00864344"/>
    <w:rsid w:val="00866749"/>
    <w:rsid w:val="00866C59"/>
    <w:rsid w:val="008701EA"/>
    <w:rsid w:val="00872987"/>
    <w:rsid w:val="00872B7C"/>
    <w:rsid w:val="00872FD2"/>
    <w:rsid w:val="008735E6"/>
    <w:rsid w:val="0087463A"/>
    <w:rsid w:val="008748C8"/>
    <w:rsid w:val="008750AE"/>
    <w:rsid w:val="008753B4"/>
    <w:rsid w:val="00875846"/>
    <w:rsid w:val="008766E5"/>
    <w:rsid w:val="00876BE8"/>
    <w:rsid w:val="00880704"/>
    <w:rsid w:val="008807C9"/>
    <w:rsid w:val="00880D9C"/>
    <w:rsid w:val="00882145"/>
    <w:rsid w:val="0088281D"/>
    <w:rsid w:val="00883598"/>
    <w:rsid w:val="00883F0F"/>
    <w:rsid w:val="0088400D"/>
    <w:rsid w:val="0088401C"/>
    <w:rsid w:val="008852D4"/>
    <w:rsid w:val="008860F5"/>
    <w:rsid w:val="00887FC8"/>
    <w:rsid w:val="00890219"/>
    <w:rsid w:val="00891AB6"/>
    <w:rsid w:val="00891FAC"/>
    <w:rsid w:val="008933C3"/>
    <w:rsid w:val="008933EB"/>
    <w:rsid w:val="00894A34"/>
    <w:rsid w:val="00894E34"/>
    <w:rsid w:val="00895256"/>
    <w:rsid w:val="008963F1"/>
    <w:rsid w:val="00896B15"/>
    <w:rsid w:val="00896E0E"/>
    <w:rsid w:val="008A1EBB"/>
    <w:rsid w:val="008A207F"/>
    <w:rsid w:val="008A4638"/>
    <w:rsid w:val="008A51A2"/>
    <w:rsid w:val="008A5774"/>
    <w:rsid w:val="008A5EAE"/>
    <w:rsid w:val="008A5F03"/>
    <w:rsid w:val="008A5F73"/>
    <w:rsid w:val="008A62BC"/>
    <w:rsid w:val="008A647B"/>
    <w:rsid w:val="008A782A"/>
    <w:rsid w:val="008B10C5"/>
    <w:rsid w:val="008B457B"/>
    <w:rsid w:val="008B4BF0"/>
    <w:rsid w:val="008C037F"/>
    <w:rsid w:val="008C0815"/>
    <w:rsid w:val="008C1455"/>
    <w:rsid w:val="008C1BC3"/>
    <w:rsid w:val="008C2AD6"/>
    <w:rsid w:val="008C2F93"/>
    <w:rsid w:val="008C3626"/>
    <w:rsid w:val="008C3DED"/>
    <w:rsid w:val="008C510E"/>
    <w:rsid w:val="008C5860"/>
    <w:rsid w:val="008C59A1"/>
    <w:rsid w:val="008C5C53"/>
    <w:rsid w:val="008C605A"/>
    <w:rsid w:val="008C6190"/>
    <w:rsid w:val="008C6C0A"/>
    <w:rsid w:val="008C7693"/>
    <w:rsid w:val="008D0597"/>
    <w:rsid w:val="008D0660"/>
    <w:rsid w:val="008D0CDE"/>
    <w:rsid w:val="008D374F"/>
    <w:rsid w:val="008D37EE"/>
    <w:rsid w:val="008D55D2"/>
    <w:rsid w:val="008E1016"/>
    <w:rsid w:val="008E3028"/>
    <w:rsid w:val="008E4D40"/>
    <w:rsid w:val="008E574B"/>
    <w:rsid w:val="008F1EC6"/>
    <w:rsid w:val="008F2A0C"/>
    <w:rsid w:val="008F2C8A"/>
    <w:rsid w:val="008F5BAA"/>
    <w:rsid w:val="008F6DCD"/>
    <w:rsid w:val="008F74E6"/>
    <w:rsid w:val="0090191B"/>
    <w:rsid w:val="009025D1"/>
    <w:rsid w:val="009043D9"/>
    <w:rsid w:val="0090497E"/>
    <w:rsid w:val="0090564C"/>
    <w:rsid w:val="0090590B"/>
    <w:rsid w:val="00906CB7"/>
    <w:rsid w:val="009074B5"/>
    <w:rsid w:val="009075F5"/>
    <w:rsid w:val="0091237F"/>
    <w:rsid w:val="00912CB7"/>
    <w:rsid w:val="00913CB4"/>
    <w:rsid w:val="00915987"/>
    <w:rsid w:val="009173CE"/>
    <w:rsid w:val="0091762B"/>
    <w:rsid w:val="00921439"/>
    <w:rsid w:val="00921CEF"/>
    <w:rsid w:val="00921D04"/>
    <w:rsid w:val="009231EC"/>
    <w:rsid w:val="00923635"/>
    <w:rsid w:val="009245E3"/>
    <w:rsid w:val="009250CC"/>
    <w:rsid w:val="0092514E"/>
    <w:rsid w:val="0092520B"/>
    <w:rsid w:val="00925A90"/>
    <w:rsid w:val="00925D8C"/>
    <w:rsid w:val="00927FBE"/>
    <w:rsid w:val="0093019D"/>
    <w:rsid w:val="00931136"/>
    <w:rsid w:val="0093259B"/>
    <w:rsid w:val="009327EF"/>
    <w:rsid w:val="0093299E"/>
    <w:rsid w:val="00933218"/>
    <w:rsid w:val="009336D7"/>
    <w:rsid w:val="00933F3C"/>
    <w:rsid w:val="009348EC"/>
    <w:rsid w:val="00934F06"/>
    <w:rsid w:val="0093518C"/>
    <w:rsid w:val="00935DE2"/>
    <w:rsid w:val="009432DC"/>
    <w:rsid w:val="00943DF1"/>
    <w:rsid w:val="00944396"/>
    <w:rsid w:val="00946AE0"/>
    <w:rsid w:val="009503B1"/>
    <w:rsid w:val="00950BD1"/>
    <w:rsid w:val="00950F8F"/>
    <w:rsid w:val="0095143D"/>
    <w:rsid w:val="009514F9"/>
    <w:rsid w:val="0095209D"/>
    <w:rsid w:val="0095255D"/>
    <w:rsid w:val="00952B82"/>
    <w:rsid w:val="0095385B"/>
    <w:rsid w:val="0095554F"/>
    <w:rsid w:val="00956D94"/>
    <w:rsid w:val="0095717C"/>
    <w:rsid w:val="0095780C"/>
    <w:rsid w:val="00957B66"/>
    <w:rsid w:val="00961EB0"/>
    <w:rsid w:val="00961F3B"/>
    <w:rsid w:val="009621C0"/>
    <w:rsid w:val="00963ABC"/>
    <w:rsid w:val="00963CB4"/>
    <w:rsid w:val="00967BCA"/>
    <w:rsid w:val="00970EA1"/>
    <w:rsid w:val="00971128"/>
    <w:rsid w:val="00974628"/>
    <w:rsid w:val="00974A19"/>
    <w:rsid w:val="00975615"/>
    <w:rsid w:val="00975685"/>
    <w:rsid w:val="00976110"/>
    <w:rsid w:val="00976C7C"/>
    <w:rsid w:val="00976F8A"/>
    <w:rsid w:val="009776DF"/>
    <w:rsid w:val="00977B6D"/>
    <w:rsid w:val="009805AB"/>
    <w:rsid w:val="00982C1A"/>
    <w:rsid w:val="009835B1"/>
    <w:rsid w:val="009835D6"/>
    <w:rsid w:val="0098397F"/>
    <w:rsid w:val="009846F3"/>
    <w:rsid w:val="00985846"/>
    <w:rsid w:val="00985862"/>
    <w:rsid w:val="009860B3"/>
    <w:rsid w:val="0098616B"/>
    <w:rsid w:val="0099296E"/>
    <w:rsid w:val="00992DAD"/>
    <w:rsid w:val="00994692"/>
    <w:rsid w:val="00995292"/>
    <w:rsid w:val="009975C1"/>
    <w:rsid w:val="00997893"/>
    <w:rsid w:val="009A08A2"/>
    <w:rsid w:val="009A1155"/>
    <w:rsid w:val="009A1670"/>
    <w:rsid w:val="009A17BF"/>
    <w:rsid w:val="009A1A44"/>
    <w:rsid w:val="009A269A"/>
    <w:rsid w:val="009A38D2"/>
    <w:rsid w:val="009A3B5E"/>
    <w:rsid w:val="009A40C7"/>
    <w:rsid w:val="009A4B09"/>
    <w:rsid w:val="009A4DF7"/>
    <w:rsid w:val="009B2B28"/>
    <w:rsid w:val="009B43CC"/>
    <w:rsid w:val="009B510A"/>
    <w:rsid w:val="009B69E6"/>
    <w:rsid w:val="009B704A"/>
    <w:rsid w:val="009C0B8F"/>
    <w:rsid w:val="009C0F3B"/>
    <w:rsid w:val="009C17E7"/>
    <w:rsid w:val="009C1BA6"/>
    <w:rsid w:val="009C1F80"/>
    <w:rsid w:val="009C3304"/>
    <w:rsid w:val="009C407C"/>
    <w:rsid w:val="009C4376"/>
    <w:rsid w:val="009C5A05"/>
    <w:rsid w:val="009C5D51"/>
    <w:rsid w:val="009C69B1"/>
    <w:rsid w:val="009C6FCA"/>
    <w:rsid w:val="009C70AE"/>
    <w:rsid w:val="009C7CE6"/>
    <w:rsid w:val="009D2E35"/>
    <w:rsid w:val="009D3676"/>
    <w:rsid w:val="009D3A0B"/>
    <w:rsid w:val="009D43E6"/>
    <w:rsid w:val="009D510E"/>
    <w:rsid w:val="009D5BB8"/>
    <w:rsid w:val="009D6FB6"/>
    <w:rsid w:val="009E0D86"/>
    <w:rsid w:val="009E3AB8"/>
    <w:rsid w:val="009E3E08"/>
    <w:rsid w:val="009E6091"/>
    <w:rsid w:val="009E67A7"/>
    <w:rsid w:val="009E7D0B"/>
    <w:rsid w:val="009F04AC"/>
    <w:rsid w:val="009F38A6"/>
    <w:rsid w:val="009F5065"/>
    <w:rsid w:val="009F5254"/>
    <w:rsid w:val="009F56B1"/>
    <w:rsid w:val="009F6964"/>
    <w:rsid w:val="009F75E4"/>
    <w:rsid w:val="009F792A"/>
    <w:rsid w:val="009F7D12"/>
    <w:rsid w:val="00A00910"/>
    <w:rsid w:val="00A00F59"/>
    <w:rsid w:val="00A01381"/>
    <w:rsid w:val="00A01FD8"/>
    <w:rsid w:val="00A032F4"/>
    <w:rsid w:val="00A0637E"/>
    <w:rsid w:val="00A065ED"/>
    <w:rsid w:val="00A06C15"/>
    <w:rsid w:val="00A07F55"/>
    <w:rsid w:val="00A1063D"/>
    <w:rsid w:val="00A10B52"/>
    <w:rsid w:val="00A10F22"/>
    <w:rsid w:val="00A12980"/>
    <w:rsid w:val="00A12AAD"/>
    <w:rsid w:val="00A14E97"/>
    <w:rsid w:val="00A1621C"/>
    <w:rsid w:val="00A165DD"/>
    <w:rsid w:val="00A16932"/>
    <w:rsid w:val="00A2187E"/>
    <w:rsid w:val="00A2467A"/>
    <w:rsid w:val="00A24E14"/>
    <w:rsid w:val="00A25E5A"/>
    <w:rsid w:val="00A27335"/>
    <w:rsid w:val="00A275B2"/>
    <w:rsid w:val="00A27A51"/>
    <w:rsid w:val="00A30939"/>
    <w:rsid w:val="00A30DC9"/>
    <w:rsid w:val="00A310A8"/>
    <w:rsid w:val="00A31B81"/>
    <w:rsid w:val="00A31E20"/>
    <w:rsid w:val="00A321D7"/>
    <w:rsid w:val="00A321E0"/>
    <w:rsid w:val="00A32D89"/>
    <w:rsid w:val="00A345BA"/>
    <w:rsid w:val="00A34A31"/>
    <w:rsid w:val="00A35B93"/>
    <w:rsid w:val="00A36FAB"/>
    <w:rsid w:val="00A41F5B"/>
    <w:rsid w:val="00A4246D"/>
    <w:rsid w:val="00A43237"/>
    <w:rsid w:val="00A4528C"/>
    <w:rsid w:val="00A45ACC"/>
    <w:rsid w:val="00A46041"/>
    <w:rsid w:val="00A501A3"/>
    <w:rsid w:val="00A50649"/>
    <w:rsid w:val="00A50768"/>
    <w:rsid w:val="00A51E84"/>
    <w:rsid w:val="00A52062"/>
    <w:rsid w:val="00A52B9D"/>
    <w:rsid w:val="00A53C3C"/>
    <w:rsid w:val="00A54A7E"/>
    <w:rsid w:val="00A553E3"/>
    <w:rsid w:val="00A55A94"/>
    <w:rsid w:val="00A6049F"/>
    <w:rsid w:val="00A606E7"/>
    <w:rsid w:val="00A62388"/>
    <w:rsid w:val="00A62833"/>
    <w:rsid w:val="00A63852"/>
    <w:rsid w:val="00A63A1A"/>
    <w:rsid w:val="00A63BD3"/>
    <w:rsid w:val="00A63FE4"/>
    <w:rsid w:val="00A65430"/>
    <w:rsid w:val="00A65769"/>
    <w:rsid w:val="00A657A6"/>
    <w:rsid w:val="00A65A2C"/>
    <w:rsid w:val="00A65E15"/>
    <w:rsid w:val="00A66905"/>
    <w:rsid w:val="00A66D92"/>
    <w:rsid w:val="00A67413"/>
    <w:rsid w:val="00A70E3B"/>
    <w:rsid w:val="00A713DD"/>
    <w:rsid w:val="00A71585"/>
    <w:rsid w:val="00A73D37"/>
    <w:rsid w:val="00A7469D"/>
    <w:rsid w:val="00A74D08"/>
    <w:rsid w:val="00A7568B"/>
    <w:rsid w:val="00A75C91"/>
    <w:rsid w:val="00A763D0"/>
    <w:rsid w:val="00A81103"/>
    <w:rsid w:val="00A81491"/>
    <w:rsid w:val="00A81CBC"/>
    <w:rsid w:val="00A82B4B"/>
    <w:rsid w:val="00A8398A"/>
    <w:rsid w:val="00A8675A"/>
    <w:rsid w:val="00A87D8E"/>
    <w:rsid w:val="00A9150F"/>
    <w:rsid w:val="00A954A2"/>
    <w:rsid w:val="00A95C01"/>
    <w:rsid w:val="00A9660B"/>
    <w:rsid w:val="00A96EC8"/>
    <w:rsid w:val="00A9788F"/>
    <w:rsid w:val="00AA0B67"/>
    <w:rsid w:val="00AA205A"/>
    <w:rsid w:val="00AA2899"/>
    <w:rsid w:val="00AA2EDF"/>
    <w:rsid w:val="00AA56BB"/>
    <w:rsid w:val="00AA584B"/>
    <w:rsid w:val="00AA61C9"/>
    <w:rsid w:val="00AA791B"/>
    <w:rsid w:val="00AB0FEB"/>
    <w:rsid w:val="00AB119D"/>
    <w:rsid w:val="00AB1873"/>
    <w:rsid w:val="00AB42B4"/>
    <w:rsid w:val="00AB4A3F"/>
    <w:rsid w:val="00AB52D9"/>
    <w:rsid w:val="00AB7541"/>
    <w:rsid w:val="00AC1A3A"/>
    <w:rsid w:val="00AC24D3"/>
    <w:rsid w:val="00AC2F31"/>
    <w:rsid w:val="00AC3972"/>
    <w:rsid w:val="00AC43FF"/>
    <w:rsid w:val="00AC4CF2"/>
    <w:rsid w:val="00AC547F"/>
    <w:rsid w:val="00AC74A7"/>
    <w:rsid w:val="00AC77D5"/>
    <w:rsid w:val="00AD0D6A"/>
    <w:rsid w:val="00AD12BE"/>
    <w:rsid w:val="00AD12FB"/>
    <w:rsid w:val="00AD2C71"/>
    <w:rsid w:val="00AD435B"/>
    <w:rsid w:val="00AD4991"/>
    <w:rsid w:val="00AD4A22"/>
    <w:rsid w:val="00AD5225"/>
    <w:rsid w:val="00AE000F"/>
    <w:rsid w:val="00AE13EB"/>
    <w:rsid w:val="00AE2076"/>
    <w:rsid w:val="00AE2742"/>
    <w:rsid w:val="00AE2D53"/>
    <w:rsid w:val="00AE5123"/>
    <w:rsid w:val="00AE52FE"/>
    <w:rsid w:val="00AE549C"/>
    <w:rsid w:val="00AE5AB2"/>
    <w:rsid w:val="00AE6EF0"/>
    <w:rsid w:val="00AE73B7"/>
    <w:rsid w:val="00AF0BD6"/>
    <w:rsid w:val="00AF19A2"/>
    <w:rsid w:val="00AF3804"/>
    <w:rsid w:val="00AF47C2"/>
    <w:rsid w:val="00AF5477"/>
    <w:rsid w:val="00AF5A65"/>
    <w:rsid w:val="00AF616F"/>
    <w:rsid w:val="00AF6452"/>
    <w:rsid w:val="00AF7A7F"/>
    <w:rsid w:val="00B017A1"/>
    <w:rsid w:val="00B01F01"/>
    <w:rsid w:val="00B03FF8"/>
    <w:rsid w:val="00B0442C"/>
    <w:rsid w:val="00B049DB"/>
    <w:rsid w:val="00B0637B"/>
    <w:rsid w:val="00B065D6"/>
    <w:rsid w:val="00B06A40"/>
    <w:rsid w:val="00B06BC0"/>
    <w:rsid w:val="00B07505"/>
    <w:rsid w:val="00B07906"/>
    <w:rsid w:val="00B07B3F"/>
    <w:rsid w:val="00B11712"/>
    <w:rsid w:val="00B11C76"/>
    <w:rsid w:val="00B129D9"/>
    <w:rsid w:val="00B13139"/>
    <w:rsid w:val="00B13744"/>
    <w:rsid w:val="00B1441E"/>
    <w:rsid w:val="00B14F33"/>
    <w:rsid w:val="00B16CF5"/>
    <w:rsid w:val="00B16F4E"/>
    <w:rsid w:val="00B208CF"/>
    <w:rsid w:val="00B20EE0"/>
    <w:rsid w:val="00B2407F"/>
    <w:rsid w:val="00B244FD"/>
    <w:rsid w:val="00B25A3B"/>
    <w:rsid w:val="00B25DA2"/>
    <w:rsid w:val="00B2602F"/>
    <w:rsid w:val="00B262E8"/>
    <w:rsid w:val="00B26D4D"/>
    <w:rsid w:val="00B27156"/>
    <w:rsid w:val="00B271A5"/>
    <w:rsid w:val="00B27EF4"/>
    <w:rsid w:val="00B31E5C"/>
    <w:rsid w:val="00B332AC"/>
    <w:rsid w:val="00B33352"/>
    <w:rsid w:val="00B355A7"/>
    <w:rsid w:val="00B36196"/>
    <w:rsid w:val="00B36270"/>
    <w:rsid w:val="00B41A41"/>
    <w:rsid w:val="00B441BF"/>
    <w:rsid w:val="00B44D3B"/>
    <w:rsid w:val="00B45E39"/>
    <w:rsid w:val="00B45F4C"/>
    <w:rsid w:val="00B462C5"/>
    <w:rsid w:val="00B4655F"/>
    <w:rsid w:val="00B468E6"/>
    <w:rsid w:val="00B47651"/>
    <w:rsid w:val="00B47B8A"/>
    <w:rsid w:val="00B50DFD"/>
    <w:rsid w:val="00B512EE"/>
    <w:rsid w:val="00B534ED"/>
    <w:rsid w:val="00B5379B"/>
    <w:rsid w:val="00B54024"/>
    <w:rsid w:val="00B550CF"/>
    <w:rsid w:val="00B559A6"/>
    <w:rsid w:val="00B614E4"/>
    <w:rsid w:val="00B62D54"/>
    <w:rsid w:val="00B633CD"/>
    <w:rsid w:val="00B6364F"/>
    <w:rsid w:val="00B64155"/>
    <w:rsid w:val="00B64F65"/>
    <w:rsid w:val="00B6776C"/>
    <w:rsid w:val="00B67ABE"/>
    <w:rsid w:val="00B67EB7"/>
    <w:rsid w:val="00B717EC"/>
    <w:rsid w:val="00B73D43"/>
    <w:rsid w:val="00B75982"/>
    <w:rsid w:val="00B774F3"/>
    <w:rsid w:val="00B779DB"/>
    <w:rsid w:val="00B831FE"/>
    <w:rsid w:val="00B83C7F"/>
    <w:rsid w:val="00B86670"/>
    <w:rsid w:val="00B87858"/>
    <w:rsid w:val="00B900B5"/>
    <w:rsid w:val="00B9033E"/>
    <w:rsid w:val="00B90D86"/>
    <w:rsid w:val="00B927B4"/>
    <w:rsid w:val="00B928EB"/>
    <w:rsid w:val="00B92C90"/>
    <w:rsid w:val="00B94ED8"/>
    <w:rsid w:val="00B963A7"/>
    <w:rsid w:val="00B9726F"/>
    <w:rsid w:val="00BA0190"/>
    <w:rsid w:val="00BA1BFD"/>
    <w:rsid w:val="00BA233E"/>
    <w:rsid w:val="00BA471E"/>
    <w:rsid w:val="00BA4CCD"/>
    <w:rsid w:val="00BA4F48"/>
    <w:rsid w:val="00BA552A"/>
    <w:rsid w:val="00BA642A"/>
    <w:rsid w:val="00BB05C3"/>
    <w:rsid w:val="00BB1899"/>
    <w:rsid w:val="00BB31F0"/>
    <w:rsid w:val="00BB392D"/>
    <w:rsid w:val="00BB3C00"/>
    <w:rsid w:val="00BB3D12"/>
    <w:rsid w:val="00BB5D41"/>
    <w:rsid w:val="00BB6CEE"/>
    <w:rsid w:val="00BC0731"/>
    <w:rsid w:val="00BC1371"/>
    <w:rsid w:val="00BC1B09"/>
    <w:rsid w:val="00BC2672"/>
    <w:rsid w:val="00BC2B83"/>
    <w:rsid w:val="00BC3DB2"/>
    <w:rsid w:val="00BC5A17"/>
    <w:rsid w:val="00BC5CF7"/>
    <w:rsid w:val="00BC6AC3"/>
    <w:rsid w:val="00BC6B48"/>
    <w:rsid w:val="00BC77EA"/>
    <w:rsid w:val="00BC77EE"/>
    <w:rsid w:val="00BD170E"/>
    <w:rsid w:val="00BD187C"/>
    <w:rsid w:val="00BD3C7B"/>
    <w:rsid w:val="00BD3C83"/>
    <w:rsid w:val="00BD4467"/>
    <w:rsid w:val="00BD453B"/>
    <w:rsid w:val="00BD4708"/>
    <w:rsid w:val="00BD4AA2"/>
    <w:rsid w:val="00BD5904"/>
    <w:rsid w:val="00BD69F3"/>
    <w:rsid w:val="00BD71DF"/>
    <w:rsid w:val="00BD7664"/>
    <w:rsid w:val="00BE0FE0"/>
    <w:rsid w:val="00BE1F6D"/>
    <w:rsid w:val="00BE3296"/>
    <w:rsid w:val="00BE3A6E"/>
    <w:rsid w:val="00BE409A"/>
    <w:rsid w:val="00BE4399"/>
    <w:rsid w:val="00BE44C6"/>
    <w:rsid w:val="00BE4E07"/>
    <w:rsid w:val="00BE51BB"/>
    <w:rsid w:val="00BE6FA3"/>
    <w:rsid w:val="00BE7974"/>
    <w:rsid w:val="00BF2FD1"/>
    <w:rsid w:val="00BF4A02"/>
    <w:rsid w:val="00C00EFA"/>
    <w:rsid w:val="00C010DA"/>
    <w:rsid w:val="00C02832"/>
    <w:rsid w:val="00C02EE1"/>
    <w:rsid w:val="00C03821"/>
    <w:rsid w:val="00C03C46"/>
    <w:rsid w:val="00C03DAD"/>
    <w:rsid w:val="00C04554"/>
    <w:rsid w:val="00C0461E"/>
    <w:rsid w:val="00C073E6"/>
    <w:rsid w:val="00C07D90"/>
    <w:rsid w:val="00C11D56"/>
    <w:rsid w:val="00C12E27"/>
    <w:rsid w:val="00C14345"/>
    <w:rsid w:val="00C14482"/>
    <w:rsid w:val="00C14FE4"/>
    <w:rsid w:val="00C15408"/>
    <w:rsid w:val="00C1567E"/>
    <w:rsid w:val="00C15C50"/>
    <w:rsid w:val="00C16AC9"/>
    <w:rsid w:val="00C17538"/>
    <w:rsid w:val="00C17636"/>
    <w:rsid w:val="00C20AA8"/>
    <w:rsid w:val="00C22F60"/>
    <w:rsid w:val="00C2459D"/>
    <w:rsid w:val="00C24B5D"/>
    <w:rsid w:val="00C24DCB"/>
    <w:rsid w:val="00C254BE"/>
    <w:rsid w:val="00C25D8B"/>
    <w:rsid w:val="00C25FC1"/>
    <w:rsid w:val="00C262AF"/>
    <w:rsid w:val="00C271D6"/>
    <w:rsid w:val="00C277F3"/>
    <w:rsid w:val="00C3088D"/>
    <w:rsid w:val="00C319A8"/>
    <w:rsid w:val="00C319F9"/>
    <w:rsid w:val="00C34284"/>
    <w:rsid w:val="00C3530A"/>
    <w:rsid w:val="00C353B7"/>
    <w:rsid w:val="00C3585B"/>
    <w:rsid w:val="00C35C89"/>
    <w:rsid w:val="00C36570"/>
    <w:rsid w:val="00C36EEA"/>
    <w:rsid w:val="00C3732D"/>
    <w:rsid w:val="00C40492"/>
    <w:rsid w:val="00C422F8"/>
    <w:rsid w:val="00C42312"/>
    <w:rsid w:val="00C43C8F"/>
    <w:rsid w:val="00C44662"/>
    <w:rsid w:val="00C449E5"/>
    <w:rsid w:val="00C451FF"/>
    <w:rsid w:val="00C45889"/>
    <w:rsid w:val="00C476BC"/>
    <w:rsid w:val="00C47BC6"/>
    <w:rsid w:val="00C50F05"/>
    <w:rsid w:val="00C51114"/>
    <w:rsid w:val="00C519C2"/>
    <w:rsid w:val="00C51F93"/>
    <w:rsid w:val="00C52421"/>
    <w:rsid w:val="00C52AD3"/>
    <w:rsid w:val="00C53F93"/>
    <w:rsid w:val="00C54034"/>
    <w:rsid w:val="00C56213"/>
    <w:rsid w:val="00C564C8"/>
    <w:rsid w:val="00C56894"/>
    <w:rsid w:val="00C611A7"/>
    <w:rsid w:val="00C62C8A"/>
    <w:rsid w:val="00C6506F"/>
    <w:rsid w:val="00C6582D"/>
    <w:rsid w:val="00C667DD"/>
    <w:rsid w:val="00C72D86"/>
    <w:rsid w:val="00C73560"/>
    <w:rsid w:val="00C73CDE"/>
    <w:rsid w:val="00C74150"/>
    <w:rsid w:val="00C749DA"/>
    <w:rsid w:val="00C77983"/>
    <w:rsid w:val="00C77AE1"/>
    <w:rsid w:val="00C80926"/>
    <w:rsid w:val="00C8116D"/>
    <w:rsid w:val="00C818D7"/>
    <w:rsid w:val="00C83F5A"/>
    <w:rsid w:val="00C847AA"/>
    <w:rsid w:val="00C870DA"/>
    <w:rsid w:val="00C87C30"/>
    <w:rsid w:val="00C90D80"/>
    <w:rsid w:val="00C9217F"/>
    <w:rsid w:val="00C92559"/>
    <w:rsid w:val="00C92B1C"/>
    <w:rsid w:val="00C931EC"/>
    <w:rsid w:val="00C933BB"/>
    <w:rsid w:val="00C937E6"/>
    <w:rsid w:val="00C940D9"/>
    <w:rsid w:val="00C96DCD"/>
    <w:rsid w:val="00CA0B88"/>
    <w:rsid w:val="00CA1826"/>
    <w:rsid w:val="00CA1D08"/>
    <w:rsid w:val="00CA25DB"/>
    <w:rsid w:val="00CA283F"/>
    <w:rsid w:val="00CA2B2E"/>
    <w:rsid w:val="00CA31E3"/>
    <w:rsid w:val="00CA46B8"/>
    <w:rsid w:val="00CA5C25"/>
    <w:rsid w:val="00CA6875"/>
    <w:rsid w:val="00CA6F29"/>
    <w:rsid w:val="00CA70D7"/>
    <w:rsid w:val="00CA7778"/>
    <w:rsid w:val="00CA7F62"/>
    <w:rsid w:val="00CA7FA6"/>
    <w:rsid w:val="00CB0314"/>
    <w:rsid w:val="00CB09A7"/>
    <w:rsid w:val="00CB0A68"/>
    <w:rsid w:val="00CB0E74"/>
    <w:rsid w:val="00CB1379"/>
    <w:rsid w:val="00CB2CAE"/>
    <w:rsid w:val="00CB3A64"/>
    <w:rsid w:val="00CB5631"/>
    <w:rsid w:val="00CB5719"/>
    <w:rsid w:val="00CB5A16"/>
    <w:rsid w:val="00CB5E63"/>
    <w:rsid w:val="00CB6542"/>
    <w:rsid w:val="00CB6FB6"/>
    <w:rsid w:val="00CB73CD"/>
    <w:rsid w:val="00CC0A3F"/>
    <w:rsid w:val="00CC1180"/>
    <w:rsid w:val="00CC160E"/>
    <w:rsid w:val="00CC27D6"/>
    <w:rsid w:val="00CC28A7"/>
    <w:rsid w:val="00CC2B10"/>
    <w:rsid w:val="00CC4742"/>
    <w:rsid w:val="00CC4B07"/>
    <w:rsid w:val="00CC655A"/>
    <w:rsid w:val="00CD02EB"/>
    <w:rsid w:val="00CD085E"/>
    <w:rsid w:val="00CD3030"/>
    <w:rsid w:val="00CD3BF9"/>
    <w:rsid w:val="00CD4839"/>
    <w:rsid w:val="00CD4BC8"/>
    <w:rsid w:val="00CD5C4D"/>
    <w:rsid w:val="00CD5CEA"/>
    <w:rsid w:val="00CD7B08"/>
    <w:rsid w:val="00CE0424"/>
    <w:rsid w:val="00CE7CEC"/>
    <w:rsid w:val="00CF0DE5"/>
    <w:rsid w:val="00CF1DAF"/>
    <w:rsid w:val="00CF2EA4"/>
    <w:rsid w:val="00CF577C"/>
    <w:rsid w:val="00CF5C81"/>
    <w:rsid w:val="00CF6DAA"/>
    <w:rsid w:val="00CF7B2E"/>
    <w:rsid w:val="00D00F46"/>
    <w:rsid w:val="00D02685"/>
    <w:rsid w:val="00D0299B"/>
    <w:rsid w:val="00D04704"/>
    <w:rsid w:val="00D0517D"/>
    <w:rsid w:val="00D0611E"/>
    <w:rsid w:val="00D065C8"/>
    <w:rsid w:val="00D067C9"/>
    <w:rsid w:val="00D10E77"/>
    <w:rsid w:val="00D13401"/>
    <w:rsid w:val="00D158C9"/>
    <w:rsid w:val="00D160C9"/>
    <w:rsid w:val="00D17100"/>
    <w:rsid w:val="00D1718C"/>
    <w:rsid w:val="00D2039E"/>
    <w:rsid w:val="00D20477"/>
    <w:rsid w:val="00D2150E"/>
    <w:rsid w:val="00D2183A"/>
    <w:rsid w:val="00D21C2F"/>
    <w:rsid w:val="00D2209E"/>
    <w:rsid w:val="00D22DA8"/>
    <w:rsid w:val="00D23315"/>
    <w:rsid w:val="00D234B0"/>
    <w:rsid w:val="00D2488D"/>
    <w:rsid w:val="00D24B98"/>
    <w:rsid w:val="00D25206"/>
    <w:rsid w:val="00D2631A"/>
    <w:rsid w:val="00D3110E"/>
    <w:rsid w:val="00D320C8"/>
    <w:rsid w:val="00D32E8F"/>
    <w:rsid w:val="00D3344C"/>
    <w:rsid w:val="00D35304"/>
    <w:rsid w:val="00D36368"/>
    <w:rsid w:val="00D40376"/>
    <w:rsid w:val="00D4201E"/>
    <w:rsid w:val="00D42718"/>
    <w:rsid w:val="00D43142"/>
    <w:rsid w:val="00D43A16"/>
    <w:rsid w:val="00D43CA5"/>
    <w:rsid w:val="00D452A5"/>
    <w:rsid w:val="00D458C7"/>
    <w:rsid w:val="00D45CE7"/>
    <w:rsid w:val="00D50541"/>
    <w:rsid w:val="00D514DB"/>
    <w:rsid w:val="00D5709E"/>
    <w:rsid w:val="00D600BE"/>
    <w:rsid w:val="00D61D42"/>
    <w:rsid w:val="00D627C8"/>
    <w:rsid w:val="00D647E7"/>
    <w:rsid w:val="00D65666"/>
    <w:rsid w:val="00D6570D"/>
    <w:rsid w:val="00D6618A"/>
    <w:rsid w:val="00D66306"/>
    <w:rsid w:val="00D67391"/>
    <w:rsid w:val="00D71B6E"/>
    <w:rsid w:val="00D723CB"/>
    <w:rsid w:val="00D73018"/>
    <w:rsid w:val="00D73BC7"/>
    <w:rsid w:val="00D75A50"/>
    <w:rsid w:val="00D7635A"/>
    <w:rsid w:val="00D769DF"/>
    <w:rsid w:val="00D77391"/>
    <w:rsid w:val="00D803FA"/>
    <w:rsid w:val="00D8139A"/>
    <w:rsid w:val="00D81A4E"/>
    <w:rsid w:val="00D821C1"/>
    <w:rsid w:val="00D823F9"/>
    <w:rsid w:val="00D82CC0"/>
    <w:rsid w:val="00D850AF"/>
    <w:rsid w:val="00D85DE4"/>
    <w:rsid w:val="00D86FF6"/>
    <w:rsid w:val="00D9178D"/>
    <w:rsid w:val="00D91886"/>
    <w:rsid w:val="00D92FE3"/>
    <w:rsid w:val="00D93B61"/>
    <w:rsid w:val="00D952C5"/>
    <w:rsid w:val="00D958A1"/>
    <w:rsid w:val="00D96789"/>
    <w:rsid w:val="00D97173"/>
    <w:rsid w:val="00D97232"/>
    <w:rsid w:val="00DA069E"/>
    <w:rsid w:val="00DA1DB9"/>
    <w:rsid w:val="00DA2693"/>
    <w:rsid w:val="00DA4154"/>
    <w:rsid w:val="00DA4394"/>
    <w:rsid w:val="00DA45D5"/>
    <w:rsid w:val="00DA477B"/>
    <w:rsid w:val="00DA5969"/>
    <w:rsid w:val="00DA76B7"/>
    <w:rsid w:val="00DB132D"/>
    <w:rsid w:val="00DB3101"/>
    <w:rsid w:val="00DB47E9"/>
    <w:rsid w:val="00DB7024"/>
    <w:rsid w:val="00DC0845"/>
    <w:rsid w:val="00DC174F"/>
    <w:rsid w:val="00DC233D"/>
    <w:rsid w:val="00DC4200"/>
    <w:rsid w:val="00DC5F24"/>
    <w:rsid w:val="00DC6202"/>
    <w:rsid w:val="00DC6A07"/>
    <w:rsid w:val="00DD14F9"/>
    <w:rsid w:val="00DD24B1"/>
    <w:rsid w:val="00DD2824"/>
    <w:rsid w:val="00DD375E"/>
    <w:rsid w:val="00DD3D05"/>
    <w:rsid w:val="00DD4A0E"/>
    <w:rsid w:val="00DD4F22"/>
    <w:rsid w:val="00DD51BB"/>
    <w:rsid w:val="00DD5607"/>
    <w:rsid w:val="00DD5763"/>
    <w:rsid w:val="00DD5A80"/>
    <w:rsid w:val="00DD6F4A"/>
    <w:rsid w:val="00DE0385"/>
    <w:rsid w:val="00DE189D"/>
    <w:rsid w:val="00DE1C49"/>
    <w:rsid w:val="00DE4619"/>
    <w:rsid w:val="00DE550D"/>
    <w:rsid w:val="00DE57E6"/>
    <w:rsid w:val="00DE7041"/>
    <w:rsid w:val="00DE7B48"/>
    <w:rsid w:val="00DF0262"/>
    <w:rsid w:val="00DF02AF"/>
    <w:rsid w:val="00DF063E"/>
    <w:rsid w:val="00DF0E66"/>
    <w:rsid w:val="00DF305F"/>
    <w:rsid w:val="00DF31B1"/>
    <w:rsid w:val="00DF4F8A"/>
    <w:rsid w:val="00DF5206"/>
    <w:rsid w:val="00DF536E"/>
    <w:rsid w:val="00DF5443"/>
    <w:rsid w:val="00DF651B"/>
    <w:rsid w:val="00DF7C51"/>
    <w:rsid w:val="00E027DC"/>
    <w:rsid w:val="00E03457"/>
    <w:rsid w:val="00E0625B"/>
    <w:rsid w:val="00E069A2"/>
    <w:rsid w:val="00E12716"/>
    <w:rsid w:val="00E13FD9"/>
    <w:rsid w:val="00E15765"/>
    <w:rsid w:val="00E15849"/>
    <w:rsid w:val="00E173CC"/>
    <w:rsid w:val="00E20518"/>
    <w:rsid w:val="00E21837"/>
    <w:rsid w:val="00E242FC"/>
    <w:rsid w:val="00E2497C"/>
    <w:rsid w:val="00E24EFB"/>
    <w:rsid w:val="00E25F87"/>
    <w:rsid w:val="00E2635B"/>
    <w:rsid w:val="00E2681E"/>
    <w:rsid w:val="00E26E2F"/>
    <w:rsid w:val="00E31604"/>
    <w:rsid w:val="00E31B54"/>
    <w:rsid w:val="00E32552"/>
    <w:rsid w:val="00E32662"/>
    <w:rsid w:val="00E34C8D"/>
    <w:rsid w:val="00E3785E"/>
    <w:rsid w:val="00E37EE5"/>
    <w:rsid w:val="00E4012B"/>
    <w:rsid w:val="00E43E64"/>
    <w:rsid w:val="00E44BDA"/>
    <w:rsid w:val="00E452CA"/>
    <w:rsid w:val="00E4548F"/>
    <w:rsid w:val="00E4712A"/>
    <w:rsid w:val="00E47658"/>
    <w:rsid w:val="00E50EC0"/>
    <w:rsid w:val="00E513B1"/>
    <w:rsid w:val="00E52329"/>
    <w:rsid w:val="00E524EA"/>
    <w:rsid w:val="00E52BE8"/>
    <w:rsid w:val="00E53E63"/>
    <w:rsid w:val="00E54001"/>
    <w:rsid w:val="00E540B0"/>
    <w:rsid w:val="00E54FA3"/>
    <w:rsid w:val="00E5521D"/>
    <w:rsid w:val="00E5549B"/>
    <w:rsid w:val="00E5721E"/>
    <w:rsid w:val="00E60568"/>
    <w:rsid w:val="00E61E45"/>
    <w:rsid w:val="00E62678"/>
    <w:rsid w:val="00E62757"/>
    <w:rsid w:val="00E63216"/>
    <w:rsid w:val="00E63D47"/>
    <w:rsid w:val="00E64E18"/>
    <w:rsid w:val="00E65EAB"/>
    <w:rsid w:val="00E668D5"/>
    <w:rsid w:val="00E67477"/>
    <w:rsid w:val="00E708DE"/>
    <w:rsid w:val="00E717B6"/>
    <w:rsid w:val="00E71CF4"/>
    <w:rsid w:val="00E72DD6"/>
    <w:rsid w:val="00E757F0"/>
    <w:rsid w:val="00E76467"/>
    <w:rsid w:val="00E7707B"/>
    <w:rsid w:val="00E77D52"/>
    <w:rsid w:val="00E829CA"/>
    <w:rsid w:val="00E82C94"/>
    <w:rsid w:val="00E85B69"/>
    <w:rsid w:val="00E86850"/>
    <w:rsid w:val="00E901A5"/>
    <w:rsid w:val="00E9029F"/>
    <w:rsid w:val="00E90AB5"/>
    <w:rsid w:val="00E90B0F"/>
    <w:rsid w:val="00E91645"/>
    <w:rsid w:val="00E919FA"/>
    <w:rsid w:val="00E91CF5"/>
    <w:rsid w:val="00E932EE"/>
    <w:rsid w:val="00E9460A"/>
    <w:rsid w:val="00E952CB"/>
    <w:rsid w:val="00EA1C6D"/>
    <w:rsid w:val="00EA2383"/>
    <w:rsid w:val="00EA3133"/>
    <w:rsid w:val="00EA3E41"/>
    <w:rsid w:val="00EA41AD"/>
    <w:rsid w:val="00EA57A3"/>
    <w:rsid w:val="00EB037C"/>
    <w:rsid w:val="00EB07AF"/>
    <w:rsid w:val="00EB0B49"/>
    <w:rsid w:val="00EB14A8"/>
    <w:rsid w:val="00EB1C77"/>
    <w:rsid w:val="00EB275D"/>
    <w:rsid w:val="00EB293D"/>
    <w:rsid w:val="00EB2AAE"/>
    <w:rsid w:val="00EB3DE0"/>
    <w:rsid w:val="00EB4439"/>
    <w:rsid w:val="00EB4CDB"/>
    <w:rsid w:val="00EB6FF1"/>
    <w:rsid w:val="00EB7372"/>
    <w:rsid w:val="00EB7D96"/>
    <w:rsid w:val="00EC042C"/>
    <w:rsid w:val="00EC209B"/>
    <w:rsid w:val="00EC2F81"/>
    <w:rsid w:val="00EC5E6A"/>
    <w:rsid w:val="00EC6915"/>
    <w:rsid w:val="00EC76A9"/>
    <w:rsid w:val="00EC7758"/>
    <w:rsid w:val="00ED0B82"/>
    <w:rsid w:val="00ED3152"/>
    <w:rsid w:val="00ED3E7E"/>
    <w:rsid w:val="00ED6F24"/>
    <w:rsid w:val="00ED72F1"/>
    <w:rsid w:val="00EE025D"/>
    <w:rsid w:val="00EE02BB"/>
    <w:rsid w:val="00EE0782"/>
    <w:rsid w:val="00EE276D"/>
    <w:rsid w:val="00EE32E7"/>
    <w:rsid w:val="00EE382F"/>
    <w:rsid w:val="00EE6384"/>
    <w:rsid w:val="00EE67B4"/>
    <w:rsid w:val="00EE68A7"/>
    <w:rsid w:val="00EF1E7E"/>
    <w:rsid w:val="00EF1F5F"/>
    <w:rsid w:val="00EF2B64"/>
    <w:rsid w:val="00EF414D"/>
    <w:rsid w:val="00EF5250"/>
    <w:rsid w:val="00EF7A48"/>
    <w:rsid w:val="00F00724"/>
    <w:rsid w:val="00F02BAA"/>
    <w:rsid w:val="00F02EB8"/>
    <w:rsid w:val="00F04059"/>
    <w:rsid w:val="00F061F9"/>
    <w:rsid w:val="00F06C00"/>
    <w:rsid w:val="00F10914"/>
    <w:rsid w:val="00F10F26"/>
    <w:rsid w:val="00F11530"/>
    <w:rsid w:val="00F122DA"/>
    <w:rsid w:val="00F12511"/>
    <w:rsid w:val="00F12615"/>
    <w:rsid w:val="00F135DF"/>
    <w:rsid w:val="00F14473"/>
    <w:rsid w:val="00F1554D"/>
    <w:rsid w:val="00F157F1"/>
    <w:rsid w:val="00F20ADC"/>
    <w:rsid w:val="00F231F5"/>
    <w:rsid w:val="00F24B9A"/>
    <w:rsid w:val="00F25A34"/>
    <w:rsid w:val="00F25FB0"/>
    <w:rsid w:val="00F26AF1"/>
    <w:rsid w:val="00F30869"/>
    <w:rsid w:val="00F30BD2"/>
    <w:rsid w:val="00F312C1"/>
    <w:rsid w:val="00F34566"/>
    <w:rsid w:val="00F346A4"/>
    <w:rsid w:val="00F35924"/>
    <w:rsid w:val="00F37121"/>
    <w:rsid w:val="00F376C5"/>
    <w:rsid w:val="00F37DB9"/>
    <w:rsid w:val="00F424DD"/>
    <w:rsid w:val="00F44541"/>
    <w:rsid w:val="00F452BF"/>
    <w:rsid w:val="00F45D54"/>
    <w:rsid w:val="00F46B89"/>
    <w:rsid w:val="00F4754C"/>
    <w:rsid w:val="00F51B92"/>
    <w:rsid w:val="00F51DE9"/>
    <w:rsid w:val="00F51F5C"/>
    <w:rsid w:val="00F52A23"/>
    <w:rsid w:val="00F52BBE"/>
    <w:rsid w:val="00F53289"/>
    <w:rsid w:val="00F53CDB"/>
    <w:rsid w:val="00F5446D"/>
    <w:rsid w:val="00F553C0"/>
    <w:rsid w:val="00F55A53"/>
    <w:rsid w:val="00F56639"/>
    <w:rsid w:val="00F569A1"/>
    <w:rsid w:val="00F56EDC"/>
    <w:rsid w:val="00F575DC"/>
    <w:rsid w:val="00F57937"/>
    <w:rsid w:val="00F6076A"/>
    <w:rsid w:val="00F6085C"/>
    <w:rsid w:val="00F61CCA"/>
    <w:rsid w:val="00F62DED"/>
    <w:rsid w:val="00F63CE3"/>
    <w:rsid w:val="00F64443"/>
    <w:rsid w:val="00F648B2"/>
    <w:rsid w:val="00F65091"/>
    <w:rsid w:val="00F66107"/>
    <w:rsid w:val="00F67361"/>
    <w:rsid w:val="00F7011B"/>
    <w:rsid w:val="00F71B4E"/>
    <w:rsid w:val="00F727EF"/>
    <w:rsid w:val="00F7387B"/>
    <w:rsid w:val="00F7536E"/>
    <w:rsid w:val="00F7564C"/>
    <w:rsid w:val="00F763DA"/>
    <w:rsid w:val="00F80A33"/>
    <w:rsid w:val="00F814C8"/>
    <w:rsid w:val="00F81DA7"/>
    <w:rsid w:val="00F82B48"/>
    <w:rsid w:val="00F8343B"/>
    <w:rsid w:val="00F85838"/>
    <w:rsid w:val="00F8665A"/>
    <w:rsid w:val="00F875AE"/>
    <w:rsid w:val="00F901ED"/>
    <w:rsid w:val="00F90262"/>
    <w:rsid w:val="00F90A19"/>
    <w:rsid w:val="00F90E0B"/>
    <w:rsid w:val="00F9142C"/>
    <w:rsid w:val="00F92159"/>
    <w:rsid w:val="00F921F9"/>
    <w:rsid w:val="00F946B9"/>
    <w:rsid w:val="00F95154"/>
    <w:rsid w:val="00F96CCB"/>
    <w:rsid w:val="00FA1357"/>
    <w:rsid w:val="00FA15A0"/>
    <w:rsid w:val="00FA3320"/>
    <w:rsid w:val="00FA39FE"/>
    <w:rsid w:val="00FA4AED"/>
    <w:rsid w:val="00FA6A12"/>
    <w:rsid w:val="00FA6A3F"/>
    <w:rsid w:val="00FA6E0C"/>
    <w:rsid w:val="00FB06DA"/>
    <w:rsid w:val="00FB4BA1"/>
    <w:rsid w:val="00FB5BE9"/>
    <w:rsid w:val="00FB5CCF"/>
    <w:rsid w:val="00FB7A5C"/>
    <w:rsid w:val="00FC0F02"/>
    <w:rsid w:val="00FC1CA3"/>
    <w:rsid w:val="00FC3F44"/>
    <w:rsid w:val="00FC6098"/>
    <w:rsid w:val="00FC7C4B"/>
    <w:rsid w:val="00FD0DE3"/>
    <w:rsid w:val="00FD12B2"/>
    <w:rsid w:val="00FD142D"/>
    <w:rsid w:val="00FD2136"/>
    <w:rsid w:val="00FD272C"/>
    <w:rsid w:val="00FD59BF"/>
    <w:rsid w:val="00FD6C2B"/>
    <w:rsid w:val="00FD6ED5"/>
    <w:rsid w:val="00FD79D3"/>
    <w:rsid w:val="00FE05F0"/>
    <w:rsid w:val="00FE0699"/>
    <w:rsid w:val="00FE36E8"/>
    <w:rsid w:val="00FE5281"/>
    <w:rsid w:val="00FE666D"/>
    <w:rsid w:val="00FE73BF"/>
    <w:rsid w:val="00FE769F"/>
    <w:rsid w:val="00FF12A4"/>
    <w:rsid w:val="00FF14E5"/>
    <w:rsid w:val="00FF359B"/>
    <w:rsid w:val="00FF614A"/>
    <w:rsid w:val="00FF7406"/>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AAB1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character" w:customStyle="1" w:styleId="SingleTxtGChar">
    <w:name w:val="_ Single Txt_G Char"/>
    <w:link w:val="SingleTxtG"/>
    <w:locked/>
    <w:rsid w:val="00B11712"/>
    <w:rPr>
      <w:lang w:val="en-GB" w:eastAsia="en-US"/>
    </w:rPr>
  </w:style>
  <w:style w:type="paragraph" w:customStyle="1" w:styleId="SingleTxtG">
    <w:name w:val="_ Single Txt_G"/>
    <w:basedOn w:val="Normal"/>
    <w:link w:val="SingleTxtGChar"/>
    <w:rsid w:val="00B11712"/>
    <w:pPr>
      <w:suppressAutoHyphens/>
      <w:spacing w:before="0" w:line="240" w:lineRule="atLeast"/>
      <w:ind w:left="1134" w:right="1134"/>
      <w:jc w:val="both"/>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58222">
      <w:bodyDiv w:val="1"/>
      <w:marLeft w:val="0"/>
      <w:marRight w:val="0"/>
      <w:marTop w:val="0"/>
      <w:marBottom w:val="0"/>
      <w:divBdr>
        <w:top w:val="none" w:sz="0" w:space="0" w:color="auto"/>
        <w:left w:val="none" w:sz="0" w:space="0" w:color="auto"/>
        <w:bottom w:val="none" w:sz="0" w:space="0" w:color="auto"/>
        <w:right w:val="none" w:sz="0" w:space="0" w:color="auto"/>
      </w:divBdr>
    </w:div>
    <w:div w:id="749474019">
      <w:bodyDiv w:val="1"/>
      <w:marLeft w:val="0"/>
      <w:marRight w:val="0"/>
      <w:marTop w:val="0"/>
      <w:marBottom w:val="0"/>
      <w:divBdr>
        <w:top w:val="none" w:sz="0" w:space="0" w:color="auto"/>
        <w:left w:val="none" w:sz="0" w:space="0" w:color="auto"/>
        <w:bottom w:val="none" w:sz="0" w:space="0" w:color="auto"/>
        <w:right w:val="none" w:sz="0" w:space="0" w:color="auto"/>
      </w:divBdr>
    </w:div>
    <w:div w:id="755636811">
      <w:bodyDiv w:val="1"/>
      <w:marLeft w:val="0"/>
      <w:marRight w:val="0"/>
      <w:marTop w:val="0"/>
      <w:marBottom w:val="0"/>
      <w:divBdr>
        <w:top w:val="none" w:sz="0" w:space="0" w:color="auto"/>
        <w:left w:val="none" w:sz="0" w:space="0" w:color="auto"/>
        <w:bottom w:val="none" w:sz="0" w:space="0" w:color="auto"/>
        <w:right w:val="none" w:sz="0" w:space="0" w:color="auto"/>
      </w:divBdr>
    </w:div>
    <w:div w:id="1005589859">
      <w:bodyDiv w:val="1"/>
      <w:marLeft w:val="0"/>
      <w:marRight w:val="0"/>
      <w:marTop w:val="0"/>
      <w:marBottom w:val="0"/>
      <w:divBdr>
        <w:top w:val="none" w:sz="0" w:space="0" w:color="auto"/>
        <w:left w:val="none" w:sz="0" w:space="0" w:color="auto"/>
        <w:bottom w:val="none" w:sz="0" w:space="0" w:color="auto"/>
        <w:right w:val="none" w:sz="0" w:space="0" w:color="auto"/>
      </w:divBdr>
    </w:div>
    <w:div w:id="1314598567">
      <w:bodyDiv w:val="1"/>
      <w:marLeft w:val="0"/>
      <w:marRight w:val="0"/>
      <w:marTop w:val="0"/>
      <w:marBottom w:val="0"/>
      <w:divBdr>
        <w:top w:val="none" w:sz="0" w:space="0" w:color="auto"/>
        <w:left w:val="none" w:sz="0" w:space="0" w:color="auto"/>
        <w:bottom w:val="none" w:sz="0" w:space="0" w:color="auto"/>
        <w:right w:val="none" w:sz="0" w:space="0" w:color="auto"/>
      </w:divBdr>
    </w:div>
    <w:div w:id="1330056043">
      <w:bodyDiv w:val="1"/>
      <w:marLeft w:val="0"/>
      <w:marRight w:val="0"/>
      <w:marTop w:val="0"/>
      <w:marBottom w:val="0"/>
      <w:divBdr>
        <w:top w:val="none" w:sz="0" w:space="0" w:color="auto"/>
        <w:left w:val="none" w:sz="0" w:space="0" w:color="auto"/>
        <w:bottom w:val="none" w:sz="0" w:space="0" w:color="auto"/>
        <w:right w:val="none" w:sz="0" w:space="0" w:color="auto"/>
      </w:divBdr>
    </w:div>
    <w:div w:id="1456438023">
      <w:bodyDiv w:val="1"/>
      <w:marLeft w:val="0"/>
      <w:marRight w:val="0"/>
      <w:marTop w:val="0"/>
      <w:marBottom w:val="0"/>
      <w:divBdr>
        <w:top w:val="none" w:sz="0" w:space="0" w:color="auto"/>
        <w:left w:val="none" w:sz="0" w:space="0" w:color="auto"/>
        <w:bottom w:val="none" w:sz="0" w:space="0" w:color="auto"/>
        <w:right w:val="none" w:sz="0" w:space="0" w:color="auto"/>
      </w:divBdr>
    </w:div>
    <w:div w:id="1496142006">
      <w:bodyDiv w:val="1"/>
      <w:marLeft w:val="0"/>
      <w:marRight w:val="0"/>
      <w:marTop w:val="0"/>
      <w:marBottom w:val="0"/>
      <w:divBdr>
        <w:top w:val="none" w:sz="0" w:space="0" w:color="auto"/>
        <w:left w:val="none" w:sz="0" w:space="0" w:color="auto"/>
        <w:bottom w:val="none" w:sz="0" w:space="0" w:color="auto"/>
        <w:right w:val="none" w:sz="0" w:space="0" w:color="auto"/>
      </w:divBdr>
    </w:div>
    <w:div w:id="1578663785">
      <w:bodyDiv w:val="1"/>
      <w:marLeft w:val="0"/>
      <w:marRight w:val="0"/>
      <w:marTop w:val="0"/>
      <w:marBottom w:val="0"/>
      <w:divBdr>
        <w:top w:val="none" w:sz="0" w:space="0" w:color="auto"/>
        <w:left w:val="none" w:sz="0" w:space="0" w:color="auto"/>
        <w:bottom w:val="none" w:sz="0" w:space="0" w:color="auto"/>
        <w:right w:val="none" w:sz="0" w:space="0" w:color="auto"/>
      </w:divBdr>
    </w:div>
    <w:div w:id="1805653279">
      <w:bodyDiv w:val="1"/>
      <w:marLeft w:val="0"/>
      <w:marRight w:val="0"/>
      <w:marTop w:val="0"/>
      <w:marBottom w:val="0"/>
      <w:divBdr>
        <w:top w:val="none" w:sz="0" w:space="0" w:color="auto"/>
        <w:left w:val="none" w:sz="0" w:space="0" w:color="auto"/>
        <w:bottom w:val="none" w:sz="0" w:space="0" w:color="auto"/>
        <w:right w:val="none" w:sz="0" w:space="0" w:color="auto"/>
      </w:divBdr>
    </w:div>
    <w:div w:id="19246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0DBD3B3F14F408BD24DB151985CE3" ma:contentTypeVersion="11" ma:contentTypeDescription="Create a new document." ma:contentTypeScope="" ma:versionID="516d4ea555597e39b5bbba949cbdd3d1">
  <xsd:schema xmlns:xsd="http://www.w3.org/2001/XMLSchema" xmlns:xs="http://www.w3.org/2001/XMLSchema" xmlns:p="http://schemas.microsoft.com/office/2006/metadata/properties" xmlns:ns3="6576d91f-c9e9-4947-a3d7-a61f72220494" targetNamespace="http://schemas.microsoft.com/office/2006/metadata/properties" ma:root="true" ma:fieldsID="6f87923f6eee63b82811ec8ced7cf19b" ns3:_="">
    <xsd:import namespace="6576d91f-c9e9-4947-a3d7-a61f722204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BillingMetadata"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d91f-c9e9-4947-a3d7-a61f722204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685F-DB54-497C-AAD6-131D1334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17165-7A6F-4407-8761-9CCBEF404F7F}">
  <ds:schemaRefs>
    <ds:schemaRef ds:uri="http://schemas.microsoft.com/sharepoint/v3/contenttype/forms"/>
  </ds:schemaRefs>
</ds:datastoreItem>
</file>

<file path=customXml/itemProps3.xml><?xml version="1.0" encoding="utf-8"?>
<ds:datastoreItem xmlns:ds="http://schemas.openxmlformats.org/officeDocument/2006/customXml" ds:itemID="{2A6F833E-2C97-465C-89C9-1D71F767D018}">
  <ds:schemaRefs>
    <ds:schemaRef ds:uri="http://schemas.microsoft.com/office/infopath/2007/PartnerControls"/>
    <ds:schemaRef ds:uri="http://purl.org/dc/elements/1.1/"/>
    <ds:schemaRef ds:uri="http://schemas.microsoft.com/office/2006/metadata/properties"/>
    <ds:schemaRef ds:uri="http://purl.org/dc/terms/"/>
    <ds:schemaRef ds:uri="6576d91f-c9e9-4947-a3d7-a61f7222049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E0765D6-4F95-47E6-B813-14896408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2528</Words>
  <Characters>14457</Characters>
  <Application>Microsoft Office Word</Application>
  <DocSecurity>0</DocSecurity>
  <Lines>272</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statement—August 2025—Vehicle Standard (Australian Design Rule) Vehicle Lighting Amendment 2025</dc:title>
  <dc:subject/>
  <dc:creator/>
  <cp:keywords/>
  <cp:lastModifiedBy/>
  <cp:revision>1</cp:revision>
  <dcterms:created xsi:type="dcterms:W3CDTF">2025-08-15T00:10:00Z</dcterms:created>
  <dcterms:modified xsi:type="dcterms:W3CDTF">2025-08-19T08:10:00Z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0x0101002E40DBD3B3F14F408BD24DB151985CE3</vt:lpwstr>
  </property>
</Properties>
</file>