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44372E6F" w:rsidR="00BA4F48" w:rsidRDefault="00AD12BE" w:rsidP="00E70B07">
      <w:pPr>
        <w:jc w:val="center"/>
        <w:rPr>
          <w:b/>
          <w:sz w:val="40"/>
          <w:szCs w:val="40"/>
        </w:rPr>
      </w:pPr>
      <w:bookmarkStart w:id="0" w:name="_Hlk206500261"/>
      <w:r w:rsidRPr="008D244E">
        <w:rPr>
          <w:b/>
          <w:sz w:val="40"/>
          <w:szCs w:val="40"/>
        </w:rPr>
        <w:t>Vehicle Standard (</w:t>
      </w:r>
      <w:bookmarkStart w:id="1" w:name="_Hlk173233863"/>
      <w:r w:rsidRPr="008D244E">
        <w:rPr>
          <w:b/>
          <w:sz w:val="40"/>
          <w:szCs w:val="40"/>
        </w:rPr>
        <w:t>Australian Design Rule</w:t>
      </w:r>
      <w:r w:rsidR="006A0272">
        <w:rPr>
          <w:b/>
          <w:sz w:val="40"/>
          <w:szCs w:val="40"/>
        </w:rPr>
        <w:t xml:space="preserve"> </w:t>
      </w:r>
      <w:r w:rsidR="00D3441B">
        <w:rPr>
          <w:b/>
          <w:sz w:val="40"/>
          <w:szCs w:val="40"/>
        </w:rPr>
        <w:t>102/00</w:t>
      </w:r>
      <w:r w:rsidR="000E41AE" w:rsidRPr="00935907">
        <w:rPr>
          <w:rFonts w:asciiTheme="minorHAnsi" w:hAnsiTheme="minorHAnsi" w:cstheme="minorHAnsi"/>
          <w:color w:val="000000"/>
        </w:rPr>
        <w:t>—</w:t>
      </w:r>
      <w:r w:rsidR="006A0272">
        <w:rPr>
          <w:b/>
          <w:sz w:val="40"/>
          <w:szCs w:val="40"/>
        </w:rPr>
        <w:t>Light Signalling Device</w:t>
      </w:r>
      <w:r w:rsidR="00D3441B">
        <w:rPr>
          <w:b/>
          <w:sz w:val="40"/>
          <w:szCs w:val="40"/>
        </w:rPr>
        <w:t>s</w:t>
      </w:r>
      <w:r w:rsidRPr="008D244E">
        <w:rPr>
          <w:b/>
          <w:sz w:val="40"/>
          <w:szCs w:val="40"/>
        </w:rPr>
        <w:t>) 202</w:t>
      </w:r>
      <w:r w:rsidR="000F7AD7">
        <w:rPr>
          <w:b/>
          <w:sz w:val="40"/>
          <w:szCs w:val="40"/>
        </w:rPr>
        <w:t>5</w:t>
      </w:r>
      <w:bookmarkEnd w:id="1"/>
      <w:r w:rsidR="0066185C">
        <w:rPr>
          <w:b/>
          <w:sz w:val="40"/>
          <w:szCs w:val="40"/>
        </w:rPr>
        <w:t xml:space="preserve"> </w:t>
      </w:r>
    </w:p>
    <w:bookmarkEnd w:id="0"/>
    <w:p w14:paraId="578D1FE2" w14:textId="77777777" w:rsidR="00BA4F48" w:rsidRPr="008D244E" w:rsidRDefault="00BA4F48" w:rsidP="00013A0E">
      <w:pPr>
        <w:jc w:val="both"/>
      </w:pPr>
    </w:p>
    <w:p w14:paraId="5C0CF70B" w14:textId="77777777" w:rsidR="00AD12BE" w:rsidRPr="008D244E" w:rsidRDefault="00AD12BE" w:rsidP="00CF0307">
      <w:pPr>
        <w:jc w:val="center"/>
      </w:pPr>
      <w:r w:rsidRPr="008D244E">
        <w:t xml:space="preserve">Made under section 12 of the </w:t>
      </w:r>
      <w:r w:rsidRPr="008D244E">
        <w:rPr>
          <w:i/>
        </w:rPr>
        <w:t>Road Vehicle Standards Act 2018</w:t>
      </w:r>
    </w:p>
    <w:p w14:paraId="786E47F2" w14:textId="77777777" w:rsidR="00AD12BE" w:rsidRPr="008D244E" w:rsidRDefault="00AD12BE" w:rsidP="00013A0E">
      <w:pPr>
        <w:jc w:val="both"/>
      </w:pPr>
    </w:p>
    <w:p w14:paraId="15DB4523" w14:textId="77777777" w:rsidR="00AD12BE" w:rsidRPr="008D244E" w:rsidRDefault="00AD12BE" w:rsidP="00013A0E">
      <w:pPr>
        <w:jc w:val="both"/>
      </w:pPr>
    </w:p>
    <w:p w14:paraId="17F814E0" w14:textId="77777777" w:rsidR="00AD12BE" w:rsidRPr="008D244E" w:rsidRDefault="00AD12BE" w:rsidP="00013A0E">
      <w:pPr>
        <w:jc w:val="both"/>
      </w:pPr>
    </w:p>
    <w:p w14:paraId="1561A661" w14:textId="7E48E638" w:rsidR="00F01443" w:rsidRDefault="00F01443" w:rsidP="00CF0307">
      <w:pPr>
        <w:jc w:val="center"/>
        <w:rPr>
          <w:b/>
          <w:bCs/>
          <w:sz w:val="40"/>
        </w:rPr>
      </w:pPr>
      <w:r>
        <w:rPr>
          <w:b/>
          <w:bCs/>
          <w:sz w:val="40"/>
        </w:rPr>
        <w:t>Draft for Consultation</w:t>
      </w:r>
    </w:p>
    <w:p w14:paraId="2345A1F4" w14:textId="22864DC1" w:rsidR="00AD12BE" w:rsidRPr="008D244E" w:rsidRDefault="00AD12BE" w:rsidP="00CF0307">
      <w:pPr>
        <w:jc w:val="center"/>
        <w:rPr>
          <w:b/>
          <w:bCs/>
          <w:sz w:val="40"/>
        </w:rPr>
      </w:pPr>
      <w:bookmarkStart w:id="2" w:name="_GoBack"/>
      <w:r w:rsidRPr="008D244E">
        <w:rPr>
          <w:b/>
          <w:bCs/>
          <w:sz w:val="40"/>
        </w:rPr>
        <w:t>Explanatory Statement</w:t>
      </w:r>
      <w:bookmarkEnd w:id="2"/>
    </w:p>
    <w:p w14:paraId="4162D98B" w14:textId="77777777" w:rsidR="00AD12BE" w:rsidRPr="008D244E" w:rsidRDefault="00AD12BE" w:rsidP="00013A0E">
      <w:pPr>
        <w:jc w:val="both"/>
      </w:pPr>
    </w:p>
    <w:p w14:paraId="0840836A" w14:textId="77777777" w:rsidR="00AD12BE" w:rsidRPr="008D244E" w:rsidRDefault="00AD12BE" w:rsidP="00013A0E">
      <w:pPr>
        <w:jc w:val="both"/>
      </w:pPr>
    </w:p>
    <w:p w14:paraId="2DFE2BC9" w14:textId="77777777" w:rsidR="00AD12BE" w:rsidRPr="008D244E" w:rsidRDefault="00AD12BE" w:rsidP="00013A0E">
      <w:pPr>
        <w:jc w:val="both"/>
      </w:pPr>
    </w:p>
    <w:p w14:paraId="0AE2934B" w14:textId="77777777" w:rsidR="00AD12BE" w:rsidRPr="008D244E" w:rsidRDefault="00AD12BE" w:rsidP="00013A0E">
      <w:pPr>
        <w:jc w:val="both"/>
      </w:pPr>
    </w:p>
    <w:p w14:paraId="31394C7C" w14:textId="77777777" w:rsidR="00AD12BE" w:rsidRPr="008D244E" w:rsidRDefault="00AD12BE" w:rsidP="00013A0E">
      <w:pPr>
        <w:jc w:val="both"/>
      </w:pPr>
    </w:p>
    <w:p w14:paraId="7E37F946" w14:textId="46A0ADB1" w:rsidR="00AD12BE" w:rsidRPr="008D244E" w:rsidRDefault="00FE0D42" w:rsidP="00DB033A">
      <w:pPr>
        <w:jc w:val="center"/>
      </w:pPr>
      <w:r w:rsidRPr="005904CE">
        <w:t xml:space="preserve">Approved by the Hon </w:t>
      </w:r>
      <w:r w:rsidR="00F01443">
        <w:t>XXX,</w:t>
      </w:r>
      <w:r w:rsidR="00F01443" w:rsidRPr="005904CE">
        <w:t xml:space="preserve"> </w:t>
      </w:r>
      <w:r w:rsidR="00F01443">
        <w:t>XXX</w:t>
      </w:r>
      <w:r w:rsidR="00AD12BE" w:rsidRPr="008D244E">
        <w:br/>
      </w:r>
    </w:p>
    <w:p w14:paraId="4462F687" w14:textId="77777777" w:rsidR="00AD12BE" w:rsidRPr="008D244E" w:rsidRDefault="00AD12BE" w:rsidP="00013A0E">
      <w:pPr>
        <w:jc w:val="both"/>
      </w:pPr>
    </w:p>
    <w:p w14:paraId="23987BE0" w14:textId="77777777" w:rsidR="00AD12BE" w:rsidRPr="008D244E" w:rsidRDefault="00AD12BE" w:rsidP="00013A0E">
      <w:pPr>
        <w:jc w:val="both"/>
      </w:pPr>
    </w:p>
    <w:p w14:paraId="2BD50A41" w14:textId="77777777" w:rsidR="00AD12BE" w:rsidRPr="008D244E" w:rsidRDefault="00AD12BE" w:rsidP="00013A0E">
      <w:pPr>
        <w:jc w:val="both"/>
      </w:pPr>
    </w:p>
    <w:p w14:paraId="26F73D33" w14:textId="77777777" w:rsidR="00AD12BE" w:rsidRPr="008D244E" w:rsidRDefault="00AD12BE" w:rsidP="00013A0E">
      <w:pPr>
        <w:jc w:val="both"/>
      </w:pPr>
    </w:p>
    <w:p w14:paraId="75F3A258" w14:textId="77777777" w:rsidR="00AD12BE" w:rsidRPr="008D244E" w:rsidRDefault="00AD12BE" w:rsidP="00013A0E">
      <w:pPr>
        <w:jc w:val="both"/>
      </w:pPr>
    </w:p>
    <w:p w14:paraId="1EA7FB7D" w14:textId="76365A9F" w:rsidR="00BA4F48" w:rsidRDefault="00F01443" w:rsidP="00E70B07">
      <w:pPr>
        <w:jc w:val="center"/>
        <w:rPr>
          <w:b/>
          <w:bCs/>
          <w:sz w:val="40"/>
        </w:rPr>
      </w:pPr>
      <w:r>
        <w:rPr>
          <w:b/>
          <w:bCs/>
          <w:sz w:val="40"/>
        </w:rPr>
        <w:t>XXX</w:t>
      </w:r>
      <w:r w:rsidRPr="00FE0D42">
        <w:rPr>
          <w:b/>
          <w:bCs/>
          <w:sz w:val="40"/>
        </w:rPr>
        <w:t xml:space="preserve"> </w:t>
      </w:r>
      <w:r w:rsidR="006F52EB" w:rsidRPr="00FE0D42">
        <w:rPr>
          <w:b/>
          <w:bCs/>
          <w:sz w:val="40"/>
        </w:rPr>
        <w:t>202</w:t>
      </w:r>
      <w:r w:rsidR="00344165" w:rsidRPr="00FE0D42">
        <w:rPr>
          <w:b/>
          <w:bCs/>
          <w:sz w:val="40"/>
        </w:rPr>
        <w:t>5</w:t>
      </w:r>
    </w:p>
    <w:p w14:paraId="26244128" w14:textId="77777777" w:rsidR="006F52EB" w:rsidRPr="008D244E" w:rsidRDefault="006F52EB" w:rsidP="00013A0E">
      <w:pPr>
        <w:jc w:val="both"/>
        <w:rPr>
          <w:b/>
          <w:bCs/>
          <w:sz w:val="40"/>
        </w:rPr>
      </w:pPr>
    </w:p>
    <w:p w14:paraId="2D67A515" w14:textId="77777777" w:rsidR="00BA4F48" w:rsidRPr="008D244E" w:rsidRDefault="00BA4F48" w:rsidP="00013A0E">
      <w:pPr>
        <w:jc w:val="both"/>
      </w:pPr>
    </w:p>
    <w:p w14:paraId="7C34D2B8" w14:textId="77777777" w:rsidR="00BA4F48" w:rsidRPr="008D244E" w:rsidRDefault="00BA4F48" w:rsidP="00013A0E">
      <w:pPr>
        <w:jc w:val="both"/>
      </w:pPr>
    </w:p>
    <w:p w14:paraId="1184D09C" w14:textId="77777777" w:rsidR="00FD272C" w:rsidRPr="008D244E" w:rsidRDefault="00FD272C" w:rsidP="00013A0E">
      <w:pPr>
        <w:pStyle w:val="ContentsHeading"/>
        <w:jc w:val="both"/>
        <w:sectPr w:rsidR="00FD272C" w:rsidRPr="008D244E" w:rsidSect="00DA11CE">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013A0E">
      <w:pPr>
        <w:pStyle w:val="ContentsHeading"/>
        <w:jc w:val="both"/>
      </w:pPr>
      <w:r w:rsidRPr="008D244E">
        <w:lastRenderedPageBreak/>
        <w:t>CONTENTS</w:t>
      </w:r>
    </w:p>
    <w:p w14:paraId="02DBB7C9" w14:textId="77777777" w:rsidR="00DD4F22" w:rsidRPr="008D244E" w:rsidRDefault="00DD4F22" w:rsidP="00013A0E">
      <w:pPr>
        <w:jc w:val="both"/>
      </w:pPr>
    </w:p>
    <w:p w14:paraId="37FC8CB9" w14:textId="31AD7A6F" w:rsidR="001636B5" w:rsidRDefault="00DD4F22" w:rsidP="00013A0E">
      <w:pPr>
        <w:pStyle w:val="TOC1"/>
        <w:jc w:val="both"/>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1636B5">
        <w:rPr>
          <w:noProof/>
        </w:rPr>
        <w:t>1.</w:t>
      </w:r>
      <w:r w:rsidR="001636B5">
        <w:rPr>
          <w:rFonts w:asciiTheme="minorHAnsi" w:eastAsiaTheme="minorEastAsia" w:hAnsiTheme="minorHAnsi" w:cstheme="minorBidi"/>
          <w:caps w:val="0"/>
          <w:noProof/>
          <w:sz w:val="22"/>
          <w:szCs w:val="22"/>
        </w:rPr>
        <w:tab/>
      </w:r>
      <w:r w:rsidR="001636B5">
        <w:rPr>
          <w:noProof/>
        </w:rPr>
        <w:t>legislative Authority</w:t>
      </w:r>
      <w:r w:rsidR="001636B5">
        <w:rPr>
          <w:noProof/>
        </w:rPr>
        <w:tab/>
      </w:r>
      <w:r w:rsidR="001636B5">
        <w:rPr>
          <w:noProof/>
        </w:rPr>
        <w:fldChar w:fldCharType="begin"/>
      </w:r>
      <w:r w:rsidR="001636B5">
        <w:rPr>
          <w:noProof/>
        </w:rPr>
        <w:instrText xml:space="preserve"> PAGEREF _Toc173503348 \h </w:instrText>
      </w:r>
      <w:r w:rsidR="001636B5">
        <w:rPr>
          <w:noProof/>
        </w:rPr>
      </w:r>
      <w:r w:rsidR="001636B5">
        <w:rPr>
          <w:noProof/>
        </w:rPr>
        <w:fldChar w:fldCharType="separate"/>
      </w:r>
      <w:r w:rsidR="00E875D5">
        <w:rPr>
          <w:noProof/>
        </w:rPr>
        <w:t>3</w:t>
      </w:r>
      <w:r w:rsidR="001636B5">
        <w:rPr>
          <w:noProof/>
        </w:rPr>
        <w:fldChar w:fldCharType="end"/>
      </w:r>
    </w:p>
    <w:p w14:paraId="6EAF7869" w14:textId="707207AD" w:rsidR="001636B5" w:rsidRDefault="001636B5" w:rsidP="00013A0E">
      <w:pPr>
        <w:pStyle w:val="TOC2"/>
        <w:jc w:val="both"/>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_Toc173503349 \h </w:instrText>
      </w:r>
      <w:r>
        <w:rPr>
          <w:noProof/>
        </w:rPr>
      </w:r>
      <w:r>
        <w:rPr>
          <w:noProof/>
        </w:rPr>
        <w:fldChar w:fldCharType="separate"/>
      </w:r>
      <w:r w:rsidR="00E875D5">
        <w:rPr>
          <w:noProof/>
        </w:rPr>
        <w:t>3</w:t>
      </w:r>
      <w:r>
        <w:rPr>
          <w:noProof/>
        </w:rPr>
        <w:fldChar w:fldCharType="end"/>
      </w:r>
    </w:p>
    <w:p w14:paraId="5CAB40DD" w14:textId="6F05540F" w:rsidR="001636B5" w:rsidRDefault="001636B5" w:rsidP="00013A0E">
      <w:pPr>
        <w:pStyle w:val="TOC2"/>
        <w:jc w:val="both"/>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_Toc173503350 \h </w:instrText>
      </w:r>
      <w:r>
        <w:rPr>
          <w:noProof/>
        </w:rPr>
      </w:r>
      <w:r>
        <w:rPr>
          <w:noProof/>
        </w:rPr>
        <w:fldChar w:fldCharType="separate"/>
      </w:r>
      <w:r w:rsidR="00E875D5">
        <w:rPr>
          <w:noProof/>
        </w:rPr>
        <w:t>3</w:t>
      </w:r>
      <w:r>
        <w:rPr>
          <w:noProof/>
        </w:rPr>
        <w:fldChar w:fldCharType="end"/>
      </w:r>
    </w:p>
    <w:p w14:paraId="30E44DB4" w14:textId="773466E5" w:rsidR="001636B5" w:rsidRDefault="001636B5" w:rsidP="00013A0E">
      <w:pPr>
        <w:pStyle w:val="TOC2"/>
        <w:jc w:val="both"/>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_Toc173503351 \h </w:instrText>
      </w:r>
      <w:r>
        <w:rPr>
          <w:noProof/>
        </w:rPr>
      </w:r>
      <w:r>
        <w:rPr>
          <w:noProof/>
        </w:rPr>
        <w:fldChar w:fldCharType="separate"/>
      </w:r>
      <w:r w:rsidR="00E875D5">
        <w:rPr>
          <w:noProof/>
        </w:rPr>
        <w:t>4</w:t>
      </w:r>
      <w:r>
        <w:rPr>
          <w:noProof/>
        </w:rPr>
        <w:fldChar w:fldCharType="end"/>
      </w:r>
    </w:p>
    <w:p w14:paraId="39BD5145" w14:textId="6A9BA177" w:rsidR="00E5791A" w:rsidRDefault="00E5791A" w:rsidP="00013A0E">
      <w:pPr>
        <w:pStyle w:val="TOC2"/>
        <w:jc w:val="both"/>
        <w:rPr>
          <w:noProof/>
        </w:rPr>
      </w:pPr>
      <w:r w:rsidRPr="00E5791A">
        <w:rPr>
          <w:noProof/>
        </w:rPr>
        <w:t>2.</w:t>
      </w:r>
      <w:r w:rsidRPr="00E5791A">
        <w:rPr>
          <w:noProof/>
        </w:rPr>
        <w:tab/>
        <w:t>PURPOSE AND OPERATION</w:t>
      </w:r>
      <w:r w:rsidRPr="00E5791A">
        <w:rPr>
          <w:noProof/>
        </w:rPr>
        <w:tab/>
      </w:r>
      <w:r w:rsidR="005E56C3">
        <w:rPr>
          <w:noProof/>
        </w:rPr>
        <w:t>4</w:t>
      </w:r>
    </w:p>
    <w:p w14:paraId="4185D00D" w14:textId="41BE0C4E" w:rsidR="001636B5" w:rsidRDefault="001636B5" w:rsidP="00013A0E">
      <w:pPr>
        <w:pStyle w:val="TOC2"/>
        <w:jc w:val="both"/>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5E56C3">
        <w:rPr>
          <w:noProof/>
        </w:rPr>
        <w:t>4</w:t>
      </w:r>
    </w:p>
    <w:p w14:paraId="458B5E83" w14:textId="6196A517" w:rsidR="001636B5" w:rsidRDefault="001636B5" w:rsidP="00013A0E">
      <w:pPr>
        <w:pStyle w:val="TOC2"/>
        <w:jc w:val="both"/>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_Toc173503353 \h </w:instrText>
      </w:r>
      <w:r>
        <w:rPr>
          <w:noProof/>
        </w:rPr>
      </w:r>
      <w:r>
        <w:rPr>
          <w:noProof/>
        </w:rPr>
        <w:fldChar w:fldCharType="separate"/>
      </w:r>
      <w:r w:rsidR="00E875D5">
        <w:rPr>
          <w:noProof/>
        </w:rPr>
        <w:t>5</w:t>
      </w:r>
      <w:r>
        <w:rPr>
          <w:noProof/>
        </w:rPr>
        <w:fldChar w:fldCharType="end"/>
      </w:r>
    </w:p>
    <w:p w14:paraId="662D4B17" w14:textId="02544806" w:rsidR="001636B5" w:rsidRDefault="001636B5" w:rsidP="00013A0E">
      <w:pPr>
        <w:pStyle w:val="TOC1"/>
        <w:jc w:val="both"/>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2B44D9">
        <w:rPr>
          <w:noProof/>
        </w:rPr>
        <w:t>1</w:t>
      </w:r>
      <w:r w:rsidR="00D63098">
        <w:rPr>
          <w:noProof/>
        </w:rPr>
        <w:t>1</w:t>
      </w:r>
    </w:p>
    <w:p w14:paraId="72A6AFAF" w14:textId="765BC8B2" w:rsidR="001636B5" w:rsidRDefault="001636B5" w:rsidP="00013A0E">
      <w:pPr>
        <w:pStyle w:val="TOC2"/>
        <w:jc w:val="both"/>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2B44D9">
        <w:rPr>
          <w:noProof/>
        </w:rPr>
        <w:t>1</w:t>
      </w:r>
      <w:r w:rsidR="00D63098">
        <w:rPr>
          <w:noProof/>
        </w:rPr>
        <w:t>1</w:t>
      </w:r>
    </w:p>
    <w:p w14:paraId="7FAEAFDA" w14:textId="3A2F4F8D" w:rsidR="001636B5" w:rsidRPr="00734096" w:rsidRDefault="001636B5" w:rsidP="00013A0E">
      <w:pPr>
        <w:pStyle w:val="TOC2"/>
        <w:jc w:val="both"/>
        <w:rPr>
          <w:rFonts w:asciiTheme="minorHAnsi" w:eastAsiaTheme="minorEastAsia" w:hAnsiTheme="minorHAnsi" w:cstheme="minorBidi"/>
          <w:noProof/>
          <w:sz w:val="22"/>
          <w:szCs w:val="22"/>
        </w:rPr>
      </w:pPr>
      <w:r w:rsidRPr="00734096">
        <w:rPr>
          <w:noProof/>
        </w:rPr>
        <w:t>3.2.</w:t>
      </w:r>
      <w:r w:rsidRPr="00734096">
        <w:rPr>
          <w:rFonts w:asciiTheme="minorHAnsi" w:eastAsiaTheme="minorEastAsia" w:hAnsiTheme="minorHAnsi" w:cstheme="minorBidi"/>
          <w:noProof/>
          <w:sz w:val="22"/>
          <w:szCs w:val="22"/>
        </w:rPr>
        <w:tab/>
      </w:r>
      <w:r w:rsidRPr="00734096">
        <w:rPr>
          <w:noProof/>
        </w:rPr>
        <w:t>Other Documents</w:t>
      </w:r>
      <w:r w:rsidRPr="00734096">
        <w:rPr>
          <w:noProof/>
        </w:rPr>
        <w:tab/>
      </w:r>
      <w:r w:rsidR="002B44D9">
        <w:rPr>
          <w:noProof/>
        </w:rPr>
        <w:t>1</w:t>
      </w:r>
      <w:r w:rsidR="00D63098">
        <w:rPr>
          <w:noProof/>
        </w:rPr>
        <w:t>1</w:t>
      </w:r>
    </w:p>
    <w:p w14:paraId="6B9D31F5" w14:textId="440B9A95" w:rsidR="001636B5" w:rsidRDefault="001636B5" w:rsidP="00013A0E">
      <w:pPr>
        <w:pStyle w:val="TOC1"/>
        <w:jc w:val="both"/>
        <w:rPr>
          <w:rFonts w:asciiTheme="minorHAnsi" w:eastAsiaTheme="minorEastAsia" w:hAnsiTheme="minorHAnsi" w:cstheme="minorBidi"/>
          <w:caps w:val="0"/>
          <w:noProof/>
          <w:sz w:val="22"/>
          <w:szCs w:val="22"/>
        </w:rPr>
      </w:pPr>
      <w:r w:rsidRPr="00734096">
        <w:rPr>
          <w:noProof/>
        </w:rPr>
        <w:t>4.</w:t>
      </w:r>
      <w:r w:rsidRPr="00734096">
        <w:rPr>
          <w:rFonts w:asciiTheme="minorHAnsi" w:eastAsiaTheme="minorEastAsia" w:hAnsiTheme="minorHAnsi" w:cstheme="minorBidi"/>
          <w:caps w:val="0"/>
          <w:noProof/>
          <w:sz w:val="22"/>
          <w:szCs w:val="22"/>
        </w:rPr>
        <w:tab/>
      </w:r>
      <w:r w:rsidRPr="00734096">
        <w:rPr>
          <w:noProof/>
        </w:rPr>
        <w:t>CONSULTATION</w:t>
      </w:r>
      <w:r>
        <w:rPr>
          <w:noProof/>
        </w:rPr>
        <w:tab/>
      </w:r>
      <w:r w:rsidR="002B44D9">
        <w:rPr>
          <w:noProof/>
        </w:rPr>
        <w:t>1</w:t>
      </w:r>
      <w:r w:rsidR="00D63098">
        <w:rPr>
          <w:noProof/>
        </w:rPr>
        <w:t>2</w:t>
      </w:r>
    </w:p>
    <w:p w14:paraId="08927646" w14:textId="0C360F1D" w:rsidR="001636B5" w:rsidRDefault="001636B5" w:rsidP="00013A0E">
      <w:pPr>
        <w:pStyle w:val="TOC2"/>
        <w:jc w:val="both"/>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2B44D9">
        <w:rPr>
          <w:noProof/>
        </w:rPr>
        <w:t>1</w:t>
      </w:r>
      <w:r w:rsidR="00D63098">
        <w:rPr>
          <w:noProof/>
        </w:rPr>
        <w:t>2</w:t>
      </w:r>
    </w:p>
    <w:p w14:paraId="75D00F0D" w14:textId="6628C560" w:rsidR="001636B5" w:rsidRDefault="001636B5" w:rsidP="00013A0E">
      <w:pPr>
        <w:pStyle w:val="TOC2"/>
        <w:jc w:val="both"/>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2B44D9">
        <w:rPr>
          <w:noProof/>
        </w:rPr>
        <w:t>1</w:t>
      </w:r>
      <w:r w:rsidR="005877A6">
        <w:rPr>
          <w:noProof/>
        </w:rPr>
        <w:t>3</w:t>
      </w:r>
    </w:p>
    <w:p w14:paraId="49DE6BB2" w14:textId="4528D4FB" w:rsidR="001636B5" w:rsidRDefault="001636B5" w:rsidP="00013A0E">
      <w:pPr>
        <w:pStyle w:val="TOC1"/>
        <w:jc w:val="both"/>
        <w:rPr>
          <w:rFonts w:asciiTheme="minorHAnsi" w:eastAsiaTheme="minorEastAsia" w:hAnsiTheme="minorHAnsi" w:cstheme="minorBidi"/>
          <w:caps w:val="0"/>
          <w:noProof/>
          <w:sz w:val="22"/>
          <w:szCs w:val="22"/>
        </w:rPr>
      </w:pPr>
      <w:r w:rsidRPr="00D84AFD">
        <w:rPr>
          <w:noProof/>
        </w:rPr>
        <w:t>5.</w:t>
      </w:r>
      <w:r w:rsidRPr="00D84AFD">
        <w:rPr>
          <w:rFonts w:asciiTheme="minorHAnsi" w:eastAsiaTheme="minorEastAsia" w:hAnsiTheme="minorHAnsi" w:cstheme="minorBidi"/>
          <w:caps w:val="0"/>
          <w:noProof/>
          <w:sz w:val="22"/>
          <w:szCs w:val="22"/>
        </w:rPr>
        <w:tab/>
      </w:r>
      <w:r w:rsidRPr="00D84AFD">
        <w:rPr>
          <w:noProof/>
        </w:rPr>
        <w:t>Regulatory Impact</w:t>
      </w:r>
      <w:r>
        <w:rPr>
          <w:noProof/>
        </w:rPr>
        <w:tab/>
      </w:r>
      <w:r w:rsidR="002B44D9">
        <w:rPr>
          <w:noProof/>
        </w:rPr>
        <w:t>1</w:t>
      </w:r>
      <w:r w:rsidR="005877A6">
        <w:rPr>
          <w:noProof/>
        </w:rPr>
        <w:t>3</w:t>
      </w:r>
    </w:p>
    <w:p w14:paraId="74D65CCF" w14:textId="4A7F8A9B" w:rsidR="001636B5" w:rsidRDefault="001636B5" w:rsidP="00013A0E">
      <w:pPr>
        <w:pStyle w:val="TOC1"/>
        <w:jc w:val="both"/>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2B44D9">
        <w:rPr>
          <w:noProof/>
        </w:rPr>
        <w:t>1</w:t>
      </w:r>
      <w:r w:rsidR="005877A6">
        <w:rPr>
          <w:noProof/>
        </w:rPr>
        <w:t>3</w:t>
      </w:r>
    </w:p>
    <w:p w14:paraId="5EB36689" w14:textId="19F54BF4" w:rsidR="001636B5" w:rsidRDefault="001636B5" w:rsidP="00013A0E">
      <w:pPr>
        <w:pStyle w:val="TOC2"/>
        <w:jc w:val="both"/>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2B44D9">
        <w:rPr>
          <w:noProof/>
        </w:rPr>
        <w:t>1</w:t>
      </w:r>
      <w:r w:rsidR="005877A6">
        <w:rPr>
          <w:noProof/>
        </w:rPr>
        <w:t>3</w:t>
      </w:r>
    </w:p>
    <w:p w14:paraId="237180FE" w14:textId="10EE7BDE" w:rsidR="001636B5" w:rsidRDefault="001636B5" w:rsidP="00013A0E">
      <w:pPr>
        <w:pStyle w:val="TOC2"/>
        <w:jc w:val="both"/>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2B44D9">
        <w:rPr>
          <w:noProof/>
        </w:rPr>
        <w:t>1</w:t>
      </w:r>
      <w:r w:rsidR="00D63098">
        <w:rPr>
          <w:noProof/>
        </w:rPr>
        <w:t>3</w:t>
      </w:r>
    </w:p>
    <w:p w14:paraId="546E6757" w14:textId="2812AD32" w:rsidR="001636B5" w:rsidRDefault="001636B5" w:rsidP="00013A0E">
      <w:pPr>
        <w:pStyle w:val="TOC2"/>
        <w:jc w:val="both"/>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710B75">
        <w:rPr>
          <w:noProof/>
        </w:rPr>
        <w:t>1</w:t>
      </w:r>
      <w:r w:rsidR="00D63098">
        <w:rPr>
          <w:noProof/>
        </w:rPr>
        <w:t>3</w:t>
      </w:r>
    </w:p>
    <w:p w14:paraId="27D1D1D6" w14:textId="3FF35971" w:rsidR="00DD4F22" w:rsidRPr="008D244E" w:rsidRDefault="00DD4F22" w:rsidP="00013A0E">
      <w:pPr>
        <w:jc w:val="both"/>
      </w:pPr>
      <w:r w:rsidRPr="008D244E">
        <w:fldChar w:fldCharType="end"/>
      </w:r>
    </w:p>
    <w:p w14:paraId="2C2C1D91" w14:textId="2D17ED89" w:rsidR="00BA4F48" w:rsidRPr="008D244E" w:rsidRDefault="00BA4F48" w:rsidP="00013A0E">
      <w:pPr>
        <w:pStyle w:val="HeadingLevel1"/>
        <w:jc w:val="both"/>
      </w:pPr>
      <w:r w:rsidRPr="008D244E">
        <w:rPr>
          <w:color w:val="3366FF"/>
        </w:rPr>
        <w:br w:type="page"/>
      </w:r>
      <w:bookmarkStart w:id="3" w:name="_Toc167864611"/>
      <w:bookmarkStart w:id="4" w:name="_Toc505092258"/>
      <w:bookmarkStart w:id="5" w:name="_Toc173503348"/>
      <w:r w:rsidRPr="008D244E">
        <w:lastRenderedPageBreak/>
        <w:t xml:space="preserve">legislative </w:t>
      </w:r>
      <w:bookmarkEnd w:id="3"/>
      <w:bookmarkEnd w:id="4"/>
      <w:r w:rsidR="00325E9B" w:rsidRPr="008D244E">
        <w:t>Authority</w:t>
      </w:r>
      <w:bookmarkEnd w:id="5"/>
      <w:r w:rsidR="00EF178C">
        <w:t xml:space="preserve"> </w:t>
      </w:r>
    </w:p>
    <w:p w14:paraId="476546B4" w14:textId="734230A8" w:rsidR="004233CF" w:rsidRPr="008D244E" w:rsidRDefault="00AF47C2" w:rsidP="00013A0E">
      <w:pPr>
        <w:pStyle w:val="HeadingLevel2"/>
        <w:ind w:left="851"/>
        <w:jc w:val="both"/>
      </w:pPr>
      <w:bookmarkStart w:id="6" w:name="_Toc173503349"/>
      <w:r w:rsidRPr="008D244E">
        <w:t>National Road Vehicle Standards</w:t>
      </w:r>
      <w:bookmarkEnd w:id="6"/>
    </w:p>
    <w:p w14:paraId="732801D2" w14:textId="144E5A80" w:rsidR="00F73146" w:rsidRDefault="00F73146" w:rsidP="00013A0E">
      <w:pPr>
        <w:jc w:val="both"/>
      </w:pPr>
      <w:r>
        <w:t xml:space="preserve">The </w:t>
      </w:r>
      <w:r w:rsidR="006E7418" w:rsidRPr="006E7418">
        <w:t>Vehicle Standa</w:t>
      </w:r>
      <w:r w:rsidR="006E7418">
        <w:t xml:space="preserve">rd (Australian Design Rule </w:t>
      </w:r>
      <w:r w:rsidR="00FF7733">
        <w:t>102/00</w:t>
      </w:r>
      <w:r w:rsidR="005C18FF">
        <w:t xml:space="preserve"> –</w:t>
      </w:r>
      <w:r w:rsidR="00225520">
        <w:t xml:space="preserve"> </w:t>
      </w:r>
      <w:r w:rsidR="001D1DA9">
        <w:t>Light Signalling Devices</w:t>
      </w:r>
      <w:r w:rsidR="00FF7733">
        <w:t>)</w:t>
      </w:r>
      <w:r>
        <w:t xml:space="preserve"> 202</w:t>
      </w:r>
      <w:r w:rsidR="002B10A7">
        <w:t>5</w:t>
      </w:r>
      <w:r w:rsidR="001D1DA9">
        <w:t>,</w:t>
      </w:r>
      <w:r>
        <w:t xml:space="preserve"> which may also be cited as the Australia Design Rule 102/00 – Light Signalling Devices or ADR 102/00,</w:t>
      </w:r>
      <w:r w:rsidR="001D1DA9">
        <w:t xml:space="preserve"> </w:t>
      </w:r>
      <w:r w:rsidR="009C3A29">
        <w:t>is</w:t>
      </w:r>
      <w:r w:rsidR="001D1DA9">
        <w:t xml:space="preserve"> </w:t>
      </w:r>
      <w:r w:rsidR="006E7418" w:rsidRPr="006E7418">
        <w:t xml:space="preserve">made under the </w:t>
      </w:r>
      <w:r w:rsidR="006E7418" w:rsidRPr="006E7418">
        <w:rPr>
          <w:i/>
        </w:rPr>
        <w:t>Road Vehicle Standards Act 2018</w:t>
      </w:r>
      <w:r w:rsidR="006E7418" w:rsidRPr="006E7418">
        <w:t xml:space="preserve"> (</w:t>
      </w:r>
      <w:r w:rsidR="00A94AC0">
        <w:t>RVSA</w:t>
      </w:r>
      <w:r w:rsidR="006E7418" w:rsidRPr="006E7418">
        <w:t xml:space="preserve">). </w:t>
      </w:r>
    </w:p>
    <w:p w14:paraId="3962758C" w14:textId="016413F7" w:rsidR="006E7418" w:rsidRPr="006E7418" w:rsidRDefault="006E7418" w:rsidP="00013A0E">
      <w:pPr>
        <w:jc w:val="both"/>
      </w:pPr>
      <w:r w:rsidRPr="006E7418">
        <w:t xml:space="preserve">The </w:t>
      </w:r>
      <w:r w:rsidR="00A94AC0">
        <w:t>RVSA</w:t>
      </w:r>
      <w:r w:rsidR="00A94AC0" w:rsidRPr="006E7418">
        <w:t xml:space="preserve"> </w:t>
      </w:r>
      <w:r w:rsidRPr="006E7418">
        <w:t>enables the Australian Government to establish nationally uniform standards that apply to road vehicles or road vehicle components when they are provided to the market in Australia</w:t>
      </w:r>
      <w:r w:rsidR="00EB1584">
        <w:t xml:space="preserve"> for the first time</w:t>
      </w:r>
      <w:r w:rsidRPr="006E7418">
        <w:t xml:space="preserve">. The </w:t>
      </w:r>
      <w:r w:rsidR="00A94AC0">
        <w:t>RVSA</w:t>
      </w:r>
      <w:r w:rsidR="00A94AC0" w:rsidRPr="006E7418">
        <w:t xml:space="preserve"> </w:t>
      </w:r>
      <w:r w:rsidRPr="006E7418">
        <w:t>applies to vehicles or components whether they are manufactured in Australia or imported.</w:t>
      </w:r>
    </w:p>
    <w:p w14:paraId="516B0D5A" w14:textId="520384EA" w:rsidR="006E7418" w:rsidRDefault="006E7418" w:rsidP="00013A0E">
      <w:pPr>
        <w:jc w:val="both"/>
      </w:pPr>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r w:rsidR="00EB1584">
        <w:t xml:space="preserve"> These standards are also referred to as the Australian Design Rules (ADRs).</w:t>
      </w:r>
    </w:p>
    <w:p w14:paraId="4845B000" w14:textId="3BA8333A" w:rsidR="00F34738" w:rsidRDefault="00975A93" w:rsidP="00013A0E">
      <w:pPr>
        <w:pStyle w:val="HeadingLevel2"/>
        <w:ind w:left="851"/>
        <w:jc w:val="both"/>
      </w:pPr>
      <w:bookmarkStart w:id="7" w:name="_Toc97201332"/>
      <w:bookmarkStart w:id="8" w:name="_Toc173503350"/>
      <w:r w:rsidRPr="0092520B">
        <w:t>Ex</w:t>
      </w:r>
      <w:r>
        <w:t>em</w:t>
      </w:r>
      <w:r w:rsidRPr="0092520B">
        <w:t>ption from Sunsetting</w:t>
      </w:r>
      <w:bookmarkEnd w:id="7"/>
      <w:bookmarkEnd w:id="8"/>
    </w:p>
    <w:p w14:paraId="68F4505E" w14:textId="77777777" w:rsidR="00966425" w:rsidRDefault="001D1DA9" w:rsidP="00013A0E">
      <w:pPr>
        <w:jc w:val="both"/>
      </w:pPr>
      <w:r>
        <w:t xml:space="preserve">ADR </w:t>
      </w:r>
      <w:r w:rsidR="00FF7733">
        <w:t>102/00</w:t>
      </w:r>
      <w:r>
        <w:t xml:space="preserve">, </w:t>
      </w:r>
      <w:r w:rsidR="009C3A29">
        <w:t>is</w:t>
      </w:r>
      <w:r>
        <w:t xml:space="preserve"> </w:t>
      </w:r>
      <w:r w:rsidR="00975A93" w:rsidRPr="000146D3">
        <w:t>exempt fr</w:t>
      </w:r>
      <w:r w:rsidR="000146D3">
        <w:t xml:space="preserve">om the sunsetting provisions of the </w:t>
      </w:r>
      <w:r w:rsidR="000146D3" w:rsidRPr="000146D3">
        <w:rPr>
          <w:i/>
        </w:rPr>
        <w:t>Legislation Act 2003.</w:t>
      </w:r>
      <w:r w:rsidR="00975A93">
        <w:t xml:space="preserve"> </w:t>
      </w:r>
    </w:p>
    <w:p w14:paraId="73CD9899" w14:textId="4F6CC9D6" w:rsidR="00975A93" w:rsidRPr="00A94AC0" w:rsidRDefault="00975A93" w:rsidP="00013A0E">
      <w:pPr>
        <w:jc w:val="both"/>
        <w:rPr>
          <w:i/>
        </w:rPr>
      </w:pPr>
      <w:r w:rsidRPr="00A94AC0">
        <w:rPr>
          <w:i/>
        </w:rPr>
        <w:t>Source of the Exemption</w:t>
      </w:r>
    </w:p>
    <w:p w14:paraId="31641C92" w14:textId="542ED060" w:rsidR="00975A93" w:rsidRDefault="00975A93" w:rsidP="00013A0E">
      <w:pPr>
        <w:jc w:val="both"/>
      </w:pPr>
      <w:r>
        <w:t xml:space="preserve">A standard made under section 12 of the </w:t>
      </w:r>
      <w:r w:rsidR="000146D3">
        <w:t>RVSA</w:t>
      </w:r>
      <w:r>
        <w:t xml:space="preserve"> is not subject to the sunsetting provisions of section 50 of the </w:t>
      </w:r>
      <w:r w:rsidRPr="00276D6F">
        <w:rPr>
          <w:i/>
        </w:rPr>
        <w:t>Legislation</w:t>
      </w:r>
      <w:r w:rsidR="0055793D">
        <w:rPr>
          <w:i/>
        </w:rPr>
        <w:t xml:space="preserve"> </w:t>
      </w:r>
      <w:r w:rsidRPr="00276D6F">
        <w:rPr>
          <w:i/>
        </w:rPr>
        <w:t>Act 2003</w:t>
      </w:r>
      <w:r>
        <w:t xml:space="preserve"> through section 12 of the </w:t>
      </w:r>
      <w:r w:rsidRPr="005F79CF">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w:t>
      </w:r>
      <w:r w:rsidRPr="00567F3F">
        <w:t>the Legislation (Exemptions and Other Matters) Regulation 2015).</w:t>
      </w:r>
      <w:r>
        <w:t xml:space="preserve"> </w:t>
      </w:r>
      <w:r w:rsidRPr="000146D3">
        <w:t>This exemption is important to ensure that</w:t>
      </w:r>
      <w:r w:rsidR="002C66C7">
        <w:t xml:space="preserve"> ADR</w:t>
      </w:r>
      <w:r w:rsidR="0083594E">
        <w:t>s</w:t>
      </w:r>
      <w:r w:rsidR="002C66C7">
        <w:t>, including</w:t>
      </w:r>
      <w:r w:rsidRPr="000146D3">
        <w:t xml:space="preserve"> ADR </w:t>
      </w:r>
      <w:r w:rsidR="008143C7">
        <w:t>102/00</w:t>
      </w:r>
      <w:r w:rsidR="008D5C49">
        <w:t>,</w:t>
      </w:r>
      <w:r w:rsidRPr="000146D3">
        <w:t xml:space="preserve"> continue to remain in force, and available to regulators</w:t>
      </w:r>
      <w:r w:rsidR="0055793D">
        <w:t xml:space="preserve">, </w:t>
      </w:r>
      <w:r w:rsidRPr="000146D3">
        <w:t>industry</w:t>
      </w:r>
      <w:r w:rsidR="0055793D">
        <w:t xml:space="preserve"> and the public</w:t>
      </w:r>
      <w:r w:rsidRPr="000146D3">
        <w:t>.</w:t>
      </w:r>
    </w:p>
    <w:p w14:paraId="399B5E3C" w14:textId="47EB3332" w:rsidR="00975A93" w:rsidRPr="000266F1" w:rsidRDefault="00975A93" w:rsidP="00013A0E">
      <w:pPr>
        <w:pStyle w:val="Subsubsubsection"/>
        <w:numPr>
          <w:ilvl w:val="0"/>
          <w:numId w:val="0"/>
        </w:numPr>
        <w:ind w:left="851" w:hanging="851"/>
        <w:jc w:val="both"/>
        <w:rPr>
          <w:i/>
        </w:rPr>
      </w:pPr>
      <w:r w:rsidRPr="000266F1">
        <w:rPr>
          <w:i/>
        </w:rPr>
        <w:t xml:space="preserve">Intergovernmental </w:t>
      </w:r>
      <w:r w:rsidR="00C62AB6">
        <w:rPr>
          <w:i/>
        </w:rPr>
        <w:t>D</w:t>
      </w:r>
      <w:r w:rsidRPr="000266F1">
        <w:rPr>
          <w:i/>
        </w:rPr>
        <w:t>ependencies</w:t>
      </w:r>
    </w:p>
    <w:p w14:paraId="187AF77F" w14:textId="499D540F" w:rsidR="00975A93" w:rsidRPr="009B704A" w:rsidRDefault="00975A93" w:rsidP="00013A0E">
      <w:pPr>
        <w:jc w:val="both"/>
      </w:pPr>
      <w:r w:rsidRPr="009B704A">
        <w:t xml:space="preserve">The exemption concerns ADRs </w:t>
      </w:r>
      <w:r w:rsidR="0055793D">
        <w:t>that</w:t>
      </w:r>
      <w:r w:rsidRPr="009B704A">
        <w:t xml:space="preserve"> facilitate the establishment and operation of the intergovernmental vehicle standard regime that Commonwealth, </w:t>
      </w:r>
      <w:r w:rsidR="00E702E3">
        <w:t>s</w:t>
      </w:r>
      <w:r w:rsidRPr="009B704A">
        <w:t xml:space="preserve">tate and </w:t>
      </w:r>
      <w:r w:rsidR="00E702E3">
        <w:t>t</w:t>
      </w:r>
      <w:r w:rsidRPr="009B704A">
        <w:t xml:space="preserve">erritory governments rely on to regulate the safety of vehicles on public roads. </w:t>
      </w:r>
    </w:p>
    <w:p w14:paraId="4075727E" w14:textId="33AE90A0" w:rsidR="00975A93" w:rsidRDefault="00975A93" w:rsidP="00013A0E">
      <w:pPr>
        <w:jc w:val="both"/>
      </w:pPr>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w:t>
      </w:r>
      <w:r w:rsidR="00094425">
        <w:t xml:space="preserve"> and the National Heavy Vehicle Regulator</w:t>
      </w:r>
      <w:r w:rsidRPr="009B704A">
        <w:t xml:space="preserve">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w:t>
      </w:r>
      <w:r w:rsidR="00094425">
        <w:t xml:space="preserve"> over</w:t>
      </w:r>
      <w:r w:rsidRPr="009B704A">
        <w:t xml:space="preserve"> 1</w:t>
      </w:r>
      <w:r w:rsidR="00094425">
        <w:t>0</w:t>
      </w:r>
      <w:r w:rsidRPr="009B704A">
        <w:t xml:space="preserve"> years.</w:t>
      </w:r>
    </w:p>
    <w:p w14:paraId="6F499B06" w14:textId="4703E624" w:rsidR="006F52EB" w:rsidRDefault="006F52EB" w:rsidP="00013A0E">
      <w:pPr>
        <w:jc w:val="both"/>
      </w:pPr>
      <w:r>
        <w:t>While the ADRs are regularly updated to reflect changes in technology, it is</w:t>
      </w:r>
      <w:r w:rsidR="008316F0">
        <w:t xml:space="preserve"> generally</w:t>
      </w:r>
      <w:r>
        <w:t xml:space="preserve"> not possible to apply these new standards retrospectively to vehicles that are already in use. With former ADRs kept on the Federal Register of Legislation, </w:t>
      </w:r>
      <w:r w:rsidR="00F75F3C">
        <w:t>s</w:t>
      </w:r>
      <w:r>
        <w:t xml:space="preserve">tate and </w:t>
      </w:r>
      <w:r w:rsidR="00ED637B">
        <w:t>t</w:t>
      </w:r>
      <w:r>
        <w:t>erritory governments can use them to ensure vehicles continue to comply with the ADRs that were in force when they were first supplied to the market.</w:t>
      </w:r>
    </w:p>
    <w:p w14:paraId="75CD2100" w14:textId="65B68473" w:rsidR="006F52EB" w:rsidRPr="009B704A" w:rsidRDefault="006F52EB" w:rsidP="00013A0E">
      <w:pPr>
        <w:jc w:val="both"/>
      </w:pPr>
      <w:r w:rsidRPr="009B704A">
        <w:t xml:space="preserve">In the event that the Commonwealth could not justify the maintenance of the ADRs, </w:t>
      </w:r>
      <w:r w:rsidR="00ED637B">
        <w:t>s</w:t>
      </w:r>
      <w:r w:rsidRPr="009B704A">
        <w:t xml:space="preserve">tate and </w:t>
      </w:r>
      <w:r w:rsidR="00ED637B">
        <w:t>t</w:t>
      </w:r>
      <w:r w:rsidRPr="009B704A">
        <w:t xml:space="preserve">erritory governments would be compelled to create their own vehicle standards. Whilst this could mean adopting the substance of the lapsed ADRs as an </w:t>
      </w:r>
      <w:r w:rsidRPr="009B704A">
        <w:lastRenderedPageBreak/>
        <w:t xml:space="preserve">interim measure, the differing needs and agendas of each </w:t>
      </w:r>
      <w:r w:rsidR="00F959A6">
        <w:t>s</w:t>
      </w:r>
      <w:r w:rsidRPr="009B704A">
        <w:t xml:space="preserve">tate and </w:t>
      </w:r>
      <w:r w:rsidR="00F959A6">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5E06E3FC" w:rsidR="006F52EB" w:rsidRPr="000266F1" w:rsidRDefault="006F52EB" w:rsidP="00013A0E">
      <w:pPr>
        <w:pStyle w:val="Subsubsubsection"/>
        <w:numPr>
          <w:ilvl w:val="0"/>
          <w:numId w:val="0"/>
        </w:numPr>
        <w:ind w:left="851" w:hanging="851"/>
        <w:jc w:val="both"/>
        <w:rPr>
          <w:i/>
        </w:rPr>
      </w:pPr>
      <w:r w:rsidRPr="000266F1">
        <w:rPr>
          <w:i/>
        </w:rPr>
        <w:t xml:space="preserve">Commercial </w:t>
      </w:r>
      <w:r w:rsidR="00C62AB6">
        <w:rPr>
          <w:i/>
        </w:rPr>
        <w:t>D</w:t>
      </w:r>
      <w:r w:rsidRPr="000266F1">
        <w:rPr>
          <w:i/>
        </w:rPr>
        <w:t>ependencies</w:t>
      </w:r>
    </w:p>
    <w:p w14:paraId="365747D5" w14:textId="77777777" w:rsidR="006F52EB" w:rsidRPr="00972D17" w:rsidRDefault="006F52EB" w:rsidP="00013A0E">
      <w:pPr>
        <w:jc w:val="both"/>
      </w:pPr>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w:t>
      </w:r>
      <w:r w:rsidRPr="00972D17">
        <w:t>supplied to the market continue to comply.</w:t>
      </w:r>
    </w:p>
    <w:p w14:paraId="1843B701" w14:textId="77777777" w:rsidR="000A3A24" w:rsidRPr="00972D17" w:rsidRDefault="000A3A24" w:rsidP="00013A0E">
      <w:pPr>
        <w:ind w:left="851" w:hanging="851"/>
        <w:jc w:val="both"/>
        <w:rPr>
          <w:i/>
        </w:rPr>
      </w:pPr>
      <w:r w:rsidRPr="00972D17">
        <w:rPr>
          <w:i/>
        </w:rPr>
        <w:t>Reviews of Australian Design Rules</w:t>
      </w:r>
    </w:p>
    <w:p w14:paraId="171A0D3F" w14:textId="22A565BE" w:rsidR="006F52EB" w:rsidRPr="00972D17" w:rsidRDefault="006F52EB" w:rsidP="00013A0E">
      <w:pPr>
        <w:jc w:val="both"/>
      </w:pPr>
      <w:r w:rsidRPr="00972D1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w:t>
      </w:r>
      <w:r w:rsidR="000A3A24" w:rsidRPr="00972D17">
        <w:t xml:space="preserve"> (UN)</w:t>
      </w:r>
      <w:r w:rsidRPr="00972D17">
        <w:t xml:space="preserve"> regulations. Th</w:t>
      </w:r>
      <w:r w:rsidR="000A3A24" w:rsidRPr="00972D17">
        <w:t xml:space="preserve">is method </w:t>
      </w:r>
      <w:r w:rsidRPr="00972D17">
        <w:t>facilitate</w:t>
      </w:r>
      <w:r w:rsidR="000A3A24" w:rsidRPr="00972D17">
        <w:t>s</w:t>
      </w:r>
      <w:r w:rsidRPr="00972D17">
        <w:t xml:space="preserve"> the rapid introduction of the latest safety devices and technological advances into the Australian market, while also contributing to the industry’s cost competitiveness in the domestic market.</w:t>
      </w:r>
      <w:r w:rsidR="000A3A24" w:rsidRPr="00972D17">
        <w:t xml:space="preserve"> Where a review results in a new or amended ADR, these changes are subject to full parliamentary scrutiny.</w:t>
      </w:r>
    </w:p>
    <w:p w14:paraId="367D042F" w14:textId="66185A3B" w:rsidR="004233CF" w:rsidRPr="00972D17" w:rsidRDefault="004233CF" w:rsidP="00013A0E">
      <w:pPr>
        <w:pStyle w:val="HeadingLevel2"/>
        <w:ind w:left="851"/>
        <w:jc w:val="both"/>
      </w:pPr>
      <w:bookmarkStart w:id="9" w:name="_Toc173503351"/>
      <w:r w:rsidRPr="00972D17">
        <w:t>International Harmonisation</w:t>
      </w:r>
      <w:bookmarkEnd w:id="9"/>
    </w:p>
    <w:p w14:paraId="1A00FBC8" w14:textId="77CCDCE2" w:rsidR="00991BB6" w:rsidRPr="00054B8A" w:rsidRDefault="002214DC" w:rsidP="00013A0E">
      <w:pPr>
        <w:jc w:val="both"/>
        <w:rPr>
          <w:rFonts w:cs="Arial"/>
        </w:rPr>
      </w:pPr>
      <w:r w:rsidRPr="00972D17">
        <w:rPr>
          <w:rFonts w:cs="Arial"/>
        </w:rPr>
        <w:t xml:space="preserve">A majority of </w:t>
      </w:r>
      <w:r w:rsidR="00C50F05" w:rsidRPr="00972D17">
        <w:rPr>
          <w:rFonts w:cs="Arial"/>
        </w:rPr>
        <w:t xml:space="preserve">Australian </w:t>
      </w:r>
      <w:r w:rsidRPr="00972D17">
        <w:rPr>
          <w:rFonts w:cs="Arial"/>
        </w:rPr>
        <w:t xml:space="preserve">road vehicle </w:t>
      </w:r>
      <w:r w:rsidR="00C50F05" w:rsidRPr="00972D17">
        <w:rPr>
          <w:rFonts w:cs="Arial"/>
        </w:rPr>
        <w:t>standards</w:t>
      </w:r>
      <w:r w:rsidR="00D363FD" w:rsidRPr="00972D17">
        <w:rPr>
          <w:rFonts w:cs="Arial"/>
        </w:rPr>
        <w:t>,</w:t>
      </w:r>
      <w:r w:rsidR="006604C5" w:rsidRPr="00972D17">
        <w:rPr>
          <w:rFonts w:cs="Arial"/>
        </w:rPr>
        <w:t xml:space="preserve"> including </w:t>
      </w:r>
      <w:r w:rsidR="00BF4394" w:rsidRPr="00972D17">
        <w:t xml:space="preserve">ADR </w:t>
      </w:r>
      <w:r w:rsidR="00286EAA" w:rsidRPr="00972D17">
        <w:t>102/00</w:t>
      </w:r>
      <w:r w:rsidR="00BF4394" w:rsidRPr="00972D17">
        <w:t xml:space="preserve">, </w:t>
      </w:r>
      <w:r w:rsidR="00D363FD" w:rsidRPr="00972D17">
        <w:t xml:space="preserve">are closely </w:t>
      </w:r>
      <w:r w:rsidR="00C50F05" w:rsidRPr="00972D17">
        <w:rPr>
          <w:rFonts w:cs="Arial"/>
        </w:rPr>
        <w:t>harmonise</w:t>
      </w:r>
      <w:r w:rsidR="00D363FD" w:rsidRPr="00972D17">
        <w:rPr>
          <w:rFonts w:cs="Arial"/>
        </w:rPr>
        <w:t xml:space="preserve">d </w:t>
      </w:r>
      <w:r w:rsidR="00C50F05" w:rsidRPr="00972D17">
        <w:rPr>
          <w:rFonts w:cs="Arial"/>
        </w:rPr>
        <w:t>with international</w:t>
      </w:r>
      <w:r w:rsidR="008A7D00" w:rsidRPr="00972D17">
        <w:rPr>
          <w:rFonts w:cs="Arial"/>
        </w:rPr>
        <w:t>ly based UN</w:t>
      </w:r>
      <w:r w:rsidR="00C50F05" w:rsidRPr="00972D17">
        <w:rPr>
          <w:rFonts w:cs="Arial"/>
        </w:rPr>
        <w:t xml:space="preserve"> regulations</w:t>
      </w:r>
      <w:r w:rsidR="008A7D00" w:rsidRPr="00972D17">
        <w:rPr>
          <w:rFonts w:cs="Arial"/>
        </w:rPr>
        <w:t xml:space="preserve">, which are developed by the UN World Forum for Harmonization of Vehicle Regulations. Harmonisation ensures that vehicles built to </w:t>
      </w:r>
      <w:r w:rsidR="00225520">
        <w:rPr>
          <w:rFonts w:cs="Arial"/>
        </w:rPr>
        <w:t xml:space="preserve">the </w:t>
      </w:r>
      <w:r w:rsidR="008A7D00" w:rsidRPr="00972D17">
        <w:rPr>
          <w:rFonts w:cs="Arial"/>
        </w:rPr>
        <w:t>most recent safety, environmental and anti-theft standards are supplied to the Australian market at the least cost and that Australia has access to the latest vehicle technologies.</w:t>
      </w:r>
      <w:r w:rsidR="000B620B" w:rsidRPr="00972D17">
        <w:rPr>
          <w:rFonts w:cs="Arial"/>
        </w:rPr>
        <w:t xml:space="preserve">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0237CEEE" w14:textId="3B64C22B" w:rsidR="006436BB" w:rsidRPr="0074027D" w:rsidRDefault="006436BB" w:rsidP="00013A0E">
      <w:pPr>
        <w:pStyle w:val="MainHeadding"/>
        <w:jc w:val="both"/>
      </w:pPr>
      <w:r w:rsidRPr="008D244E">
        <w:t>Purpose</w:t>
      </w:r>
      <w:r>
        <w:t xml:space="preserve"> </w:t>
      </w:r>
      <w:r w:rsidRPr="008D244E">
        <w:t>and operation</w:t>
      </w:r>
    </w:p>
    <w:p w14:paraId="58D8DF1D" w14:textId="77777777" w:rsidR="006436BB" w:rsidRPr="005A686D" w:rsidRDefault="006436BB" w:rsidP="00013A0E">
      <w:pPr>
        <w:pStyle w:val="HeadingLevel2"/>
        <w:keepNext/>
        <w:tabs>
          <w:tab w:val="clear" w:pos="3545"/>
          <w:tab w:val="num" w:pos="851"/>
          <w:tab w:val="num" w:pos="993"/>
          <w:tab w:val="num" w:pos="3829"/>
        </w:tabs>
        <w:ind w:left="851"/>
        <w:jc w:val="both"/>
      </w:pPr>
      <w:bookmarkStart w:id="10" w:name="_Toc140826188"/>
      <w:bookmarkStart w:id="11" w:name="_Toc173503352"/>
      <w:r w:rsidRPr="005A686D">
        <w:t>Overview of the Regulatory Framework</w:t>
      </w:r>
      <w:bookmarkEnd w:id="10"/>
      <w:bookmarkEnd w:id="11"/>
    </w:p>
    <w:p w14:paraId="685906CF" w14:textId="77777777" w:rsidR="006436BB" w:rsidRPr="005A686D" w:rsidRDefault="006436BB" w:rsidP="00013A0E">
      <w:pPr>
        <w:pStyle w:val="MainHeadding"/>
        <w:numPr>
          <w:ilvl w:val="0"/>
          <w:numId w:val="0"/>
        </w:numPr>
        <w:jc w:val="both"/>
        <w:rPr>
          <w:rFonts w:cs="Arial"/>
          <w:b w:val="0"/>
          <w:caps w:val="0"/>
        </w:rPr>
      </w:pPr>
      <w:r w:rsidRPr="005A686D">
        <w:rPr>
          <w:rFonts w:cs="Arial"/>
          <w:b w:val="0"/>
          <w:caps w:val="0"/>
        </w:rPr>
        <w:t xml:space="preserve">The RVSA establishes a framework to regulate the importation and first provision of road vehicles to the market in Australia. The core principle of this framework is that vehicles that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w:t>
      </w:r>
      <w:r w:rsidRPr="005A686D">
        <w:rPr>
          <w:rFonts w:cs="Arial"/>
          <w:b w:val="0"/>
          <w:caps w:val="0"/>
        </w:rPr>
        <w:lastRenderedPageBreak/>
        <w:t>determined as national standards. The RVSA commenced in full and replaced the MVSA on 1 July 2021. A two-year transition period was provided between 1 July 2021 and 30 June 2023.</w:t>
      </w:r>
    </w:p>
    <w:p w14:paraId="50C54467" w14:textId="5501548A" w:rsidR="00C50F05" w:rsidRPr="008D244E" w:rsidRDefault="006436BB" w:rsidP="00013A0E">
      <w:pPr>
        <w:pStyle w:val="MainHeadding"/>
        <w:numPr>
          <w:ilvl w:val="0"/>
          <w:numId w:val="0"/>
        </w:numPr>
        <w:jc w:val="both"/>
      </w:pPr>
      <w:r w:rsidRPr="005A686D">
        <w:rPr>
          <w:rFonts w:cs="Arial"/>
          <w:b w:val="0"/>
          <w:caps w:val="0"/>
        </w:rP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1C32CD72" w14:textId="6F7A0DC7" w:rsidR="008D5E07" w:rsidRDefault="00EF2246" w:rsidP="00013A0E">
      <w:pPr>
        <w:pStyle w:val="HeadingLevel2"/>
        <w:ind w:left="851"/>
        <w:jc w:val="both"/>
      </w:pPr>
      <w:bookmarkStart w:id="12" w:name="_Toc173503353"/>
      <w:r>
        <w:t>O</w:t>
      </w:r>
      <w:r w:rsidR="00261476">
        <w:t>verview of the ADR</w:t>
      </w:r>
      <w:bookmarkStart w:id="13" w:name="_Toc149569546"/>
      <w:bookmarkEnd w:id="12"/>
    </w:p>
    <w:p w14:paraId="4CA82C13" w14:textId="5FCE0B57" w:rsidR="008C3291" w:rsidRDefault="005A6716" w:rsidP="00013A0E">
      <w:pPr>
        <w:pStyle w:val="ESNormal"/>
        <w:spacing w:line="240" w:lineRule="auto"/>
        <w:jc w:val="both"/>
        <w:rPr>
          <w:rFonts w:eastAsia="Times New Roman" w:cs="Arial"/>
          <w:szCs w:val="24"/>
          <w:lang w:eastAsia="en-AU"/>
        </w:rPr>
      </w:pPr>
      <w:r>
        <w:t xml:space="preserve">The purpose </w:t>
      </w:r>
      <w:r w:rsidR="00BE7EAA">
        <w:t>of</w:t>
      </w:r>
      <w:r>
        <w:t xml:space="preserve"> </w:t>
      </w:r>
      <w:r w:rsidRPr="005A6716">
        <w:rPr>
          <w:rFonts w:eastAsia="Times New Roman" w:cs="Arial"/>
          <w:szCs w:val="24"/>
          <w:lang w:eastAsia="en-AU"/>
        </w:rPr>
        <w:t>ADR 102/00</w:t>
      </w:r>
      <w:r>
        <w:rPr>
          <w:rFonts w:eastAsia="Times New Roman" w:cs="Arial"/>
          <w:szCs w:val="24"/>
          <w:lang w:eastAsia="en-AU"/>
        </w:rPr>
        <w:t xml:space="preserve"> is to specify the</w:t>
      </w:r>
      <w:r w:rsidR="00BE7EAA">
        <w:rPr>
          <w:rFonts w:eastAsia="Times New Roman" w:cs="Arial"/>
          <w:szCs w:val="24"/>
          <w:lang w:eastAsia="en-AU"/>
        </w:rPr>
        <w:t xml:space="preserve"> photometric and </w:t>
      </w:r>
      <w:r w:rsidR="00DF2F5E">
        <w:rPr>
          <w:rFonts w:eastAsia="Times New Roman" w:cs="Arial"/>
          <w:szCs w:val="24"/>
          <w:lang w:eastAsia="en-AU"/>
        </w:rPr>
        <w:t>geometric visibility</w:t>
      </w:r>
      <w:r>
        <w:rPr>
          <w:rFonts w:eastAsia="Times New Roman" w:cs="Arial"/>
          <w:szCs w:val="24"/>
          <w:lang w:eastAsia="en-AU"/>
        </w:rPr>
        <w:t xml:space="preserve"> requirements for</w:t>
      </w:r>
      <w:r w:rsidR="008C3291">
        <w:rPr>
          <w:rFonts w:eastAsia="Times New Roman" w:cs="Arial"/>
          <w:szCs w:val="24"/>
          <w:lang w:eastAsia="en-AU"/>
        </w:rPr>
        <w:t xml:space="preserve"> </w:t>
      </w:r>
      <w:r w:rsidR="008C3291" w:rsidRPr="008C3291">
        <w:rPr>
          <w:rFonts w:eastAsia="Times New Roman" w:cs="Arial"/>
          <w:szCs w:val="24"/>
          <w:lang w:eastAsia="en-AU"/>
        </w:rPr>
        <w:t>light</w:t>
      </w:r>
      <w:r w:rsidR="00FA2C91">
        <w:rPr>
          <w:rFonts w:eastAsia="Times New Roman" w:cs="Arial"/>
          <w:szCs w:val="24"/>
          <w:lang w:eastAsia="en-AU"/>
        </w:rPr>
        <w:t xml:space="preserve"> </w:t>
      </w:r>
      <w:r w:rsidR="008C3291" w:rsidRPr="008C3291">
        <w:rPr>
          <w:rFonts w:eastAsia="Times New Roman" w:cs="Arial"/>
          <w:szCs w:val="24"/>
          <w:lang w:eastAsia="en-AU"/>
        </w:rPr>
        <w:t>signalling devices (lamps)</w:t>
      </w:r>
      <w:r w:rsidR="008C3291">
        <w:rPr>
          <w:rFonts w:eastAsia="Times New Roman" w:cs="Arial"/>
          <w:szCs w:val="24"/>
          <w:lang w:eastAsia="en-AU"/>
        </w:rPr>
        <w:t xml:space="preserve"> for </w:t>
      </w:r>
      <w:r w:rsidR="008C3291" w:rsidRPr="005643E4">
        <w:t>new passenger vehicles (ADR vehicle categories MA, MB, and MC), new omnibuses (ADR vehicle categories MD and ME)</w:t>
      </w:r>
      <w:r w:rsidR="008C3291">
        <w:t xml:space="preserve">, </w:t>
      </w:r>
      <w:r w:rsidR="008C3291" w:rsidRPr="005643E4">
        <w:t>new goods vehicles (ADR vehicle categories NA, NB and NC),</w:t>
      </w:r>
      <w:r w:rsidR="008C3291">
        <w:t xml:space="preserve"> new trailers (ADR category TA</w:t>
      </w:r>
      <w:r w:rsidR="005B4922">
        <w:t>,</w:t>
      </w:r>
      <w:r w:rsidR="008C3291">
        <w:t xml:space="preserve"> TB</w:t>
      </w:r>
      <w:r w:rsidR="005B4922">
        <w:t>.</w:t>
      </w:r>
      <w:r w:rsidR="008C3291">
        <w:t xml:space="preserve"> TC</w:t>
      </w:r>
      <w:r w:rsidR="005B4922">
        <w:t xml:space="preserve"> and</w:t>
      </w:r>
      <w:r w:rsidR="008C3291">
        <w:t xml:space="preserve"> TD) and </w:t>
      </w:r>
      <w:r w:rsidR="005B4922">
        <w:t>new mopeds and motor cycles (ADR categories LA, LB, LC, LD and LE)</w:t>
      </w:r>
      <w:r w:rsidR="008C3291" w:rsidRPr="005643E4">
        <w:t xml:space="preserve"> to </w:t>
      </w:r>
      <w:r w:rsidR="008C3291" w:rsidRPr="008C3291">
        <w:rPr>
          <w:rFonts w:eastAsia="Times New Roman" w:cs="Arial"/>
          <w:szCs w:val="24"/>
          <w:lang w:eastAsia="en-AU"/>
        </w:rPr>
        <w:t>enhance visibility enabling drivers and other road users to be able to see each other and understand their respective intentions and directions of travel, such as indicating the direction of intended travel.</w:t>
      </w:r>
    </w:p>
    <w:bookmarkEnd w:id="13"/>
    <w:p w14:paraId="6A906B26" w14:textId="77777777" w:rsidR="0085584F" w:rsidRDefault="00711456" w:rsidP="00013A0E">
      <w:pPr>
        <w:pStyle w:val="ESNormal"/>
        <w:spacing w:line="240" w:lineRule="auto"/>
        <w:jc w:val="both"/>
      </w:pPr>
      <w:r w:rsidRPr="00711456">
        <w:t xml:space="preserve">Lighting and light signalling devices are fundamental vehicle safety features. Lights play a critical role in improving visibility for drivers, especially at night or in adverse weather conditions, and help other road users identify vehicles and understand their intentions. Lighting and signalling devices, such as headlamps, turn signals, and reflectors, enable drivers to navigate safely, particularly in low-light conditions, and help reduce accidents by enhancing </w:t>
      </w:r>
      <w:proofErr w:type="spellStart"/>
      <w:r w:rsidRPr="00711456">
        <w:t>conspicuity</w:t>
      </w:r>
      <w:proofErr w:type="spellEnd"/>
      <w:r w:rsidRPr="00711456">
        <w:t xml:space="preserve"> and communication between road users.</w:t>
      </w:r>
    </w:p>
    <w:p w14:paraId="74BAFF98" w14:textId="19D63E81" w:rsidR="0041756A" w:rsidRDefault="004B079A" w:rsidP="00013A0E">
      <w:pPr>
        <w:pStyle w:val="ESNormal"/>
        <w:spacing w:line="240" w:lineRule="auto"/>
        <w:jc w:val="both"/>
      </w:pPr>
      <w:r w:rsidRPr="001A4802">
        <w:rPr>
          <w:rFonts w:eastAsia="Times New Roman" w:cs="Arial"/>
          <w:szCs w:val="24"/>
          <w:lang w:eastAsia="en-AU"/>
        </w:rPr>
        <w:t xml:space="preserve">A major review of all lighting regulations by a </w:t>
      </w:r>
      <w:r w:rsidR="00FC73D6" w:rsidRPr="001A4802">
        <w:rPr>
          <w:rFonts w:eastAsia="Times New Roman" w:cs="Arial"/>
          <w:szCs w:val="24"/>
          <w:lang w:eastAsia="en-AU"/>
        </w:rPr>
        <w:t>UN expert group for</w:t>
      </w:r>
      <w:r w:rsidRPr="001A4802">
        <w:rPr>
          <w:rFonts w:eastAsia="Times New Roman" w:cs="Arial"/>
          <w:szCs w:val="24"/>
          <w:lang w:eastAsia="en-AU"/>
        </w:rPr>
        <w:t xml:space="preserve"> lighting has resulted in the </w:t>
      </w:r>
      <w:r w:rsidR="0041756A" w:rsidRPr="001A4802">
        <w:rPr>
          <w:rFonts w:eastAsia="Times New Roman" w:cs="Arial"/>
          <w:szCs w:val="24"/>
          <w:lang w:eastAsia="en-AU"/>
        </w:rPr>
        <w:t>restructure</w:t>
      </w:r>
      <w:r w:rsidRPr="001A4802">
        <w:rPr>
          <w:rFonts w:eastAsia="Times New Roman" w:cs="Arial"/>
          <w:szCs w:val="24"/>
          <w:lang w:eastAsia="en-AU"/>
        </w:rPr>
        <w:t xml:space="preserve"> of</w:t>
      </w:r>
      <w:r w:rsidR="0041756A" w:rsidRPr="001A4802">
        <w:rPr>
          <w:rFonts w:eastAsia="Times New Roman" w:cs="Arial"/>
          <w:szCs w:val="24"/>
          <w:lang w:eastAsia="en-AU"/>
        </w:rPr>
        <w:t xml:space="preserve"> </w:t>
      </w:r>
      <w:r w:rsidR="00FC73D6" w:rsidRPr="001A4802">
        <w:rPr>
          <w:rFonts w:eastAsia="Times New Roman" w:cs="Arial"/>
          <w:szCs w:val="24"/>
          <w:lang w:eastAsia="en-AU"/>
        </w:rPr>
        <w:t>the requirements for each</w:t>
      </w:r>
      <w:r w:rsidR="0041756A" w:rsidRPr="001A4802">
        <w:rPr>
          <w:rFonts w:eastAsia="Times New Roman" w:cs="Arial"/>
          <w:szCs w:val="24"/>
          <w:lang w:eastAsia="en-AU"/>
        </w:rPr>
        <w:t xml:space="preserve"> lighting</w:t>
      </w:r>
      <w:r w:rsidR="00FC73D6" w:rsidRPr="001A4802">
        <w:rPr>
          <w:rFonts w:eastAsia="Times New Roman" w:cs="Arial"/>
          <w:szCs w:val="24"/>
          <w:lang w:eastAsia="en-AU"/>
        </w:rPr>
        <w:t xml:space="preserve"> device, i.e. lamp, light or reflector</w:t>
      </w:r>
      <w:r w:rsidR="002021FA">
        <w:rPr>
          <w:rFonts w:eastAsia="Times New Roman" w:cs="Arial"/>
          <w:szCs w:val="24"/>
          <w:lang w:eastAsia="en-AU"/>
        </w:rPr>
        <w:t>,</w:t>
      </w:r>
      <w:r w:rsidR="00FC73D6" w:rsidRPr="0041756A">
        <w:t xml:space="preserve"> to a more modern simplified approach based on three road safety functions, i.e. Road Illumination Devices (RID), Light Signalling Devices (LSD) or Retro Reflective Devices (RRD). This review has reduced the number of UN regulations for vehicle lighting from 20 to three.</w:t>
      </w:r>
      <w:r w:rsidR="002619C5" w:rsidRPr="002619C5">
        <w:t xml:space="preserve"> The simplified UN regulations maintain the same level of stringency as the lighting regulations they replace.</w:t>
      </w:r>
    </w:p>
    <w:p w14:paraId="2478E06F" w14:textId="211C79E6" w:rsidR="00CB2D72" w:rsidRDefault="00044000" w:rsidP="00140F8F">
      <w:pPr>
        <w:pStyle w:val="ESNormal"/>
        <w:spacing w:line="240" w:lineRule="auto"/>
        <w:jc w:val="both"/>
      </w:pPr>
      <w:bookmarkStart w:id="14" w:name="_Toc149569548"/>
      <w:bookmarkStart w:id="15" w:name="_Toc167864614"/>
      <w:r>
        <w:t xml:space="preserve">ADR </w:t>
      </w:r>
      <w:r w:rsidR="00286EAA">
        <w:t>102/00</w:t>
      </w:r>
      <w:bookmarkEnd w:id="14"/>
      <w:r w:rsidR="00BE7EAA">
        <w:t xml:space="preserve"> </w:t>
      </w:r>
      <w:r w:rsidR="00CB2D72" w:rsidRPr="001C02AF">
        <w:t xml:space="preserve">combines </w:t>
      </w:r>
      <w:r w:rsidR="00D05081" w:rsidRPr="001C02AF">
        <w:t>the technical provisions of individual ADRs</w:t>
      </w:r>
      <w:r w:rsidR="001C02AF">
        <w:t xml:space="preserve"> (UN R</w:t>
      </w:r>
      <w:r w:rsidR="00CD716B">
        <w:t xml:space="preserve"> No</w:t>
      </w:r>
      <w:r w:rsidR="001C02AF">
        <w:t>), 1 (23)</w:t>
      </w:r>
      <w:r w:rsidR="00D304C3">
        <w:t xml:space="preserve"> –  </w:t>
      </w:r>
      <w:r w:rsidR="0011440D">
        <w:t>Reversing Lamps</w:t>
      </w:r>
      <w:r w:rsidR="001C02AF">
        <w:t>, 6 (6)</w:t>
      </w:r>
      <w:r w:rsidR="00D304C3">
        <w:t xml:space="preserve"> – Direction Indicators</w:t>
      </w:r>
      <w:r w:rsidR="001C02AF">
        <w:t xml:space="preserve">, </w:t>
      </w:r>
      <w:r w:rsidR="00D304C3">
        <w:t xml:space="preserve">48 (4) </w:t>
      </w:r>
      <w:r w:rsidR="00CA2736">
        <w:t>–</w:t>
      </w:r>
      <w:r w:rsidR="00D304C3">
        <w:t xml:space="preserve"> </w:t>
      </w:r>
      <w:r w:rsidR="00CA2736">
        <w:t xml:space="preserve">Devices for Illumination of Rear Registration Plates, </w:t>
      </w:r>
      <w:r w:rsidR="007A59D1">
        <w:t>49</w:t>
      </w:r>
      <w:r w:rsidR="001C02AF">
        <w:t xml:space="preserve"> (</w:t>
      </w:r>
      <w:r w:rsidR="007A59D1">
        <w:t>7</w:t>
      </w:r>
      <w:r w:rsidR="001C02AF">
        <w:t>)</w:t>
      </w:r>
      <w:r w:rsidR="00CA2736">
        <w:t xml:space="preserve"> – Front and Rear Position (Side) Lamps, Stop Lamps and End-outline Marker Lamps</w:t>
      </w:r>
      <w:r w:rsidR="001C02AF">
        <w:t xml:space="preserve">, </w:t>
      </w:r>
      <w:r w:rsidR="00CA2736">
        <w:t>52</w:t>
      </w:r>
      <w:r w:rsidR="001C02AF">
        <w:t xml:space="preserve"> (</w:t>
      </w:r>
      <w:r w:rsidR="00CA2736">
        <w:t>38</w:t>
      </w:r>
      <w:r w:rsidR="001C02AF">
        <w:t>)</w:t>
      </w:r>
      <w:r w:rsidR="00CA2736">
        <w:t xml:space="preserve"> – Rear Fog Lamps</w:t>
      </w:r>
      <w:r w:rsidR="001C02AF">
        <w:t xml:space="preserve">, </w:t>
      </w:r>
      <w:bookmarkStart w:id="16" w:name="_Hlk169873246"/>
      <w:r w:rsidR="001C02AF">
        <w:t>5</w:t>
      </w:r>
      <w:r w:rsidR="00CA2736">
        <w:t>3</w:t>
      </w:r>
      <w:r w:rsidR="001C02AF">
        <w:t xml:space="preserve"> (5</w:t>
      </w:r>
      <w:r w:rsidR="00CA2736">
        <w:t>0</w:t>
      </w:r>
      <w:r w:rsidR="001C02AF">
        <w:t>)</w:t>
      </w:r>
      <w:r w:rsidR="00CA2736">
        <w:t xml:space="preserve"> – Front and Rear Position Lamps, Stop Lamps, Direction Indicator &amp; Rear Registration Plates Lamps </w:t>
      </w:r>
      <w:bookmarkEnd w:id="16"/>
      <w:r w:rsidR="00CA2736">
        <w:t>for L-Group Vehicles</w:t>
      </w:r>
      <w:r w:rsidR="001C02AF">
        <w:t xml:space="preserve">, </w:t>
      </w:r>
      <w:r w:rsidR="00F56136">
        <w:t xml:space="preserve">74 (91) – Side Marker Lamps, </w:t>
      </w:r>
      <w:r w:rsidR="00CA2736">
        <w:t>76 (87) – Daytime Running Lamps</w:t>
      </w:r>
      <w:r w:rsidR="00F56136">
        <w:t xml:space="preserve"> and</w:t>
      </w:r>
      <w:r w:rsidR="00CA2736">
        <w:t xml:space="preserve"> </w:t>
      </w:r>
      <w:r w:rsidR="00233E80">
        <w:t>86</w:t>
      </w:r>
      <w:r w:rsidR="001C02AF">
        <w:t xml:space="preserve"> (</w:t>
      </w:r>
      <w:r w:rsidR="00840C7D">
        <w:t>77</w:t>
      </w:r>
      <w:r w:rsidR="001C02AF">
        <w:t>)</w:t>
      </w:r>
      <w:r w:rsidR="00CA2736">
        <w:t xml:space="preserve"> – Parking Lamps</w:t>
      </w:r>
      <w:r w:rsidR="00E51C8C">
        <w:t>.</w:t>
      </w:r>
      <w:r w:rsidR="00566E7E">
        <w:t xml:space="preserve"> </w:t>
      </w:r>
    </w:p>
    <w:p w14:paraId="692F0825" w14:textId="0F57D739" w:rsidR="000F3E8E" w:rsidRDefault="00AC73C0" w:rsidP="00140F8F">
      <w:pPr>
        <w:pStyle w:val="ESNormal"/>
        <w:spacing w:line="240" w:lineRule="auto"/>
        <w:jc w:val="both"/>
      </w:pPr>
      <w:r w:rsidRPr="00AC73C0">
        <w:t xml:space="preserve">The number and mode of operation of </w:t>
      </w:r>
      <w:r w:rsidR="007B7A64">
        <w:t>LSDs</w:t>
      </w:r>
      <w:r w:rsidRPr="00AC73C0">
        <w:t xml:space="preserve"> is governed by either </w:t>
      </w:r>
      <w:r w:rsidR="006E52DB" w:rsidRPr="006E52DB">
        <w:t>ADR 13</w:t>
      </w:r>
      <w:r w:rsidR="00E80F5E">
        <w:t>/0</w:t>
      </w:r>
      <w:r w:rsidR="00930BA6">
        <w:t>0</w:t>
      </w:r>
      <w:r w:rsidR="006E52DB" w:rsidRPr="00140F8F">
        <w:t xml:space="preserve"> Installation of Lighting and Light-signalling Devices on other than L-Group Vehicles</w:t>
      </w:r>
      <w:r w:rsidR="00930BA6">
        <w:t xml:space="preserve">, </w:t>
      </w:r>
      <w:r w:rsidR="006E52DB" w:rsidRPr="00140F8F">
        <w:t>ADR 19</w:t>
      </w:r>
      <w:r w:rsidR="00E80F5E" w:rsidRPr="00140F8F">
        <w:t>/03</w:t>
      </w:r>
      <w:r w:rsidR="006E52DB" w:rsidRPr="00140F8F">
        <w:t xml:space="preserve"> Installation of Lighting &amp; Light-signalling Devices on L-Group Vehicles</w:t>
      </w:r>
      <w:r w:rsidR="00930BA6" w:rsidRPr="00140F8F">
        <w:t xml:space="preserve"> or ADR 67/00 Installation of Lighting and Light-Signalling Devices on Three-Wheeled Vehicles. These ADRs</w:t>
      </w:r>
      <w:r w:rsidR="006E52DB" w:rsidRPr="00140F8F">
        <w:t xml:space="preserve"> </w:t>
      </w:r>
      <w:r w:rsidR="006E52DB">
        <w:t xml:space="preserve">describe the number, colour, position and operation of light signalling devices </w:t>
      </w:r>
      <w:r w:rsidR="00F913E3" w:rsidRPr="00F913E3">
        <w:t>with respect to vehicle categories.</w:t>
      </w:r>
    </w:p>
    <w:p w14:paraId="6916B0F1" w14:textId="77777777" w:rsidR="00ED183F" w:rsidRPr="00140F8F" w:rsidRDefault="00ED183F" w:rsidP="00140F8F">
      <w:pPr>
        <w:pStyle w:val="ESNormal"/>
        <w:jc w:val="both"/>
        <w:rPr>
          <w:b/>
        </w:rPr>
      </w:pPr>
      <w:r w:rsidRPr="00140F8F">
        <w:rPr>
          <w:b/>
        </w:rPr>
        <w:lastRenderedPageBreak/>
        <w:t xml:space="preserve">Reversing Lamps </w:t>
      </w:r>
    </w:p>
    <w:p w14:paraId="23FC4818" w14:textId="34E1323F" w:rsidR="00B0774C" w:rsidRDefault="00BD670D" w:rsidP="00140F8F">
      <w:pPr>
        <w:pStyle w:val="ESNormal"/>
        <w:spacing w:line="240" w:lineRule="auto"/>
        <w:jc w:val="both"/>
      </w:pPr>
      <w:r>
        <w:t>These</w:t>
      </w:r>
      <w:r w:rsidR="00B0774C" w:rsidRPr="00B0774C">
        <w:t xml:space="preserve"> lamps must emit white light to illuminate the road to the rear of a vehicle and warn other road users that the vehicle is reversing or about to reverse. </w:t>
      </w:r>
    </w:p>
    <w:p w14:paraId="57BC460B" w14:textId="05BFA3D1" w:rsidR="00ED183F" w:rsidRDefault="00ED183F" w:rsidP="00ED183F">
      <w:pPr>
        <w:pStyle w:val="ESNormal"/>
        <w:jc w:val="both"/>
      </w:pPr>
      <w:r w:rsidRPr="00ED183F">
        <w:rPr>
          <w:b/>
        </w:rPr>
        <w:t>Manoeuvring Lamps</w:t>
      </w:r>
      <w:r>
        <w:t xml:space="preserve"> </w:t>
      </w:r>
    </w:p>
    <w:p w14:paraId="08D982FF" w14:textId="5914F78F" w:rsidR="00ED183F" w:rsidRDefault="00ED183F" w:rsidP="00ED183F">
      <w:pPr>
        <w:pStyle w:val="ESNormal"/>
        <w:jc w:val="both"/>
      </w:pPr>
      <w:r>
        <w:t>These lamps</w:t>
      </w:r>
      <w:r w:rsidR="00A20683">
        <w:t xml:space="preserve"> </w:t>
      </w:r>
      <w:r w:rsidR="00A20683" w:rsidRPr="00796CAF">
        <w:t>must emit a white light and</w:t>
      </w:r>
      <w:r w:rsidRPr="00796CAF">
        <w:t xml:space="preserve"> are used to provide </w:t>
      </w:r>
      <w:r w:rsidR="00A20683" w:rsidRPr="00796CAF">
        <w:t>additional</w:t>
      </w:r>
      <w:r w:rsidRPr="00796CAF">
        <w:t xml:space="preserve"> illumination to the side of the vehicle</w:t>
      </w:r>
      <w:r w:rsidR="00933233" w:rsidRPr="00796CAF">
        <w:t xml:space="preserve"> to assist the driver</w:t>
      </w:r>
      <w:r w:rsidR="001920EB" w:rsidRPr="00796CAF">
        <w:t xml:space="preserve"> d</w:t>
      </w:r>
      <w:r w:rsidRPr="00796CAF">
        <w:t>uring</w:t>
      </w:r>
      <w:r>
        <w:t xml:space="preserve"> slow manoeuvres.</w:t>
      </w:r>
    </w:p>
    <w:p w14:paraId="75512EB7" w14:textId="77777777" w:rsidR="00ED183F" w:rsidRDefault="00ED183F" w:rsidP="00ED183F">
      <w:pPr>
        <w:pStyle w:val="ESNormal"/>
        <w:jc w:val="both"/>
      </w:pPr>
      <w:r w:rsidRPr="00ED183F">
        <w:rPr>
          <w:b/>
        </w:rPr>
        <w:t>Direction Indicator Lamps</w:t>
      </w:r>
      <w:r>
        <w:t xml:space="preserve"> </w:t>
      </w:r>
    </w:p>
    <w:p w14:paraId="6857C509" w14:textId="77777777" w:rsidR="00BD670D" w:rsidRDefault="00BD670D" w:rsidP="00140F8F">
      <w:pPr>
        <w:pStyle w:val="ESNormal"/>
        <w:spacing w:line="240" w:lineRule="auto"/>
        <w:jc w:val="both"/>
      </w:pPr>
      <w:r w:rsidRPr="00BD670D">
        <w:t xml:space="preserve">Direction indicators must emit amber light and flash to indicate to other drivers and road users that the driver intends to change direction. </w:t>
      </w:r>
    </w:p>
    <w:p w14:paraId="0F66D3B5" w14:textId="7FC94B39" w:rsidR="00ED183F" w:rsidRDefault="00ED183F" w:rsidP="00ED183F">
      <w:pPr>
        <w:pStyle w:val="ESNormal"/>
        <w:jc w:val="both"/>
      </w:pPr>
      <w:r w:rsidRPr="00ED183F">
        <w:rPr>
          <w:b/>
        </w:rPr>
        <w:t>Rear-Registration Plate Illuminating Lamps</w:t>
      </w:r>
      <w:r>
        <w:t xml:space="preserve"> </w:t>
      </w:r>
    </w:p>
    <w:p w14:paraId="0412BE71" w14:textId="1871A2A9" w:rsidR="00BD670D" w:rsidRPr="00BD670D" w:rsidRDefault="00BD670D" w:rsidP="00140F8F">
      <w:pPr>
        <w:pStyle w:val="ESNormal"/>
        <w:spacing w:line="240" w:lineRule="auto"/>
        <w:jc w:val="both"/>
      </w:pPr>
      <w:r w:rsidRPr="00BD670D">
        <w:t xml:space="preserve">These </w:t>
      </w:r>
      <w:r>
        <w:t>lamps</w:t>
      </w:r>
      <w:r w:rsidRPr="00BD670D">
        <w:t xml:space="preserve"> are used to illuminate the space reserved for rear registration plates so they can be visible at night and in poor weather conditions. The colour of the light emitted must be white with no light from these lamps permitted to be directed rearwards. </w:t>
      </w:r>
    </w:p>
    <w:p w14:paraId="3E55CAB6" w14:textId="77777777" w:rsidR="00ED183F" w:rsidRDefault="00ED183F" w:rsidP="00ED183F">
      <w:pPr>
        <w:pStyle w:val="ESNormal"/>
        <w:jc w:val="both"/>
      </w:pPr>
      <w:r w:rsidRPr="00ED183F">
        <w:rPr>
          <w:b/>
        </w:rPr>
        <w:t>Front and Rear Position (Side) Lamps</w:t>
      </w:r>
      <w:r>
        <w:t xml:space="preserve"> </w:t>
      </w:r>
    </w:p>
    <w:p w14:paraId="42782D0E" w14:textId="41AEC421" w:rsidR="00BD670D" w:rsidRDefault="00BD670D" w:rsidP="00C80D08">
      <w:pPr>
        <w:pStyle w:val="ESNormal"/>
        <w:spacing w:line="240" w:lineRule="auto"/>
        <w:jc w:val="both"/>
      </w:pPr>
      <w:r w:rsidRPr="00BD670D">
        <w:t xml:space="preserve">Front and rear position lamps are used to indicate the presence </w:t>
      </w:r>
      <w:r w:rsidR="00494684">
        <w:t xml:space="preserve">and width </w:t>
      </w:r>
      <w:r w:rsidRPr="00BD670D">
        <w:t xml:space="preserve">of a vehicle when viewed from the front and the rear. </w:t>
      </w:r>
      <w:r w:rsidR="009E39E0" w:rsidRPr="009E39E0">
        <w:rPr>
          <w:lang w:val="en-GB"/>
        </w:rPr>
        <w:t>The colour of the light emitted must be white for a front position lamp unless it is combined with a side marker lamp, in which case it may be amber</w:t>
      </w:r>
      <w:r w:rsidR="009E39E0">
        <w:rPr>
          <w:lang w:val="en-GB"/>
        </w:rPr>
        <w:t>. The colour of a rear position lamp shall be red.</w:t>
      </w:r>
    </w:p>
    <w:p w14:paraId="7E34019A" w14:textId="314BC2AD" w:rsidR="00ED183F" w:rsidRDefault="00ED183F" w:rsidP="00ED183F">
      <w:pPr>
        <w:pStyle w:val="ESNormal"/>
        <w:jc w:val="both"/>
      </w:pPr>
      <w:r w:rsidRPr="00ED183F">
        <w:rPr>
          <w:b/>
        </w:rPr>
        <w:t>Stop Lamps</w:t>
      </w:r>
      <w:r>
        <w:t xml:space="preserve"> </w:t>
      </w:r>
    </w:p>
    <w:p w14:paraId="44E2C4C2" w14:textId="38A955D5" w:rsidR="00ED183F" w:rsidRDefault="00ED183F" w:rsidP="00C80D08">
      <w:pPr>
        <w:pStyle w:val="ESNormal"/>
        <w:spacing w:line="240" w:lineRule="auto"/>
        <w:jc w:val="both"/>
      </w:pPr>
      <w:r>
        <w:t>These lamps are used to indicate to other road users at the rear of the vehicle that the driver is applying the service brake.</w:t>
      </w:r>
      <w:r w:rsidR="00FB4FAE">
        <w:t xml:space="preserve"> </w:t>
      </w:r>
      <w:r w:rsidR="00FB4FAE" w:rsidRPr="00FB4FAE">
        <w:t>The colour of light emitted by these lamps shall be red.</w:t>
      </w:r>
    </w:p>
    <w:p w14:paraId="0702F1B4" w14:textId="77777777" w:rsidR="00ED183F" w:rsidRDefault="00ED183F" w:rsidP="00ED183F">
      <w:pPr>
        <w:pStyle w:val="ESNormal"/>
        <w:jc w:val="both"/>
      </w:pPr>
      <w:r w:rsidRPr="00ED183F">
        <w:rPr>
          <w:b/>
        </w:rPr>
        <w:t>End-Outline Marker Lamps</w:t>
      </w:r>
      <w:r>
        <w:t xml:space="preserve"> </w:t>
      </w:r>
    </w:p>
    <w:p w14:paraId="3A4F33A1" w14:textId="77777777" w:rsidR="009E39E0" w:rsidRPr="009E39E0" w:rsidRDefault="009E39E0" w:rsidP="00C80D08">
      <w:pPr>
        <w:pStyle w:val="ESNormal"/>
        <w:spacing w:line="240" w:lineRule="auto"/>
        <w:jc w:val="both"/>
        <w:rPr>
          <w:lang w:val="en-GB"/>
        </w:rPr>
      </w:pPr>
      <w:r w:rsidRPr="009E39E0">
        <w:t>End-outline markers compliment vehicle position (side) lamps and are fitted to the outer edges and as close as possible to the top of a vehicle to help clearly identify the width of particular types of vehicles.</w:t>
      </w:r>
      <w:r>
        <w:t xml:space="preserve"> </w:t>
      </w:r>
      <w:r w:rsidRPr="009E39E0">
        <w:t>The end-outline marker lamps visible from the front must emit a white light, and those visible from the rear must emit a red light.</w:t>
      </w:r>
    </w:p>
    <w:p w14:paraId="35F44CE0" w14:textId="35559F99" w:rsidR="00ED183F" w:rsidRPr="00E22DDA" w:rsidRDefault="00ED183F" w:rsidP="00ED183F">
      <w:pPr>
        <w:pStyle w:val="ESNormal"/>
        <w:jc w:val="both"/>
        <w:rPr>
          <w:b/>
        </w:rPr>
      </w:pPr>
      <w:r w:rsidRPr="00E22DDA">
        <w:rPr>
          <w:b/>
        </w:rPr>
        <w:t xml:space="preserve">Rear Fog Lamps </w:t>
      </w:r>
    </w:p>
    <w:p w14:paraId="64BEC0D3" w14:textId="77777777" w:rsidR="00E22DDA" w:rsidRPr="00E22DDA" w:rsidRDefault="00E22DDA" w:rsidP="00C80D08">
      <w:pPr>
        <w:pStyle w:val="ESNormal"/>
        <w:spacing w:line="240" w:lineRule="auto"/>
        <w:jc w:val="both"/>
      </w:pPr>
      <w:r w:rsidRPr="00E22DDA">
        <w:t xml:space="preserve">These devices are used to make the vehicle more easily visible from the rear in reduced visibility conditions. Rear fog lamps must emit red light. </w:t>
      </w:r>
    </w:p>
    <w:p w14:paraId="5FA67D1D" w14:textId="77777777" w:rsidR="00ED183F" w:rsidRDefault="00ED183F" w:rsidP="00ED183F">
      <w:pPr>
        <w:pStyle w:val="ESNormal"/>
        <w:jc w:val="both"/>
      </w:pPr>
      <w:r w:rsidRPr="00ED183F">
        <w:rPr>
          <w:b/>
        </w:rPr>
        <w:t>Side Marker Lamps</w:t>
      </w:r>
      <w:r>
        <w:t xml:space="preserve"> </w:t>
      </w:r>
    </w:p>
    <w:p w14:paraId="07B78BBF" w14:textId="54E3974D" w:rsidR="00E22DDA" w:rsidRPr="00E22DDA" w:rsidRDefault="00E22DDA" w:rsidP="00C80D08">
      <w:pPr>
        <w:pStyle w:val="ESNormal"/>
        <w:spacing w:line="240" w:lineRule="auto"/>
        <w:jc w:val="both"/>
      </w:pPr>
      <w:r w:rsidRPr="00E22DDA">
        <w:t>These devices are used to improve visibility of vehicles at night and in poor weather conditions by indicating the presence and length of a vehicle viewed from the side. Side marker lamps emit amber light</w:t>
      </w:r>
      <w:r w:rsidR="00C80D08">
        <w:t>. H</w:t>
      </w:r>
      <w:r w:rsidRPr="00E22DDA">
        <w:t>owever</w:t>
      </w:r>
      <w:r w:rsidR="00C80D08">
        <w:t>,</w:t>
      </w:r>
      <w:r w:rsidRPr="00E22DDA">
        <w:t xml:space="preserve"> they can emit red light if the rearmost side-marker lamp is grouped or combined with the rear position lamp, the rear end-outline marker lamp, the rear fog lamp, the stop lamp, or is grouped with or has part of the light emitting surface in common with the rear retro-reflector. </w:t>
      </w:r>
    </w:p>
    <w:p w14:paraId="69523D74" w14:textId="77777777" w:rsidR="005702B3" w:rsidRDefault="00ED183F" w:rsidP="00ED183F">
      <w:pPr>
        <w:pStyle w:val="ESNormal"/>
        <w:jc w:val="both"/>
      </w:pPr>
      <w:r w:rsidRPr="005702B3">
        <w:rPr>
          <w:b/>
        </w:rPr>
        <w:t xml:space="preserve">Daytime Running </w:t>
      </w:r>
      <w:r w:rsidR="005702B3" w:rsidRPr="005702B3">
        <w:rPr>
          <w:b/>
        </w:rPr>
        <w:t>L</w:t>
      </w:r>
      <w:r w:rsidRPr="005702B3">
        <w:rPr>
          <w:b/>
        </w:rPr>
        <w:t>amps</w:t>
      </w:r>
      <w:r>
        <w:t xml:space="preserve"> </w:t>
      </w:r>
    </w:p>
    <w:p w14:paraId="6B331215" w14:textId="7F60A193" w:rsidR="006D5A54" w:rsidRDefault="00E22DDA" w:rsidP="00695FCB">
      <w:pPr>
        <w:pStyle w:val="ESNormal"/>
        <w:spacing w:line="240" w:lineRule="auto"/>
        <w:jc w:val="both"/>
        <w:rPr>
          <w:b/>
        </w:rPr>
      </w:pPr>
      <w:r w:rsidRPr="00E22DDA">
        <w:lastRenderedPageBreak/>
        <w:t xml:space="preserve">These devices are used to make vehicles more visible when driving during daytime and must emit white light.  </w:t>
      </w:r>
    </w:p>
    <w:p w14:paraId="2FADEA82" w14:textId="014FBDDA" w:rsidR="005702B3" w:rsidRPr="005702B3" w:rsidRDefault="00ED183F" w:rsidP="00ED183F">
      <w:pPr>
        <w:pStyle w:val="ESNormal"/>
        <w:jc w:val="both"/>
        <w:rPr>
          <w:b/>
        </w:rPr>
      </w:pPr>
      <w:r w:rsidRPr="005702B3">
        <w:rPr>
          <w:b/>
        </w:rPr>
        <w:t xml:space="preserve">Parking </w:t>
      </w:r>
      <w:r w:rsidR="005702B3" w:rsidRPr="005702B3">
        <w:rPr>
          <w:b/>
        </w:rPr>
        <w:t>L</w:t>
      </w:r>
      <w:r w:rsidRPr="005702B3">
        <w:rPr>
          <w:b/>
        </w:rPr>
        <w:t xml:space="preserve">amps </w:t>
      </w:r>
    </w:p>
    <w:p w14:paraId="6673AE0B" w14:textId="48D50FC1" w:rsidR="00ED183F" w:rsidRDefault="00E22DDA" w:rsidP="00C80D08">
      <w:pPr>
        <w:pStyle w:val="ESNormal"/>
        <w:spacing w:line="240" w:lineRule="auto"/>
        <w:jc w:val="both"/>
      </w:pPr>
      <w:r w:rsidRPr="00E22DDA">
        <w:t>These devices are used to draw attention to the presence of a stationary vehicle. The colour of light emitted by parking lamps must be white to the front and red to the rear</w:t>
      </w:r>
      <w:r w:rsidR="00517718">
        <w:t>.</w:t>
      </w:r>
    </w:p>
    <w:p w14:paraId="7239E36B" w14:textId="77777777" w:rsidR="00517718" w:rsidRDefault="00517718" w:rsidP="00517718">
      <w:pPr>
        <w:rPr>
          <w:b/>
        </w:rPr>
      </w:pPr>
      <w:r>
        <w:rPr>
          <w:b/>
        </w:rPr>
        <w:t>Clause 3.1</w:t>
      </w:r>
      <w:r>
        <w:t xml:space="preserve"> includes a reference to ADRs 13/…, 19/… or 67/…. The circumstances under which lamps are mandatory, optional, or prohibited are set out in either ADRs 13/…, 19/… or 67/….</w:t>
      </w:r>
    </w:p>
    <w:p w14:paraId="31D68026" w14:textId="38EE81FE" w:rsidR="00517718" w:rsidRDefault="00517718" w:rsidP="00517718">
      <w:r>
        <w:rPr>
          <w:b/>
        </w:rPr>
        <w:t xml:space="preserve">Clause 4 </w:t>
      </w:r>
      <w:r>
        <w:t>establishes where defined terms are to be found.</w:t>
      </w:r>
    </w:p>
    <w:p w14:paraId="05F187A8" w14:textId="6BDD49BD" w:rsidR="009229D6" w:rsidRDefault="00724B19" w:rsidP="009229D6">
      <w:r>
        <w:rPr>
          <w:b/>
        </w:rPr>
        <w:t xml:space="preserve">Clause 5 </w:t>
      </w:r>
      <w:r w:rsidR="009229D6" w:rsidRPr="00ED58B1">
        <w:t xml:space="preserve">determines that </w:t>
      </w:r>
      <w:r w:rsidR="00F86CB7">
        <w:t>Light Signalling</w:t>
      </w:r>
      <w:r w:rsidR="009229D6" w:rsidRPr="00ED58B1">
        <w:t xml:space="preserve"> Devices complying with the technical requirements of Appendix A except as varied by clause </w:t>
      </w:r>
      <w:r w:rsidR="00AC4168">
        <w:t>6</w:t>
      </w:r>
      <w:r w:rsidR="009229D6" w:rsidRPr="00ED58B1">
        <w:t xml:space="preserve"> (Exemptions and Alternative Procedures) or clause </w:t>
      </w:r>
      <w:r w:rsidR="00AC4168">
        <w:t>7</w:t>
      </w:r>
      <w:r w:rsidR="009229D6" w:rsidRPr="00ED58B1">
        <w:t xml:space="preserve"> (Alternative Standards), shall be accepted as complying with this rule. Appendix A is the </w:t>
      </w:r>
      <w:bookmarkStart w:id="17" w:name="_Hlk199421850"/>
      <w:r w:rsidR="009229D6" w:rsidRPr="00ED58B1">
        <w:t xml:space="preserve">UN Regulation No. </w:t>
      </w:r>
      <w:bookmarkEnd w:id="17"/>
      <w:r w:rsidR="00F86CB7" w:rsidRPr="00F86CB7">
        <w:t>148 – UNIFORM PROVISIONS CONCERNING THE APPROVAL</w:t>
      </w:r>
      <w:r w:rsidR="00F86CB7" w:rsidRPr="00F86CB7">
        <w:rPr>
          <w:b/>
        </w:rPr>
        <w:t xml:space="preserve"> </w:t>
      </w:r>
      <w:r w:rsidR="00F86CB7" w:rsidRPr="00F86CB7">
        <w:t>OF LIGHT-SIGNALLING DEVICES (LAMPS) FOR POWER DRIVEN VEHICLES AND THEIR TRAILERS</w:t>
      </w:r>
      <w:r w:rsidR="009229D6">
        <w:t>. M</w:t>
      </w:r>
      <w:r w:rsidR="009229D6" w:rsidRPr="007F7ED1">
        <w:t>anufacturers have the flexibility to demonstrate compliance to ADR 10</w:t>
      </w:r>
      <w:r w:rsidR="00F86CB7">
        <w:t>2</w:t>
      </w:r>
      <w:r w:rsidR="009229D6" w:rsidRPr="007F7ED1">
        <w:t xml:space="preserve">/00 through clause 5 and Appendix A as varied by clause </w:t>
      </w:r>
      <w:r w:rsidR="00AC4168">
        <w:t>6</w:t>
      </w:r>
      <w:r w:rsidR="009229D6" w:rsidRPr="007F7ED1">
        <w:t xml:space="preserve"> (Exemptions and Alternative Procedures)</w:t>
      </w:r>
      <w:r w:rsidR="00456D26">
        <w:t xml:space="preserve"> </w:t>
      </w:r>
      <w:r w:rsidR="009229D6" w:rsidRPr="007F7ED1">
        <w:t xml:space="preserve">or through clause </w:t>
      </w:r>
      <w:r w:rsidR="00AC4168">
        <w:t>7</w:t>
      </w:r>
      <w:r w:rsidR="009229D6" w:rsidRPr="007F7ED1">
        <w:t xml:space="preserve"> (Alternative Standards).</w:t>
      </w:r>
    </w:p>
    <w:p w14:paraId="1A322B35" w14:textId="29E6218C" w:rsidR="00AC4168" w:rsidRDefault="00406D3A" w:rsidP="002E37E1">
      <w:pPr>
        <w:pStyle w:val="ESNormal"/>
        <w:jc w:val="both"/>
      </w:pPr>
      <w:r w:rsidRPr="00406D3A">
        <w:rPr>
          <w:b/>
        </w:rPr>
        <w:t xml:space="preserve">Clause </w:t>
      </w:r>
      <w:r w:rsidR="005B7B19">
        <w:rPr>
          <w:b/>
        </w:rPr>
        <w:t>6</w:t>
      </w:r>
      <w:r w:rsidRPr="00406D3A">
        <w:t xml:space="preserve"> creates exemptions from some requirements of </w:t>
      </w:r>
      <w:bookmarkStart w:id="18" w:name="_Hlk203396223"/>
      <w:r w:rsidRPr="00406D3A">
        <w:t xml:space="preserve">Appendix A (UN R148) </w:t>
      </w:r>
      <w:bookmarkEnd w:id="18"/>
      <w:r w:rsidRPr="00406D3A">
        <w:t>which pertain to gaining a Type Approval in the UN context. This is because they are not required in the Australian context where the Commonwealth administers approvals through the RVSA and the ADRs. Consequently, manufacturers supplying new vehicles to Australia are exempt from most administrative (non-technical) requirements of UN R148.</w:t>
      </w:r>
      <w:r w:rsidR="00AC4168">
        <w:t xml:space="preserve"> Appendi</w:t>
      </w:r>
      <w:r w:rsidR="009C6A3F">
        <w:t>x</w:t>
      </w:r>
      <w:r w:rsidR="00AC4168">
        <w:t xml:space="preserve"> B</w:t>
      </w:r>
      <w:r w:rsidR="009C6A3F">
        <w:t xml:space="preserve"> </w:t>
      </w:r>
      <w:r w:rsidR="00AC4168">
        <w:t>provide</w:t>
      </w:r>
      <w:r w:rsidR="009C79C4">
        <w:t>s</w:t>
      </w:r>
      <w:r w:rsidR="00AC4168">
        <w:t xml:space="preserve"> alternative requirements to </w:t>
      </w:r>
      <w:r w:rsidR="00AC4168" w:rsidRPr="00AC4168">
        <w:t>Appendix A (UN R148)</w:t>
      </w:r>
      <w:r w:rsidR="00AC4168">
        <w:t xml:space="preserve"> with regards to side marker lamps. </w:t>
      </w:r>
    </w:p>
    <w:p w14:paraId="11DF3E92" w14:textId="77777777" w:rsidR="00E9584D" w:rsidRPr="00E9584D" w:rsidRDefault="00E9584D" w:rsidP="00E9584D">
      <w:pPr>
        <w:pStyle w:val="ESNormal"/>
        <w:jc w:val="both"/>
        <w:rPr>
          <w:i/>
        </w:rPr>
      </w:pPr>
      <w:r w:rsidRPr="00E9584D">
        <w:rPr>
          <w:i/>
        </w:rPr>
        <w:t>Alternative Procedures</w:t>
      </w:r>
    </w:p>
    <w:p w14:paraId="2F1A03B6" w14:textId="2B512F78" w:rsidR="00E9584D" w:rsidRPr="002E37E1" w:rsidRDefault="00E9584D" w:rsidP="002E37E1">
      <w:pPr>
        <w:pStyle w:val="ESNormal"/>
        <w:jc w:val="both"/>
      </w:pPr>
      <w:bookmarkStart w:id="19" w:name="_Toc153367784"/>
      <w:r w:rsidRPr="00E9584D">
        <w:t>Alternative Standards</w:t>
      </w:r>
      <w:bookmarkEnd w:id="19"/>
    </w:p>
    <w:p w14:paraId="089E35CA" w14:textId="25B2BB65" w:rsidR="00517718" w:rsidRDefault="002E37E1" w:rsidP="00EA1FA9">
      <w:pPr>
        <w:pStyle w:val="ESNormal"/>
        <w:jc w:val="both"/>
      </w:pPr>
      <w:bookmarkStart w:id="20" w:name="_Toc173503354"/>
      <w:bookmarkStart w:id="21" w:name="_Toc173503355"/>
      <w:bookmarkStart w:id="22" w:name="_Toc173503356"/>
      <w:bookmarkEnd w:id="20"/>
      <w:bookmarkEnd w:id="21"/>
      <w:bookmarkEnd w:id="22"/>
      <w:r w:rsidRPr="002E37E1">
        <w:rPr>
          <w:b/>
        </w:rPr>
        <w:t xml:space="preserve">Clause </w:t>
      </w:r>
      <w:r w:rsidR="00AC4168">
        <w:rPr>
          <w:b/>
        </w:rPr>
        <w:t>7</w:t>
      </w:r>
      <w:r w:rsidR="00F258EF">
        <w:t xml:space="preserve"> </w:t>
      </w:r>
      <w:r w:rsidRPr="002E37E1">
        <w:t>state</w:t>
      </w:r>
      <w:r w:rsidR="00EA1FA9">
        <w:t>s</w:t>
      </w:r>
      <w:r w:rsidRPr="002E37E1">
        <w:t xml:space="preserve"> that, the technical requirements of the United Nations Regulation No. </w:t>
      </w:r>
      <w:bookmarkStart w:id="23" w:name="_Hlk199941892"/>
      <w:r w:rsidRPr="002E37E1">
        <w:t xml:space="preserve">148 </w:t>
      </w:r>
      <w:bookmarkStart w:id="24" w:name="_Hlk199941838"/>
      <w:r w:rsidRPr="002E37E1">
        <w:t>– UNIFORM PROVISIONS CONCERNING THE APPROVAL</w:t>
      </w:r>
      <w:r w:rsidRPr="002E37E1">
        <w:rPr>
          <w:b/>
        </w:rPr>
        <w:t xml:space="preserve"> </w:t>
      </w:r>
      <w:r w:rsidRPr="002E37E1">
        <w:t xml:space="preserve">OF LIGHT-SIGNALLING DEVICES (LAMPS) FOR POWER DRIVEN VEHICLES </w:t>
      </w:r>
      <w:proofErr w:type="gramStart"/>
      <w:r w:rsidRPr="002E37E1">
        <w:t>AND  THEIR</w:t>
      </w:r>
      <w:proofErr w:type="gramEnd"/>
      <w:r w:rsidRPr="002E37E1">
        <w:t xml:space="preserve"> TRAILERS</w:t>
      </w:r>
      <w:bookmarkStart w:id="25" w:name="_Hlk156818341"/>
      <w:bookmarkEnd w:id="23"/>
      <w:bookmarkEnd w:id="24"/>
      <w:r w:rsidRPr="002E37E1">
        <w:t>, incorporating all amendments, are deemed to be equivalent to the technical requirements of this standard</w:t>
      </w:r>
      <w:bookmarkEnd w:id="25"/>
      <w:r w:rsidRPr="002E37E1">
        <w:t>.</w:t>
      </w:r>
    </w:p>
    <w:p w14:paraId="5CF98849" w14:textId="0703ED0E" w:rsidR="00AC4168" w:rsidRDefault="00AC4168" w:rsidP="00EA1FA9">
      <w:pPr>
        <w:pStyle w:val="ESNormal"/>
        <w:jc w:val="both"/>
      </w:pPr>
      <w:r w:rsidRPr="00AC4168">
        <w:rPr>
          <w:b/>
        </w:rPr>
        <w:t xml:space="preserve">Appendix B </w:t>
      </w:r>
      <w:r w:rsidRPr="00AC4168">
        <w:t>provides details of supplementary requirements for</w:t>
      </w:r>
      <w:r w:rsidR="009C6A3F">
        <w:t xml:space="preserve"> </w:t>
      </w:r>
      <w:r w:rsidRPr="00AC4168">
        <w:t xml:space="preserve">Side Marker Lamps.  These were originally developed to accommodate Australian </w:t>
      </w:r>
      <w:r w:rsidR="00B673E9" w:rsidRPr="00AC4168">
        <w:t>requirements to</w:t>
      </w:r>
      <w:r w:rsidRPr="00AC4168">
        <w:t xml:space="preserve"> enable manufacturers to demonstrate compliance where they have not gained the UN type approval for these types of lamps These requirements may be met instead of the requirements in Appendix A as varied by clause 6 (Exemptions and Alternative Procedures).</w:t>
      </w:r>
    </w:p>
    <w:p w14:paraId="6BC4D04B" w14:textId="2C9F400B" w:rsidR="00347F10" w:rsidRDefault="00347F10" w:rsidP="00013A0E">
      <w:pPr>
        <w:pStyle w:val="ESNormal"/>
        <w:jc w:val="both"/>
        <w:rPr>
          <w:bCs/>
        </w:rPr>
      </w:pPr>
      <w:r>
        <w:rPr>
          <w:b/>
          <w:bCs/>
        </w:rPr>
        <w:t xml:space="preserve">Paragraph 4.1 of Appendix A: </w:t>
      </w:r>
      <w:r w:rsidR="00013A0E">
        <w:rPr>
          <w:bCs/>
        </w:rPr>
        <w:t xml:space="preserve">This paragraph states that each lamp submitted for approval must comply with all the requirements set out in paragraphs 4 and 5 of </w:t>
      </w:r>
      <w:r w:rsidR="00227076">
        <w:rPr>
          <w:bCs/>
        </w:rPr>
        <w:t>Appendix A.</w:t>
      </w:r>
    </w:p>
    <w:p w14:paraId="0CBD0DC0" w14:textId="6E259E14" w:rsidR="00C52727" w:rsidRDefault="00DF7814" w:rsidP="00013A0E">
      <w:pPr>
        <w:pStyle w:val="ESNormal"/>
        <w:jc w:val="both"/>
        <w:rPr>
          <w:rFonts w:eastAsiaTheme="minorEastAsia"/>
        </w:rPr>
      </w:pPr>
      <w:r w:rsidRPr="00C8069D">
        <w:rPr>
          <w:b/>
          <w:bCs/>
        </w:rPr>
        <w:lastRenderedPageBreak/>
        <w:t xml:space="preserve">Paragraph 4.2 of Appendix A:  </w:t>
      </w:r>
      <w:r w:rsidR="00C52727" w:rsidRPr="00C8069D">
        <w:rPr>
          <w:bCs/>
        </w:rPr>
        <w:t>This paragraph</w:t>
      </w:r>
      <w:r w:rsidR="00606915" w:rsidRPr="00C8069D">
        <w:rPr>
          <w:bCs/>
        </w:rPr>
        <w:t xml:space="preserve"> details</w:t>
      </w:r>
      <w:r w:rsidR="00C8069D">
        <w:rPr>
          <w:bCs/>
        </w:rPr>
        <w:t xml:space="preserve"> the</w:t>
      </w:r>
      <w:r w:rsidR="00606915" w:rsidRPr="00C8069D">
        <w:rPr>
          <w:bCs/>
        </w:rPr>
        <w:t xml:space="preserve"> requirements</w:t>
      </w:r>
      <w:r w:rsidR="00C8069D">
        <w:rPr>
          <w:bCs/>
        </w:rPr>
        <w:t xml:space="preserve"> contained in paragraphs 5 and 6 </w:t>
      </w:r>
      <w:r w:rsidR="00152FA5">
        <w:rPr>
          <w:bCs/>
        </w:rPr>
        <w:t xml:space="preserve">which </w:t>
      </w:r>
      <w:r w:rsidR="00C8069D">
        <w:rPr>
          <w:bCs/>
        </w:rPr>
        <w:t xml:space="preserve">have been drawn from </w:t>
      </w:r>
      <w:r w:rsidR="00C52727" w:rsidRPr="00C8069D">
        <w:rPr>
          <w:bCs/>
        </w:rPr>
        <w:t xml:space="preserve">UN </w:t>
      </w:r>
      <w:r w:rsidR="00C8069D">
        <w:rPr>
          <w:bCs/>
        </w:rPr>
        <w:t>R</w:t>
      </w:r>
      <w:r w:rsidR="00C52727" w:rsidRPr="00C8069D">
        <w:rPr>
          <w:bCs/>
        </w:rPr>
        <w:t xml:space="preserve">egulations Nos. </w:t>
      </w:r>
      <w:r w:rsidR="00C52727" w:rsidRPr="00C8069D">
        <w:rPr>
          <w:rFonts w:eastAsiaTheme="minorEastAsia"/>
        </w:rPr>
        <w:t>48</w:t>
      </w:r>
      <w:r w:rsidR="00152FA5">
        <w:rPr>
          <w:rFonts w:eastAsiaTheme="minorEastAsia"/>
        </w:rPr>
        <w:t xml:space="preserve"> (ADR 13)</w:t>
      </w:r>
      <w:r w:rsidR="00C52727" w:rsidRPr="00C8069D">
        <w:rPr>
          <w:rFonts w:eastAsiaTheme="minorEastAsia"/>
        </w:rPr>
        <w:t>, 53</w:t>
      </w:r>
      <w:r w:rsidR="00152FA5">
        <w:rPr>
          <w:rFonts w:eastAsiaTheme="minorEastAsia"/>
        </w:rPr>
        <w:t xml:space="preserve"> (ADR 19)</w:t>
      </w:r>
      <w:r w:rsidR="00C52727" w:rsidRPr="00C8069D">
        <w:rPr>
          <w:rFonts w:eastAsiaTheme="minorEastAsia"/>
        </w:rPr>
        <w:t>, 74</w:t>
      </w:r>
      <w:r w:rsidR="00733A6F">
        <w:rPr>
          <w:rFonts w:eastAsiaTheme="minorEastAsia"/>
        </w:rPr>
        <w:t xml:space="preserve"> </w:t>
      </w:r>
      <w:r w:rsidR="00152FA5">
        <w:rPr>
          <w:rFonts w:eastAsiaTheme="minorEastAsia"/>
        </w:rPr>
        <w:t>(ADR 19)</w:t>
      </w:r>
      <w:r w:rsidR="00C52727" w:rsidRPr="00C8069D">
        <w:rPr>
          <w:rFonts w:eastAsiaTheme="minorEastAsia"/>
        </w:rPr>
        <w:t xml:space="preserve"> or 86</w:t>
      </w:r>
      <w:r w:rsidR="00152FA5">
        <w:rPr>
          <w:rFonts w:eastAsiaTheme="minorEastAsia"/>
        </w:rPr>
        <w:t xml:space="preserve"> </w:t>
      </w:r>
      <w:r w:rsidR="00C52727" w:rsidRPr="00C8069D">
        <w:rPr>
          <w:rFonts w:eastAsiaTheme="minorEastAsia"/>
        </w:rPr>
        <w:t>and their</w:t>
      </w:r>
      <w:r w:rsidR="00B16E6C">
        <w:rPr>
          <w:rFonts w:eastAsiaTheme="minorEastAsia"/>
        </w:rPr>
        <w:t xml:space="preserve"> </w:t>
      </w:r>
      <w:r w:rsidR="00C8069D" w:rsidRPr="00C8069D">
        <w:rPr>
          <w:rFonts w:eastAsiaTheme="minorEastAsia"/>
        </w:rPr>
        <w:t>series of amendments</w:t>
      </w:r>
      <w:r w:rsidR="00C8069D">
        <w:rPr>
          <w:rFonts w:eastAsiaTheme="minorEastAsia"/>
        </w:rPr>
        <w:t>.</w:t>
      </w:r>
    </w:p>
    <w:p w14:paraId="54011DB2" w14:textId="59ADBEBE" w:rsidR="00C52727" w:rsidRDefault="008A06AB" w:rsidP="00013A0E">
      <w:pPr>
        <w:pStyle w:val="ESNormal"/>
        <w:jc w:val="both"/>
        <w:rPr>
          <w:bCs/>
        </w:rPr>
      </w:pPr>
      <w:r w:rsidRPr="008A06AB">
        <w:rPr>
          <w:b/>
          <w:bCs/>
        </w:rPr>
        <w:t xml:space="preserve">Paragraph 4.3 of Appendix A: </w:t>
      </w:r>
      <w:r>
        <w:rPr>
          <w:bCs/>
        </w:rPr>
        <w:t xml:space="preserve">This paragraph </w:t>
      </w:r>
      <w:r w:rsidR="00606915">
        <w:rPr>
          <w:bCs/>
        </w:rPr>
        <w:t>states</w:t>
      </w:r>
      <w:r w:rsidR="00BF4E1F">
        <w:rPr>
          <w:bCs/>
        </w:rPr>
        <w:t xml:space="preserve"> that lamps </w:t>
      </w:r>
      <w:r w:rsidR="00B7580A">
        <w:rPr>
          <w:bCs/>
        </w:rPr>
        <w:t xml:space="preserve">must </w:t>
      </w:r>
      <w:r w:rsidR="00BF4E1F">
        <w:rPr>
          <w:bCs/>
        </w:rPr>
        <w:t>be designed and constructed to maintain proper function</w:t>
      </w:r>
      <w:r w:rsidR="00606915">
        <w:rPr>
          <w:bCs/>
        </w:rPr>
        <w:t xml:space="preserve"> </w:t>
      </w:r>
      <w:r w:rsidR="00BF4E1F">
        <w:rPr>
          <w:bCs/>
        </w:rPr>
        <w:t>under normal use, including exposure to vibrations that may occur during vehicle operation. The intent of this paragraph is to ensure that lamps remain reliable, safe, and effective</w:t>
      </w:r>
      <w:r w:rsidR="00606915">
        <w:rPr>
          <w:bCs/>
        </w:rPr>
        <w:t xml:space="preserve"> </w:t>
      </w:r>
      <w:r w:rsidR="00BF4E1F">
        <w:rPr>
          <w:bCs/>
        </w:rPr>
        <w:t xml:space="preserve">under typical driving </w:t>
      </w:r>
      <w:r w:rsidR="00FE7D95">
        <w:rPr>
          <w:bCs/>
        </w:rPr>
        <w:t>conditions</w:t>
      </w:r>
      <w:r w:rsidR="00BF4E1F">
        <w:rPr>
          <w:bCs/>
        </w:rPr>
        <w:t xml:space="preserve">. </w:t>
      </w:r>
    </w:p>
    <w:p w14:paraId="250863B8" w14:textId="44D77891" w:rsidR="00CB4D4F" w:rsidRDefault="004023EE" w:rsidP="00013A0E">
      <w:pPr>
        <w:pStyle w:val="ESNormal"/>
        <w:jc w:val="both"/>
        <w:rPr>
          <w:bCs/>
        </w:rPr>
      </w:pPr>
      <w:r w:rsidRPr="004023EE">
        <w:rPr>
          <w:b/>
          <w:bCs/>
        </w:rPr>
        <w:t xml:space="preserve">Paragraph 4.4 of Appendix A: </w:t>
      </w:r>
      <w:r w:rsidR="00397F13">
        <w:rPr>
          <w:bCs/>
        </w:rPr>
        <w:t xml:space="preserve">This paragraph outlines the two ways lamp </w:t>
      </w:r>
      <w:r w:rsidR="008F30D0">
        <w:rPr>
          <w:bCs/>
        </w:rPr>
        <w:t>assembl</w:t>
      </w:r>
      <w:r w:rsidR="00556056">
        <w:rPr>
          <w:bCs/>
        </w:rPr>
        <w:t>i</w:t>
      </w:r>
      <w:r w:rsidR="008F30D0">
        <w:rPr>
          <w:bCs/>
        </w:rPr>
        <w:t xml:space="preserve">es can be approved </w:t>
      </w:r>
      <w:r w:rsidR="00C778CB">
        <w:rPr>
          <w:bCs/>
        </w:rPr>
        <w:t xml:space="preserve">depending on their design. One option is an assembly of two independent lamps, which can be type approved </w:t>
      </w:r>
      <w:r w:rsidR="00CC3988">
        <w:rPr>
          <w:bCs/>
        </w:rPr>
        <w:t>as a unit marked “D</w:t>
      </w:r>
      <w:r w:rsidR="00152F8E">
        <w:rPr>
          <w:bCs/>
        </w:rPr>
        <w:t>.” The other option is an independent lamp system – where multiple components function together – which can be type a</w:t>
      </w:r>
      <w:r w:rsidR="00113A63">
        <w:rPr>
          <w:bCs/>
        </w:rPr>
        <w:t xml:space="preserve">pproved as lamps marked “Y”. </w:t>
      </w:r>
    </w:p>
    <w:p w14:paraId="4A823D1C" w14:textId="288FF5F1" w:rsidR="004023EE" w:rsidRPr="00397F13" w:rsidRDefault="00CB4D4F" w:rsidP="00013A0E">
      <w:pPr>
        <w:pStyle w:val="ESNormal"/>
        <w:jc w:val="both"/>
        <w:rPr>
          <w:bCs/>
        </w:rPr>
      </w:pPr>
      <w:r>
        <w:rPr>
          <w:bCs/>
        </w:rPr>
        <w:t>The intent of this paragraph is to provide flexibility in lamp design while ensuring that both independent and interdependent configurations are clearly defined</w:t>
      </w:r>
      <w:r w:rsidR="00FC681D">
        <w:rPr>
          <w:bCs/>
        </w:rPr>
        <w:t>.</w:t>
      </w:r>
      <w:r>
        <w:rPr>
          <w:bCs/>
        </w:rPr>
        <w:t xml:space="preserve"> </w:t>
      </w:r>
    </w:p>
    <w:p w14:paraId="090D1672" w14:textId="2ACB2F49" w:rsidR="0071119C" w:rsidRDefault="000659AE" w:rsidP="00013A0E">
      <w:pPr>
        <w:pStyle w:val="ESNormal"/>
        <w:jc w:val="both"/>
        <w:rPr>
          <w:bCs/>
        </w:rPr>
      </w:pPr>
      <w:r w:rsidRPr="000659AE">
        <w:rPr>
          <w:b/>
          <w:bCs/>
        </w:rPr>
        <w:t>Paragraph 4.5 of Appendix A</w:t>
      </w:r>
      <w:r>
        <w:rPr>
          <w:b/>
          <w:bCs/>
        </w:rPr>
        <w:t xml:space="preserve">: </w:t>
      </w:r>
      <w:r w:rsidR="00D532A6">
        <w:rPr>
          <w:bCs/>
        </w:rPr>
        <w:t xml:space="preserve">This </w:t>
      </w:r>
      <w:r w:rsidR="0034395F">
        <w:rPr>
          <w:bCs/>
        </w:rPr>
        <w:t xml:space="preserve">paragraph outlines </w:t>
      </w:r>
      <w:r w:rsidR="00FC681D">
        <w:rPr>
          <w:bCs/>
        </w:rPr>
        <w:t xml:space="preserve">requirements for </w:t>
      </w:r>
      <w:r w:rsidR="0034395F">
        <w:rPr>
          <w:bCs/>
        </w:rPr>
        <w:t xml:space="preserve">lamps </w:t>
      </w:r>
      <w:r w:rsidR="00FC681D">
        <w:rPr>
          <w:bCs/>
        </w:rPr>
        <w:t>that are</w:t>
      </w:r>
      <w:r w:rsidR="008C3521">
        <w:rPr>
          <w:bCs/>
        </w:rPr>
        <w:t xml:space="preserve"> </w:t>
      </w:r>
      <w:r w:rsidR="0034395F">
        <w:rPr>
          <w:bCs/>
        </w:rPr>
        <w:t>grouped, combined, or reciprocally incorporated. Lamps approved as front or rear position lamps are also considered approved as end-outline marker lamps. Position</w:t>
      </w:r>
      <w:r w:rsidR="00FC681D">
        <w:rPr>
          <w:bCs/>
        </w:rPr>
        <w:t xml:space="preserve"> lamps</w:t>
      </w:r>
      <w:r w:rsidR="0034395F">
        <w:rPr>
          <w:bCs/>
        </w:rPr>
        <w:t xml:space="preserve"> or daytime running lamps that share </w:t>
      </w:r>
      <w:r w:rsidR="003949F2">
        <w:rPr>
          <w:bCs/>
        </w:rPr>
        <w:t xml:space="preserve">a light source with other functions are allowed </w:t>
      </w:r>
      <w:r w:rsidR="000879A0">
        <w:rPr>
          <w:bCs/>
        </w:rPr>
        <w:t xml:space="preserve">if they include a system to regulate intensity. When a rear position lamp is combined with a stop lamp it must either use multiple </w:t>
      </w:r>
      <w:r w:rsidR="0071119C">
        <w:rPr>
          <w:bCs/>
        </w:rPr>
        <w:t xml:space="preserve">light sources or include a failure tell-tale, with this noted in the communication form. </w:t>
      </w:r>
    </w:p>
    <w:p w14:paraId="68DF58D3" w14:textId="4FE1BA97" w:rsidR="00C52727" w:rsidRDefault="0071119C" w:rsidP="00013A0E">
      <w:pPr>
        <w:pStyle w:val="ESNormal"/>
        <w:jc w:val="both"/>
        <w:rPr>
          <w:bCs/>
        </w:rPr>
      </w:pPr>
      <w:r>
        <w:rPr>
          <w:bCs/>
        </w:rPr>
        <w:t>Infrared generators in front position lamps are allow</w:t>
      </w:r>
      <w:r w:rsidR="00FC681D">
        <w:rPr>
          <w:bCs/>
        </w:rPr>
        <w:t>ed</w:t>
      </w:r>
      <w:r>
        <w:rPr>
          <w:bCs/>
        </w:rPr>
        <w:t xml:space="preserve"> if all light and colour requirements are still met</w:t>
      </w:r>
      <w:r w:rsidR="00DF4906">
        <w:rPr>
          <w:bCs/>
        </w:rPr>
        <w:t>,</w:t>
      </w:r>
      <w:r w:rsidR="00FC681D">
        <w:rPr>
          <w:bCs/>
        </w:rPr>
        <w:t xml:space="preserve"> with and without the operation of the </w:t>
      </w:r>
      <w:r w:rsidR="008C3521">
        <w:rPr>
          <w:bCs/>
        </w:rPr>
        <w:t>infrared generation radiator.</w:t>
      </w:r>
      <w:r>
        <w:rPr>
          <w:bCs/>
        </w:rPr>
        <w:t xml:space="preserve"> Logos may be built into lamp components under </w:t>
      </w:r>
      <w:r w:rsidR="00023018">
        <w:rPr>
          <w:bCs/>
        </w:rPr>
        <w:t xml:space="preserve">requirements outlined in paragraph </w:t>
      </w:r>
      <w:proofErr w:type="gramStart"/>
      <w:r w:rsidR="00023018">
        <w:rPr>
          <w:bCs/>
        </w:rPr>
        <w:t>4.55,which</w:t>
      </w:r>
      <w:proofErr w:type="gramEnd"/>
      <w:r w:rsidR="00023018">
        <w:rPr>
          <w:bCs/>
        </w:rPr>
        <w:t xml:space="preserve"> include limitations</w:t>
      </w:r>
      <w:r>
        <w:rPr>
          <w:bCs/>
        </w:rPr>
        <w:t xml:space="preserve"> to vehicle or body manufacturer logos, under 100</w:t>
      </w:r>
      <w:r w:rsidR="00023018">
        <w:rPr>
          <w:bCs/>
        </w:rPr>
        <w:t xml:space="preserve"> </w:t>
      </w:r>
      <w:r>
        <w:rPr>
          <w:bCs/>
        </w:rPr>
        <w:t>cm</w:t>
      </w:r>
      <w:r w:rsidRPr="00023018">
        <w:rPr>
          <w:bCs/>
          <w:vertAlign w:val="superscript"/>
        </w:rPr>
        <w:t>2</w:t>
      </w:r>
      <w:r>
        <w:rPr>
          <w:bCs/>
        </w:rPr>
        <w:t xml:space="preserve"> in size, and not used in stop, indicator or reversing lamps. </w:t>
      </w:r>
    </w:p>
    <w:p w14:paraId="386B7078" w14:textId="5D192212" w:rsidR="0071119C" w:rsidRDefault="0071119C" w:rsidP="00013A0E">
      <w:pPr>
        <w:pStyle w:val="ESNormal"/>
        <w:jc w:val="both"/>
        <w:rPr>
          <w:bCs/>
        </w:rPr>
      </w:pPr>
      <w:r>
        <w:rPr>
          <w:bCs/>
        </w:rPr>
        <w:t>The intent of this paragraph is to allow</w:t>
      </w:r>
      <w:r w:rsidR="00023018">
        <w:rPr>
          <w:bCs/>
        </w:rPr>
        <w:t xml:space="preserve"> the use of logos</w:t>
      </w:r>
      <w:r>
        <w:rPr>
          <w:bCs/>
        </w:rPr>
        <w:t xml:space="preserve"> while ensuring al</w:t>
      </w:r>
      <w:r w:rsidR="00023018">
        <w:rPr>
          <w:bCs/>
        </w:rPr>
        <w:t>l</w:t>
      </w:r>
      <w:r>
        <w:rPr>
          <w:bCs/>
        </w:rPr>
        <w:t xml:space="preserve"> performance </w:t>
      </w:r>
      <w:r w:rsidR="00023018">
        <w:rPr>
          <w:bCs/>
        </w:rPr>
        <w:t>requirements are met.</w:t>
      </w:r>
    </w:p>
    <w:p w14:paraId="2B74B5ED" w14:textId="784F15C9" w:rsidR="009A3EFE" w:rsidRDefault="0071119C" w:rsidP="00013A0E">
      <w:pPr>
        <w:pStyle w:val="ESNormal"/>
        <w:jc w:val="both"/>
        <w:rPr>
          <w:bCs/>
        </w:rPr>
      </w:pPr>
      <w:r w:rsidRPr="0071119C">
        <w:rPr>
          <w:b/>
          <w:bCs/>
        </w:rPr>
        <w:t>Paragraph 4.6 of Appendix A:</w:t>
      </w:r>
      <w:r>
        <w:rPr>
          <w:b/>
          <w:bCs/>
        </w:rPr>
        <w:t xml:space="preserve"> </w:t>
      </w:r>
      <w:r w:rsidR="008D5354">
        <w:rPr>
          <w:bCs/>
        </w:rPr>
        <w:t xml:space="preserve">This paragraph </w:t>
      </w:r>
      <w:r w:rsidR="00023018">
        <w:rPr>
          <w:bCs/>
        </w:rPr>
        <w:t xml:space="preserve">outlines the requirements for lamps </w:t>
      </w:r>
      <w:r w:rsidR="00023018" w:rsidRPr="00B673E9">
        <w:rPr>
          <w:bCs/>
        </w:rPr>
        <w:t>operating under failure conditions.</w:t>
      </w:r>
      <w:r w:rsidR="009A3EFE" w:rsidRPr="00B673E9">
        <w:rPr>
          <w:bCs/>
        </w:rPr>
        <w:t xml:space="preserve"> </w:t>
      </w:r>
      <w:r w:rsidR="00726761" w:rsidRPr="00B673E9">
        <w:rPr>
          <w:bCs/>
        </w:rPr>
        <w:t>A</w:t>
      </w:r>
      <w:r w:rsidR="002E5D7A" w:rsidRPr="00B673E9">
        <w:rPr>
          <w:bCs/>
        </w:rPr>
        <w:t xml:space="preserve"> single lamp contain</w:t>
      </w:r>
      <w:r w:rsidR="00726761" w:rsidRPr="00B673E9">
        <w:rPr>
          <w:bCs/>
        </w:rPr>
        <w:t>ing</w:t>
      </w:r>
      <w:r w:rsidR="002E5D7A" w:rsidRPr="00B673E9">
        <w:rPr>
          <w:bCs/>
        </w:rPr>
        <w:t xml:space="preserve"> multiple light sources wired so that the failure of any one light source causes all of them to stop emitting light, shal</w:t>
      </w:r>
      <w:r w:rsidR="00726761" w:rsidRPr="00B673E9">
        <w:rPr>
          <w:bCs/>
        </w:rPr>
        <w:t>l</w:t>
      </w:r>
      <w:r w:rsidR="002E5D7A" w:rsidRPr="00B673E9">
        <w:rPr>
          <w:bCs/>
        </w:rPr>
        <w:t xml:space="preserve"> be considered to be one light source. </w:t>
      </w:r>
      <w:r w:rsidR="00726761" w:rsidRPr="00B673E9">
        <w:rPr>
          <w:bCs/>
        </w:rPr>
        <w:t xml:space="preserve">If </w:t>
      </w:r>
      <w:r w:rsidR="00F54DBD">
        <w:rPr>
          <w:bCs/>
        </w:rPr>
        <w:t xml:space="preserve">a failure </w:t>
      </w:r>
      <w:r w:rsidR="00726761" w:rsidRPr="00B673E9">
        <w:rPr>
          <w:bCs/>
        </w:rPr>
        <w:t xml:space="preserve">of one light source in a single lamp containing more than one light source </w:t>
      </w:r>
      <w:r w:rsidR="00F54DBD">
        <w:rPr>
          <w:bCs/>
        </w:rPr>
        <w:t>(</w:t>
      </w:r>
      <w:r w:rsidR="00726761" w:rsidRPr="00B673E9">
        <w:rPr>
          <w:bCs/>
        </w:rPr>
        <w:t>where each light source is wired to operate independently of th</w:t>
      </w:r>
      <w:r w:rsidR="00B673E9" w:rsidRPr="00B673E9">
        <w:rPr>
          <w:bCs/>
        </w:rPr>
        <w:t>e</w:t>
      </w:r>
      <w:r w:rsidR="00726761" w:rsidRPr="00B673E9">
        <w:rPr>
          <w:bCs/>
        </w:rPr>
        <w:t xml:space="preserve"> other light source</w:t>
      </w:r>
      <w:r w:rsidR="00F54DBD">
        <w:rPr>
          <w:bCs/>
        </w:rPr>
        <w:t>) occurs</w:t>
      </w:r>
      <w:r w:rsidR="00726761" w:rsidRPr="00B673E9">
        <w:rPr>
          <w:bCs/>
        </w:rPr>
        <w:t>, the lamp must still comply with the light intensity specifications or a signal must be activated for a tell-tale indication failure.</w:t>
      </w:r>
      <w:r w:rsidR="002E5D7A">
        <w:rPr>
          <w:bCs/>
        </w:rPr>
        <w:t xml:space="preserve"> </w:t>
      </w:r>
    </w:p>
    <w:p w14:paraId="3C463708" w14:textId="5F7256C9" w:rsidR="005D215B" w:rsidRDefault="00FC7737" w:rsidP="00013A0E">
      <w:pPr>
        <w:pStyle w:val="ESNormal"/>
        <w:jc w:val="both"/>
        <w:rPr>
          <w:bCs/>
        </w:rPr>
      </w:pPr>
      <w:r>
        <w:rPr>
          <w:bCs/>
        </w:rPr>
        <w:t>The intent of this paragraph</w:t>
      </w:r>
      <w:r w:rsidR="009A1C3C">
        <w:rPr>
          <w:bCs/>
        </w:rPr>
        <w:t xml:space="preserve"> </w:t>
      </w:r>
      <w:r w:rsidR="004F6DC0">
        <w:rPr>
          <w:bCs/>
        </w:rPr>
        <w:t>is to</w:t>
      </w:r>
      <w:r w:rsidR="00AF53C5">
        <w:rPr>
          <w:bCs/>
        </w:rPr>
        <w:t xml:space="preserve"> warn when </w:t>
      </w:r>
      <w:r w:rsidR="004F6DC0">
        <w:rPr>
          <w:bCs/>
        </w:rPr>
        <w:t>lamp performance</w:t>
      </w:r>
      <w:r w:rsidR="009A3EFE">
        <w:rPr>
          <w:bCs/>
        </w:rPr>
        <w:t xml:space="preserve"> is compromised and to minimise any effects impacting light source performance.</w:t>
      </w:r>
      <w:r w:rsidR="005D215B">
        <w:rPr>
          <w:bCs/>
        </w:rPr>
        <w:t xml:space="preserve"> </w:t>
      </w:r>
    </w:p>
    <w:p w14:paraId="27A5F10A" w14:textId="2AF6F698" w:rsidR="00AA5542" w:rsidRDefault="00C91EE5" w:rsidP="00013A0E">
      <w:pPr>
        <w:pStyle w:val="ESNormal"/>
        <w:jc w:val="both"/>
        <w:rPr>
          <w:bCs/>
        </w:rPr>
      </w:pPr>
      <w:r w:rsidRPr="00243A0C">
        <w:rPr>
          <w:b/>
          <w:bCs/>
        </w:rPr>
        <w:lastRenderedPageBreak/>
        <w:t xml:space="preserve">Paragraph 4.7 </w:t>
      </w:r>
      <w:r w:rsidR="00243A0C" w:rsidRPr="00243A0C">
        <w:rPr>
          <w:b/>
          <w:bCs/>
        </w:rPr>
        <w:t xml:space="preserve">of Appendix A: </w:t>
      </w:r>
      <w:r w:rsidR="00243A0C">
        <w:rPr>
          <w:bCs/>
        </w:rPr>
        <w:t xml:space="preserve">This paragraph outlines </w:t>
      </w:r>
      <w:r w:rsidR="00AA5542">
        <w:rPr>
          <w:bCs/>
        </w:rPr>
        <w:t>the</w:t>
      </w:r>
      <w:r w:rsidR="0081372B">
        <w:rPr>
          <w:bCs/>
        </w:rPr>
        <w:t xml:space="preserve"> general</w:t>
      </w:r>
      <w:r w:rsidR="00AA5542">
        <w:rPr>
          <w:bCs/>
        </w:rPr>
        <w:t xml:space="preserve"> requirements for the</w:t>
      </w:r>
      <w:r w:rsidR="006224CB">
        <w:rPr>
          <w:bCs/>
        </w:rPr>
        <w:t xml:space="preserve"> use of </w:t>
      </w:r>
      <w:r w:rsidR="00AA5542">
        <w:rPr>
          <w:bCs/>
        </w:rPr>
        <w:t>light sources</w:t>
      </w:r>
      <w:r w:rsidR="0081372B">
        <w:rPr>
          <w:bCs/>
        </w:rPr>
        <w:t xml:space="preserve"> </w:t>
      </w:r>
      <w:r w:rsidR="00AA5542">
        <w:rPr>
          <w:bCs/>
        </w:rPr>
        <w:t xml:space="preserve">in </w:t>
      </w:r>
      <w:r w:rsidR="00295426">
        <w:rPr>
          <w:bCs/>
        </w:rPr>
        <w:t>light signalling devices</w:t>
      </w:r>
      <w:r w:rsidR="00AA5542">
        <w:rPr>
          <w:bCs/>
        </w:rPr>
        <w:t xml:space="preserve">. Lamps </w:t>
      </w:r>
      <w:r w:rsidR="0081372B">
        <w:rPr>
          <w:bCs/>
        </w:rPr>
        <w:t>shall only</w:t>
      </w:r>
      <w:r w:rsidR="00AA5542">
        <w:rPr>
          <w:bCs/>
        </w:rPr>
        <w:t xml:space="preserve"> use UN-approved replaceable light sources, </w:t>
      </w:r>
      <w:r w:rsidR="0081372B">
        <w:rPr>
          <w:bCs/>
        </w:rPr>
        <w:t xml:space="preserve">as per </w:t>
      </w:r>
      <w:r w:rsidR="0081372B" w:rsidRPr="0081372B">
        <w:rPr>
          <w:bCs/>
        </w:rPr>
        <w:t>UN Regulations Nos. 37</w:t>
      </w:r>
      <w:r w:rsidR="0081372B">
        <w:rPr>
          <w:bCs/>
        </w:rPr>
        <w:t xml:space="preserve"> (ADR 51)</w:t>
      </w:r>
      <w:r w:rsidR="0081372B" w:rsidRPr="0081372B">
        <w:rPr>
          <w:bCs/>
        </w:rPr>
        <w:t>, 99</w:t>
      </w:r>
      <w:r w:rsidR="0081372B">
        <w:rPr>
          <w:bCs/>
        </w:rPr>
        <w:t xml:space="preserve"> (ADR 78</w:t>
      </w:r>
      <w:proofErr w:type="gramStart"/>
      <w:r w:rsidR="0081372B">
        <w:rPr>
          <w:bCs/>
        </w:rPr>
        <w:t xml:space="preserve">) </w:t>
      </w:r>
      <w:r w:rsidR="0081372B" w:rsidRPr="0081372B">
        <w:rPr>
          <w:bCs/>
        </w:rPr>
        <w:t xml:space="preserve"> and</w:t>
      </w:r>
      <w:proofErr w:type="gramEnd"/>
      <w:r w:rsidR="0081372B" w:rsidRPr="0081372B">
        <w:rPr>
          <w:bCs/>
        </w:rPr>
        <w:t>/or 128</w:t>
      </w:r>
      <w:r w:rsidR="0081372B">
        <w:rPr>
          <w:bCs/>
        </w:rPr>
        <w:t xml:space="preserve"> (ADR 101). </w:t>
      </w:r>
      <w:r w:rsidR="00295426">
        <w:rPr>
          <w:bCs/>
        </w:rPr>
        <w:t>Light source interchangeability and electromagnetic compatibility requirements are also outlined.</w:t>
      </w:r>
    </w:p>
    <w:p w14:paraId="5915C1E9" w14:textId="2CE8A152" w:rsidR="007C3352" w:rsidRDefault="007C3352" w:rsidP="00013A0E">
      <w:pPr>
        <w:pStyle w:val="ESNormal"/>
        <w:jc w:val="both"/>
        <w:rPr>
          <w:bCs/>
        </w:rPr>
      </w:pPr>
      <w:r>
        <w:rPr>
          <w:bCs/>
        </w:rPr>
        <w:t>The intent of this paragraph is to ensure</w:t>
      </w:r>
      <w:r w:rsidR="00295426">
        <w:rPr>
          <w:bCs/>
        </w:rPr>
        <w:t xml:space="preserve"> </w:t>
      </w:r>
      <w:r>
        <w:rPr>
          <w:bCs/>
        </w:rPr>
        <w:t xml:space="preserve">light sources </w:t>
      </w:r>
      <w:r w:rsidR="00295426">
        <w:rPr>
          <w:bCs/>
        </w:rPr>
        <w:t xml:space="preserve">maintain </w:t>
      </w:r>
      <w:r w:rsidR="00295426" w:rsidRPr="00295426">
        <w:rPr>
          <w:bCs/>
        </w:rPr>
        <w:t xml:space="preserve">photometric </w:t>
      </w:r>
      <w:r w:rsidR="00295426">
        <w:rPr>
          <w:bCs/>
        </w:rPr>
        <w:t>and electromagnetic performance.</w:t>
      </w:r>
    </w:p>
    <w:p w14:paraId="1639C661" w14:textId="6DFAB3D1" w:rsidR="00AA5BE9" w:rsidRDefault="0024120E" w:rsidP="00FA27FF">
      <w:pPr>
        <w:pStyle w:val="ESNormal"/>
        <w:jc w:val="both"/>
        <w:rPr>
          <w:bCs/>
        </w:rPr>
      </w:pPr>
      <w:r>
        <w:rPr>
          <w:b/>
          <w:bCs/>
        </w:rPr>
        <w:t>Paragraph 4.8 of Appendix A:</w:t>
      </w:r>
      <w:r w:rsidR="00CA7D56">
        <w:rPr>
          <w:b/>
          <w:bCs/>
        </w:rPr>
        <w:t xml:space="preserve"> </w:t>
      </w:r>
      <w:r w:rsidR="00CA7D56">
        <w:rPr>
          <w:bCs/>
        </w:rPr>
        <w:t>This paragraph</w:t>
      </w:r>
      <w:r w:rsidR="00151CA3">
        <w:rPr>
          <w:bCs/>
        </w:rPr>
        <w:t xml:space="preserve"> describes general provisions for test conditions and measurement methods for light sources. Annex 3 of Appendix A provides further information of the methods of measurements for photometric and colorimetric requirements</w:t>
      </w:r>
      <w:r w:rsidR="00AA5BE9">
        <w:rPr>
          <w:bCs/>
        </w:rPr>
        <w:t xml:space="preserve">. </w:t>
      </w:r>
      <w:r w:rsidR="00151CA3">
        <w:rPr>
          <w:bCs/>
        </w:rPr>
        <w:t>Requirements are also outlined</w:t>
      </w:r>
      <w:r w:rsidR="00CC1D98">
        <w:rPr>
          <w:bCs/>
        </w:rPr>
        <w:t xml:space="preserve"> with regards to the </w:t>
      </w:r>
      <w:r w:rsidR="00151CA3" w:rsidRPr="00151CA3">
        <w:rPr>
          <w:bCs/>
        </w:rPr>
        <w:t>testing</w:t>
      </w:r>
      <w:r w:rsidR="00CC1D98">
        <w:rPr>
          <w:bCs/>
        </w:rPr>
        <w:t xml:space="preserve"> of the operation of lamps and light sources and their l</w:t>
      </w:r>
      <w:r w:rsidR="00CC1D98" w:rsidRPr="00CC1D98">
        <w:rPr>
          <w:bCs/>
        </w:rPr>
        <w:t>uminous intensities</w:t>
      </w:r>
      <w:r w:rsidR="00CC1D98">
        <w:rPr>
          <w:bCs/>
        </w:rPr>
        <w:t>.</w:t>
      </w:r>
    </w:p>
    <w:p w14:paraId="097DDF28" w14:textId="1DBE6507" w:rsidR="007D3477" w:rsidRPr="00CA7D56" w:rsidRDefault="00AA5BE9" w:rsidP="00FA27FF">
      <w:pPr>
        <w:pStyle w:val="ESNormal"/>
        <w:jc w:val="both"/>
        <w:rPr>
          <w:bCs/>
        </w:rPr>
      </w:pPr>
      <w:r>
        <w:rPr>
          <w:bCs/>
        </w:rPr>
        <w:t>The intent of this paragraph</w:t>
      </w:r>
      <w:r w:rsidR="00CC1D98">
        <w:rPr>
          <w:bCs/>
        </w:rPr>
        <w:t xml:space="preserve"> is to specify testing and performance requirements for lamps and light sources</w:t>
      </w:r>
      <w:r>
        <w:rPr>
          <w:bCs/>
        </w:rPr>
        <w:t xml:space="preserve"> so</w:t>
      </w:r>
      <w:r w:rsidR="00CC1D98">
        <w:rPr>
          <w:bCs/>
        </w:rPr>
        <w:t xml:space="preserve"> ensure they</w:t>
      </w:r>
      <w:r w:rsidR="00EB7EBC">
        <w:rPr>
          <w:bCs/>
        </w:rPr>
        <w:t xml:space="preserve"> continue to</w:t>
      </w:r>
      <w:r w:rsidR="00CC1D98">
        <w:rPr>
          <w:bCs/>
        </w:rPr>
        <w:t xml:space="preserve"> perform as intended</w:t>
      </w:r>
      <w:r w:rsidR="00EB7EBC">
        <w:rPr>
          <w:bCs/>
        </w:rPr>
        <w:t>, including when replaced</w:t>
      </w:r>
      <w:r w:rsidR="00CC1D98">
        <w:rPr>
          <w:bCs/>
        </w:rPr>
        <w:t>.</w:t>
      </w:r>
      <w:r>
        <w:rPr>
          <w:bCs/>
        </w:rPr>
        <w:t xml:space="preserve"> </w:t>
      </w:r>
    </w:p>
    <w:p w14:paraId="4BA75176" w14:textId="0FE0B76E" w:rsidR="0024120E" w:rsidRDefault="0024120E" w:rsidP="00A73D4E">
      <w:pPr>
        <w:pStyle w:val="ESNormal"/>
        <w:jc w:val="both"/>
        <w:rPr>
          <w:bCs/>
        </w:rPr>
      </w:pPr>
      <w:r>
        <w:rPr>
          <w:b/>
          <w:bCs/>
        </w:rPr>
        <w:t xml:space="preserve">Paragraph 4.9 of Appendix A: </w:t>
      </w:r>
      <w:r w:rsidR="0087577B">
        <w:rPr>
          <w:bCs/>
        </w:rPr>
        <w:t xml:space="preserve">This paragraph </w:t>
      </w:r>
      <w:r w:rsidR="00A73D4E">
        <w:rPr>
          <w:bCs/>
        </w:rPr>
        <w:t>outlines</w:t>
      </w:r>
      <w:r w:rsidR="00EB5BAA">
        <w:rPr>
          <w:bCs/>
        </w:rPr>
        <w:t xml:space="preserve"> the </w:t>
      </w:r>
      <w:r w:rsidR="00462329">
        <w:rPr>
          <w:bCs/>
        </w:rPr>
        <w:t>method for measuring</w:t>
      </w:r>
      <w:r w:rsidR="00EB5BAA">
        <w:rPr>
          <w:bCs/>
        </w:rPr>
        <w:t xml:space="preserve"> colour </w:t>
      </w:r>
      <w:r w:rsidR="00462329">
        <w:rPr>
          <w:bCs/>
        </w:rPr>
        <w:t xml:space="preserve">in accordance with lamp function. Test details are specified in Annex 3. </w:t>
      </w:r>
    </w:p>
    <w:p w14:paraId="5FA48282" w14:textId="3EA9B049" w:rsidR="00A73D4E" w:rsidRPr="0087577B" w:rsidRDefault="00A73D4E" w:rsidP="00A73D4E">
      <w:pPr>
        <w:pStyle w:val="ESNormal"/>
        <w:jc w:val="both"/>
        <w:rPr>
          <w:bCs/>
        </w:rPr>
      </w:pPr>
      <w:r>
        <w:rPr>
          <w:bCs/>
        </w:rPr>
        <w:t>The intent of this paragraph is to ensure that the colour</w:t>
      </w:r>
      <w:r w:rsidR="00462329">
        <w:rPr>
          <w:bCs/>
        </w:rPr>
        <w:t xml:space="preserve"> of light emitted is </w:t>
      </w:r>
      <w:r>
        <w:rPr>
          <w:bCs/>
        </w:rPr>
        <w:t>uniform</w:t>
      </w:r>
      <w:r w:rsidR="00462329">
        <w:rPr>
          <w:bCs/>
        </w:rPr>
        <w:t>.</w:t>
      </w:r>
      <w:r>
        <w:rPr>
          <w:bCs/>
        </w:rPr>
        <w:t xml:space="preserve"> </w:t>
      </w:r>
    </w:p>
    <w:p w14:paraId="6FD65CF4" w14:textId="4732F8C1" w:rsidR="007D3477" w:rsidRPr="007D3477" w:rsidRDefault="007D3477" w:rsidP="00A73D4E">
      <w:pPr>
        <w:pStyle w:val="ESNormal"/>
        <w:jc w:val="both"/>
        <w:rPr>
          <w:bCs/>
        </w:rPr>
      </w:pPr>
      <w:r w:rsidRPr="007D3477">
        <w:rPr>
          <w:b/>
          <w:bCs/>
        </w:rPr>
        <w:t>Paragraph 5.1 of Appendix</w:t>
      </w:r>
      <w:r w:rsidRPr="007D3477">
        <w:rPr>
          <w:bCs/>
        </w:rPr>
        <w:t xml:space="preserve"> </w:t>
      </w:r>
      <w:r w:rsidRPr="007D3477">
        <w:rPr>
          <w:b/>
          <w:bCs/>
        </w:rPr>
        <w:t>A</w:t>
      </w:r>
      <w:r w:rsidRPr="007D3477">
        <w:rPr>
          <w:bCs/>
        </w:rPr>
        <w:t xml:space="preserve"> describes the luminous intensity, standard light distribution and colour requirements for front position lamps and front end-outline marker lamps. It details the minimum </w:t>
      </w:r>
      <w:bookmarkStart w:id="26" w:name="_Hlk198910325"/>
      <w:r w:rsidRPr="007D3477">
        <w:rPr>
          <w:bCs/>
        </w:rPr>
        <w:t xml:space="preserve">luminous intensity </w:t>
      </w:r>
      <w:bookmarkEnd w:id="26"/>
      <w:r w:rsidRPr="007D3477">
        <w:rPr>
          <w:bCs/>
        </w:rPr>
        <w:t xml:space="preserve">of the lamps at the angles of geometrical visibility as defined in Table A2-1 in Annex 2 of Appendix A. </w:t>
      </w:r>
    </w:p>
    <w:p w14:paraId="09FA1C8D" w14:textId="28AAC25E" w:rsidR="007D3477" w:rsidRPr="007D3477" w:rsidRDefault="007D3477" w:rsidP="00A73D4E">
      <w:pPr>
        <w:pStyle w:val="ESNormal"/>
        <w:jc w:val="both"/>
        <w:rPr>
          <w:bCs/>
        </w:rPr>
      </w:pPr>
      <w:r w:rsidRPr="007D3477">
        <w:rPr>
          <w:b/>
          <w:bCs/>
        </w:rPr>
        <w:t xml:space="preserve">Paragraph 5.2 of Appendix A </w:t>
      </w:r>
      <w:r w:rsidRPr="007D3477">
        <w:rPr>
          <w:bCs/>
        </w:rPr>
        <w:t xml:space="preserve">describes the luminous intensity, standard </w:t>
      </w:r>
      <w:r w:rsidR="00C50095" w:rsidRPr="007D3477">
        <w:rPr>
          <w:bCs/>
        </w:rPr>
        <w:t xml:space="preserve">light </w:t>
      </w:r>
      <w:r w:rsidR="00C50095">
        <w:rPr>
          <w:bCs/>
        </w:rPr>
        <w:t>distribution</w:t>
      </w:r>
      <w:r w:rsidRPr="007D3477">
        <w:rPr>
          <w:bCs/>
        </w:rPr>
        <w:t xml:space="preserve"> and colour requirements for </w:t>
      </w:r>
      <w:r w:rsidR="007D5F08">
        <w:rPr>
          <w:bCs/>
        </w:rPr>
        <w:t>rear</w:t>
      </w:r>
      <w:r w:rsidRPr="007D3477">
        <w:rPr>
          <w:bCs/>
        </w:rPr>
        <w:t xml:space="preserve"> position lamps and </w:t>
      </w:r>
      <w:r w:rsidR="007D5F08">
        <w:rPr>
          <w:bCs/>
        </w:rPr>
        <w:t>rear</w:t>
      </w:r>
      <w:r w:rsidRPr="007D3477">
        <w:rPr>
          <w:bCs/>
        </w:rPr>
        <w:t xml:space="preserve"> end-outline marker </w:t>
      </w:r>
      <w:r w:rsidRPr="005B2482">
        <w:rPr>
          <w:bCs/>
        </w:rPr>
        <w:t xml:space="preserve">lamps. </w:t>
      </w:r>
      <w:r w:rsidR="00064642" w:rsidRPr="005B2482">
        <w:rPr>
          <w:bCs/>
        </w:rPr>
        <w:t>This is to ensure</w:t>
      </w:r>
      <w:r w:rsidR="00064642" w:rsidRPr="005B2482">
        <w:t xml:space="preserve"> </w:t>
      </w:r>
      <w:r w:rsidR="00064642" w:rsidRPr="005B2482">
        <w:rPr>
          <w:bCs/>
        </w:rPr>
        <w:t>rear position lamps and rear end-outline marker lamps</w:t>
      </w:r>
      <w:r w:rsidR="008F524B" w:rsidRPr="005B2482">
        <w:rPr>
          <w:bCs/>
        </w:rPr>
        <w:t xml:space="preserve"> indicate the presence and width of the vehicle without interfering with the performance of other vehicle lamps.</w:t>
      </w:r>
      <w:r w:rsidR="00064642" w:rsidRPr="005B2482">
        <w:rPr>
          <w:bCs/>
        </w:rPr>
        <w:t xml:space="preserve"> </w:t>
      </w:r>
      <w:r w:rsidRPr="005B2482">
        <w:rPr>
          <w:bCs/>
        </w:rPr>
        <w:t>It</w:t>
      </w:r>
      <w:r w:rsidRPr="007D3477">
        <w:rPr>
          <w:bCs/>
        </w:rPr>
        <w:t xml:space="preserve"> also details the minimum luminous intensity of the devices at the angles of geometrical visibility as defined in Table A2-1 in Annex 2 of Appendix A.</w:t>
      </w:r>
    </w:p>
    <w:p w14:paraId="5B2601AC" w14:textId="77777777" w:rsidR="007D3477" w:rsidRPr="007D3477" w:rsidRDefault="007D3477" w:rsidP="00A73D4E">
      <w:pPr>
        <w:pStyle w:val="ESNormal"/>
        <w:jc w:val="both"/>
        <w:rPr>
          <w:bCs/>
        </w:rPr>
      </w:pPr>
      <w:r w:rsidRPr="007D3477">
        <w:rPr>
          <w:b/>
          <w:bCs/>
        </w:rPr>
        <w:t xml:space="preserve">Paragraph 5.3 of Appendix A </w:t>
      </w:r>
      <w:r w:rsidRPr="007D3477">
        <w:rPr>
          <w:bCs/>
        </w:rPr>
        <w:t>outlines the minimum and maximum luminous intensities and the standard light distribution requirements for parking lamps. It also details the minimum luminous intensities at the geometric angles of visibility requirements as defined in Table A2-1 in Annex 2 of Appendix A.</w:t>
      </w:r>
    </w:p>
    <w:p w14:paraId="5C1B0304" w14:textId="6CE349BF" w:rsidR="007D3477" w:rsidRPr="007D3477" w:rsidRDefault="000A3781" w:rsidP="00A73D4E">
      <w:pPr>
        <w:pStyle w:val="ESNormal"/>
        <w:jc w:val="both"/>
        <w:rPr>
          <w:bCs/>
        </w:rPr>
      </w:pPr>
      <w:r>
        <w:rPr>
          <w:bCs/>
        </w:rPr>
        <w:t>P</w:t>
      </w:r>
      <w:r w:rsidR="007D3477" w:rsidRPr="007D3477">
        <w:rPr>
          <w:bCs/>
        </w:rPr>
        <w:t>arking lamps</w:t>
      </w:r>
      <w:r>
        <w:rPr>
          <w:bCs/>
        </w:rPr>
        <w:t xml:space="preserve"> are required</w:t>
      </w:r>
      <w:r w:rsidR="007D3477" w:rsidRPr="007D3477">
        <w:rPr>
          <w:bCs/>
        </w:rPr>
        <w:t xml:space="preserve"> to meet thes</w:t>
      </w:r>
      <w:r>
        <w:rPr>
          <w:bCs/>
        </w:rPr>
        <w:t xml:space="preserve">e </w:t>
      </w:r>
      <w:r w:rsidR="007D3477" w:rsidRPr="007D3477">
        <w:rPr>
          <w:bCs/>
        </w:rPr>
        <w:t>regulation</w:t>
      </w:r>
      <w:r>
        <w:rPr>
          <w:bCs/>
        </w:rPr>
        <w:t xml:space="preserve">s </w:t>
      </w:r>
      <w:r w:rsidR="007D3477" w:rsidRPr="007D3477">
        <w:rPr>
          <w:bCs/>
        </w:rPr>
        <w:t xml:space="preserve">to ensure that these lamps are effective in drawing attention to the presence of a stationary vehicle. </w:t>
      </w:r>
    </w:p>
    <w:p w14:paraId="791650A0" w14:textId="77777777" w:rsidR="006F5BA7" w:rsidRDefault="007D3477" w:rsidP="00A73D4E">
      <w:pPr>
        <w:pStyle w:val="ESNormal"/>
        <w:jc w:val="both"/>
        <w:rPr>
          <w:bCs/>
        </w:rPr>
      </w:pPr>
      <w:r w:rsidRPr="007D3477">
        <w:rPr>
          <w:b/>
          <w:bCs/>
        </w:rPr>
        <w:t>Paragraph 5.4 of Appendix A</w:t>
      </w:r>
      <w:r w:rsidRPr="007D3477">
        <w:rPr>
          <w:bCs/>
        </w:rPr>
        <w:t xml:space="preserve"> outlines minimum and maximum luminous intensities and standard light distribution requirements for daytime running lamps. It also details minimum luminous intensities at the geometric angles of visibility requirements as defined in Table A2-3 in Annex 2 of Appendix A. </w:t>
      </w:r>
    </w:p>
    <w:p w14:paraId="134FA100" w14:textId="23F13F4E" w:rsidR="007D3477" w:rsidRPr="007D3477" w:rsidRDefault="007D3477" w:rsidP="00A73D4E">
      <w:pPr>
        <w:pStyle w:val="ESNormal"/>
        <w:jc w:val="both"/>
        <w:rPr>
          <w:bCs/>
        </w:rPr>
      </w:pPr>
      <w:r w:rsidRPr="007D3477">
        <w:rPr>
          <w:bCs/>
        </w:rPr>
        <w:lastRenderedPageBreak/>
        <w:t>These requirements ensure the photometric performance of the daytime running lamps allows them to be distinguishable from parking and headlamps. This ensures that these lamps are effective at making vehicles more visible during the day, especially in poor weather conditions, without causing glare or distraction.</w:t>
      </w:r>
    </w:p>
    <w:p w14:paraId="70E029BB" w14:textId="77777777" w:rsidR="007D3477" w:rsidRPr="007D3477" w:rsidRDefault="007D3477" w:rsidP="00A73D4E">
      <w:pPr>
        <w:pStyle w:val="ESNormal"/>
        <w:jc w:val="both"/>
        <w:rPr>
          <w:bCs/>
        </w:rPr>
      </w:pPr>
      <w:r w:rsidRPr="007D3477">
        <w:rPr>
          <w:b/>
          <w:bCs/>
        </w:rPr>
        <w:t>Paragraph 5.5 of Appendix</w:t>
      </w:r>
      <w:r w:rsidRPr="007D3477">
        <w:rPr>
          <w:bCs/>
        </w:rPr>
        <w:t xml:space="preserve"> </w:t>
      </w:r>
      <w:r w:rsidRPr="007D3477">
        <w:rPr>
          <w:b/>
          <w:bCs/>
        </w:rPr>
        <w:t>A</w:t>
      </w:r>
      <w:r w:rsidRPr="007D3477">
        <w:rPr>
          <w:bCs/>
        </w:rPr>
        <w:t xml:space="preserve"> sets out minimum and maximum luminous intensities and light distribution requirements for stop lamps. It also details the minimum luminous intensities of the lamps at the angles of visibility as defined in Table A2-1 in Annex 2 of Appendix A, to ensure they are brighter than the rear position lamps and are effective at indicating when vehicle brakes are being applied and the vehicle is slowing down or coming to a stop.</w:t>
      </w:r>
    </w:p>
    <w:p w14:paraId="62ADD5A1" w14:textId="687430B6" w:rsidR="007D3477" w:rsidRPr="007D3477" w:rsidRDefault="007D3477" w:rsidP="00A73D4E">
      <w:pPr>
        <w:pStyle w:val="ESNormal"/>
        <w:jc w:val="both"/>
        <w:rPr>
          <w:bCs/>
        </w:rPr>
      </w:pPr>
      <w:r w:rsidRPr="007D3477">
        <w:rPr>
          <w:b/>
          <w:bCs/>
        </w:rPr>
        <w:t>Paragraph 5.6 of Appendix A</w:t>
      </w:r>
      <w:r w:rsidRPr="007D3477">
        <w:rPr>
          <w:bCs/>
        </w:rPr>
        <w:t xml:space="preserve"> details the minimum and maximum luminous intensities and standard light distribution requirements for the different categories of indicator lamps to ensure that these devices are effective in indicating the direction in which the vehicle is proceeding. Clause 5.6.4 of Appendix A describes the requirements for the measurement of luminous intensity. In general, the intensity of the lamps shall be measured with the light source continuously lit</w:t>
      </w:r>
      <w:r w:rsidR="000B25A5">
        <w:rPr>
          <w:bCs/>
        </w:rPr>
        <w:t>. Ho</w:t>
      </w:r>
      <w:r w:rsidRPr="007D3477">
        <w:rPr>
          <w:bCs/>
        </w:rPr>
        <w:t>wever</w:t>
      </w:r>
      <w:r w:rsidR="000B25A5">
        <w:rPr>
          <w:bCs/>
        </w:rPr>
        <w:t>,</w:t>
      </w:r>
      <w:r w:rsidRPr="007D3477">
        <w:rPr>
          <w:bCs/>
        </w:rPr>
        <w:t xml:space="preserve"> depending on the lamp construction, such as light-emitting diodes (LED), it is permitted to measure the intensity of the lamps in flashing mode. If measurements are taken in flashing mode the reported brightness shall be represented by the maximum luminous intensity.</w:t>
      </w:r>
    </w:p>
    <w:p w14:paraId="41E97481" w14:textId="77777777" w:rsidR="007D3477" w:rsidRPr="007D3477" w:rsidRDefault="007D3477" w:rsidP="00A73D4E">
      <w:pPr>
        <w:pStyle w:val="ESNormal"/>
        <w:jc w:val="both"/>
        <w:rPr>
          <w:bCs/>
        </w:rPr>
      </w:pPr>
      <w:r w:rsidRPr="001623D9">
        <w:rPr>
          <w:b/>
          <w:bCs/>
        </w:rPr>
        <w:t>Tables A2-1 and A2-2 in Annex 2 of Appendix A</w:t>
      </w:r>
      <w:r w:rsidRPr="007D3477">
        <w:rPr>
          <w:bCs/>
        </w:rPr>
        <w:t xml:space="preserve"> detail the angle of visibility requirements, to ensure the direction indicator lamps are not obstructed and are visible to other drivers and road users.</w:t>
      </w:r>
    </w:p>
    <w:p w14:paraId="34274BBC" w14:textId="77777777" w:rsidR="007D3477" w:rsidRPr="007D3477" w:rsidRDefault="007D3477" w:rsidP="00A73D4E">
      <w:pPr>
        <w:pStyle w:val="ESNormal"/>
        <w:jc w:val="both"/>
        <w:rPr>
          <w:bCs/>
          <w:lang w:val="en-GB"/>
        </w:rPr>
      </w:pPr>
      <w:r w:rsidRPr="007D3477">
        <w:rPr>
          <w:bCs/>
        </w:rPr>
        <w:t xml:space="preserve">A direction indicator lamp fitted to a vehicle must flash at a minimum of 60 times per minute to a maximum of 120 times per minute. </w:t>
      </w:r>
      <w:r w:rsidRPr="007D3477">
        <w:rPr>
          <w:bCs/>
          <w:lang w:val="en-GB"/>
        </w:rPr>
        <w:t>The flash of direction indicator lamps may be produced by sequential activation of their light sources if the following conditions are met. Each light source, after its activation must remain lit until the end of the ON cycle and the sequence of activation of the light produces a signal with no interruption and only one direction change. The light activation must proceed from inboard towards the outboard edge of the light emitting surface, with the variation finishing no more than 200ms after the beginning of the ON cycle.</w:t>
      </w:r>
    </w:p>
    <w:p w14:paraId="62914117" w14:textId="1C50471B" w:rsidR="007D3477" w:rsidRPr="007D3477" w:rsidRDefault="007D3477" w:rsidP="00A73D4E">
      <w:pPr>
        <w:pStyle w:val="ESNormal"/>
        <w:jc w:val="both"/>
        <w:rPr>
          <w:bCs/>
        </w:rPr>
      </w:pPr>
      <w:r w:rsidRPr="007D3477">
        <w:rPr>
          <w:b/>
          <w:bCs/>
        </w:rPr>
        <w:t>Paragraph 5.7 of Appendix A</w:t>
      </w:r>
      <w:r w:rsidRPr="007D3477">
        <w:rPr>
          <w:bCs/>
        </w:rPr>
        <w:t xml:space="preserve"> </w:t>
      </w:r>
      <w:bookmarkStart w:id="27" w:name="_Hlk198912540"/>
      <w:r w:rsidRPr="007D3477">
        <w:rPr>
          <w:bCs/>
        </w:rPr>
        <w:t xml:space="preserve">outlines the minimum and maximum luminous intensities, and standard light distribution requirements for </w:t>
      </w:r>
      <w:bookmarkEnd w:id="27"/>
      <w:r w:rsidRPr="007D3477">
        <w:rPr>
          <w:bCs/>
        </w:rPr>
        <w:t xml:space="preserve">side marker lamps. It also details the minimum luminous intensities for the geometric angles of visibility defined in Table A2-3 in Annex 2 of Appendix A. </w:t>
      </w:r>
    </w:p>
    <w:p w14:paraId="797AE85E" w14:textId="77777777" w:rsidR="007D3477" w:rsidRPr="007D3477" w:rsidRDefault="007D3477" w:rsidP="00A73D4E">
      <w:pPr>
        <w:pStyle w:val="ESNormal"/>
        <w:jc w:val="both"/>
        <w:rPr>
          <w:bCs/>
        </w:rPr>
      </w:pPr>
      <w:r w:rsidRPr="007D3477">
        <w:rPr>
          <w:bCs/>
        </w:rPr>
        <w:t xml:space="preserve">These technical requirements ensure these devices operate as intended to effectively identify the presence and length of vehicles. </w:t>
      </w:r>
    </w:p>
    <w:p w14:paraId="7B315641" w14:textId="77777777" w:rsidR="007D3477" w:rsidRPr="007D3477" w:rsidRDefault="007D3477" w:rsidP="00A73D4E">
      <w:pPr>
        <w:pStyle w:val="ESNormal"/>
        <w:jc w:val="both"/>
        <w:rPr>
          <w:bCs/>
        </w:rPr>
      </w:pPr>
      <w:r w:rsidRPr="007D3477">
        <w:rPr>
          <w:b/>
          <w:bCs/>
        </w:rPr>
        <w:t>Paragraph 5.8 of Appendix A</w:t>
      </w:r>
      <w:r w:rsidRPr="007D3477">
        <w:rPr>
          <w:bCs/>
        </w:rPr>
        <w:t xml:space="preserve"> details the minimum and maximum luminous intensities for reversing lamps. Table A3-V in Annex 3 of Appendix A details the standard light distribution requirements for reversing lamps. There are no geometric visibility requirements detailed for reversing lamps.</w:t>
      </w:r>
    </w:p>
    <w:p w14:paraId="2EC70269" w14:textId="46E81E6D" w:rsidR="007D3477" w:rsidRPr="007D3477" w:rsidRDefault="008C21D1" w:rsidP="00A73D4E">
      <w:pPr>
        <w:pStyle w:val="ESNormal"/>
        <w:jc w:val="both"/>
        <w:rPr>
          <w:bCs/>
        </w:rPr>
      </w:pPr>
      <w:r>
        <w:rPr>
          <w:bCs/>
        </w:rPr>
        <w:lastRenderedPageBreak/>
        <w:t>R</w:t>
      </w:r>
      <w:r w:rsidR="007D3477" w:rsidRPr="007D3477">
        <w:rPr>
          <w:bCs/>
        </w:rPr>
        <w:t>eversing lamps</w:t>
      </w:r>
      <w:r>
        <w:rPr>
          <w:bCs/>
        </w:rPr>
        <w:t xml:space="preserve"> are required</w:t>
      </w:r>
      <w:r w:rsidR="007D3477" w:rsidRPr="007D3477">
        <w:rPr>
          <w:bCs/>
        </w:rPr>
        <w:t xml:space="preserve"> to meet</w:t>
      </w:r>
      <w:r>
        <w:rPr>
          <w:bCs/>
        </w:rPr>
        <w:t xml:space="preserve"> </w:t>
      </w:r>
      <w:r w:rsidR="007D3477" w:rsidRPr="007D3477">
        <w:rPr>
          <w:bCs/>
        </w:rPr>
        <w:t>the regulation</w:t>
      </w:r>
      <w:r>
        <w:rPr>
          <w:bCs/>
        </w:rPr>
        <w:t xml:space="preserve"> </w:t>
      </w:r>
      <w:r w:rsidR="007D3477" w:rsidRPr="007D3477">
        <w:rPr>
          <w:bCs/>
        </w:rPr>
        <w:t>to ensure that these devices are effective at signalling the intended direction of travel to other drivers and road users when the vehicle is reversing</w:t>
      </w:r>
      <w:r>
        <w:rPr>
          <w:bCs/>
        </w:rPr>
        <w:t>,</w:t>
      </w:r>
      <w:r w:rsidR="007D3477" w:rsidRPr="007D3477">
        <w:rPr>
          <w:bCs/>
        </w:rPr>
        <w:t xml:space="preserve"> as well as illuminating the road to the rear of the vehicle.</w:t>
      </w:r>
    </w:p>
    <w:p w14:paraId="23B4474B" w14:textId="04DB3DFC" w:rsidR="007D3477" w:rsidRPr="007D3477" w:rsidRDefault="007D3477" w:rsidP="00A73D4E">
      <w:pPr>
        <w:pStyle w:val="ESNormal"/>
        <w:jc w:val="both"/>
        <w:rPr>
          <w:bCs/>
        </w:rPr>
      </w:pPr>
      <w:r w:rsidRPr="007D3477">
        <w:rPr>
          <w:b/>
          <w:bCs/>
        </w:rPr>
        <w:t>Paragraph 5.9 of Appendix A</w:t>
      </w:r>
      <w:r w:rsidRPr="007D3477">
        <w:rPr>
          <w:bCs/>
        </w:rPr>
        <w:t xml:space="preserve"> outlines the minimum and maximum luminous intensities of the devices and standard light distribution requirements for rear fog lamps. By requiring rear fog lamps to meet these </w:t>
      </w:r>
      <w:r w:rsidR="0059716A">
        <w:rPr>
          <w:bCs/>
        </w:rPr>
        <w:t>requirements</w:t>
      </w:r>
      <w:r w:rsidRPr="007D3477">
        <w:rPr>
          <w:bCs/>
        </w:rPr>
        <w:t>, the regulation helps to ensure that these devices emit a red signal of greater intensity than the rear position (side) lamps and are effective at making a vehicle more visible from the rear in conditions of reduced visibility.</w:t>
      </w:r>
    </w:p>
    <w:p w14:paraId="561FD738" w14:textId="276A15A3" w:rsidR="007D3477" w:rsidRPr="007D3477" w:rsidRDefault="007D3477" w:rsidP="00A73D4E">
      <w:pPr>
        <w:pStyle w:val="ESNormal"/>
        <w:jc w:val="both"/>
        <w:rPr>
          <w:bCs/>
        </w:rPr>
      </w:pPr>
      <w:r w:rsidRPr="007D3477">
        <w:rPr>
          <w:b/>
          <w:bCs/>
        </w:rPr>
        <w:t>Paragraph 5.10 of Appendix A</w:t>
      </w:r>
      <w:r w:rsidRPr="007D3477">
        <w:rPr>
          <w:bCs/>
        </w:rPr>
        <w:t xml:space="preserve"> outlines the maximum luminous intensities, standard </w:t>
      </w:r>
      <w:r w:rsidRPr="005B2482">
        <w:rPr>
          <w:bCs/>
        </w:rPr>
        <w:t>light distribution and colour requirements for manoeuvring lamps.</w:t>
      </w:r>
      <w:r w:rsidR="00B35BDA" w:rsidRPr="005B2482">
        <w:rPr>
          <w:bCs/>
        </w:rPr>
        <w:t xml:space="preserve"> This is to ensure the light</w:t>
      </w:r>
      <w:r w:rsidR="003A6749" w:rsidRPr="005B2482">
        <w:rPr>
          <w:bCs/>
        </w:rPr>
        <w:t xml:space="preserve"> emitted by manoeuvring lamps </w:t>
      </w:r>
      <w:r w:rsidR="00B35BDA" w:rsidRPr="005B2482">
        <w:rPr>
          <w:bCs/>
        </w:rPr>
        <w:t>is sufficient</w:t>
      </w:r>
      <w:r w:rsidR="003A6749" w:rsidRPr="005B2482">
        <w:rPr>
          <w:bCs/>
        </w:rPr>
        <w:t xml:space="preserve"> to </w:t>
      </w:r>
      <w:r w:rsidR="00B35BDA" w:rsidRPr="005B2482">
        <w:rPr>
          <w:bCs/>
        </w:rPr>
        <w:t>assist</w:t>
      </w:r>
      <w:r w:rsidR="003A6749" w:rsidRPr="005B2482">
        <w:rPr>
          <w:bCs/>
        </w:rPr>
        <w:t xml:space="preserve"> the driver</w:t>
      </w:r>
      <w:r w:rsidR="00B35BDA" w:rsidRPr="005B2482">
        <w:rPr>
          <w:bCs/>
        </w:rPr>
        <w:t xml:space="preserve"> during slow manoeuvres</w:t>
      </w:r>
      <w:r w:rsidR="003A6749" w:rsidRPr="005B2482">
        <w:rPr>
          <w:bCs/>
        </w:rPr>
        <w:t xml:space="preserve"> without</w:t>
      </w:r>
      <w:r w:rsidR="00553CF3" w:rsidRPr="005B2482">
        <w:rPr>
          <w:bCs/>
        </w:rPr>
        <w:t xml:space="preserve"> being excessive.</w:t>
      </w:r>
    </w:p>
    <w:p w14:paraId="1E906A6B" w14:textId="1C324A25" w:rsidR="007D3477" w:rsidRPr="007D3477" w:rsidRDefault="007D3477" w:rsidP="00A73D4E">
      <w:pPr>
        <w:pStyle w:val="ESNormal"/>
        <w:jc w:val="both"/>
        <w:rPr>
          <w:bCs/>
        </w:rPr>
      </w:pPr>
      <w:r w:rsidRPr="007D3477">
        <w:rPr>
          <w:b/>
          <w:bCs/>
        </w:rPr>
        <w:t xml:space="preserve">Paragraph 5.11 of Appendix A </w:t>
      </w:r>
      <w:r w:rsidRPr="007D3477">
        <w:rPr>
          <w:bCs/>
        </w:rPr>
        <w:t>outlines the photometric characteristics of rear registration plate illuminating lamps and details the minimum dimensions of the areas required to be illuminated</w:t>
      </w:r>
      <w:r w:rsidR="0039788C">
        <w:rPr>
          <w:bCs/>
        </w:rPr>
        <w:t>.</w:t>
      </w:r>
    </w:p>
    <w:p w14:paraId="2445EBE9" w14:textId="1D67BD12" w:rsidR="007C3352" w:rsidRPr="00243A0C" w:rsidRDefault="007D3477" w:rsidP="00A73D4E">
      <w:pPr>
        <w:pStyle w:val="ESNormal"/>
        <w:jc w:val="both"/>
        <w:rPr>
          <w:bCs/>
        </w:rPr>
      </w:pPr>
      <w:r w:rsidRPr="001623D9">
        <w:rPr>
          <w:b/>
          <w:bCs/>
          <w:lang w:val="en-GB"/>
        </w:rPr>
        <w:t>Part D of Annex 2</w:t>
      </w:r>
      <w:r w:rsidRPr="007D3477">
        <w:rPr>
          <w:bCs/>
          <w:lang w:val="en-GB"/>
        </w:rPr>
        <w:t xml:space="preserve"> outlines the area of visibility requirements for the surface of the rear plate that the rear registration plate lamp must illuminate. It also specifies the minimum </w:t>
      </w:r>
      <w:r w:rsidRPr="007D3477">
        <w:rPr>
          <w:bCs/>
        </w:rPr>
        <w:t>luminous intensity</w:t>
      </w:r>
      <w:r w:rsidRPr="007D3477">
        <w:rPr>
          <w:bCs/>
          <w:lang w:val="en-GB"/>
        </w:rPr>
        <w:t xml:space="preserve"> of the lamp to be measured at identified points, to ensure </w:t>
      </w:r>
      <w:r w:rsidRPr="007D3477">
        <w:rPr>
          <w:bCs/>
        </w:rPr>
        <w:t>that these devices are effective at illuminating rear registration plates</w:t>
      </w:r>
      <w:r w:rsidR="001508C9">
        <w:rPr>
          <w:bCs/>
        </w:rPr>
        <w:t xml:space="preserve">. </w:t>
      </w:r>
      <w:r w:rsidRPr="007D3477">
        <w:rPr>
          <w:bCs/>
        </w:rPr>
        <w:t>These requirements also ensure that the light does not interfere with the function and performance of other rear lighting devices.</w:t>
      </w:r>
    </w:p>
    <w:p w14:paraId="27E3F76E" w14:textId="08C510AF" w:rsidR="00BA4F48" w:rsidRPr="008D244E" w:rsidRDefault="00610FED" w:rsidP="00013A0E">
      <w:pPr>
        <w:pStyle w:val="HeadingLevel1"/>
        <w:jc w:val="both"/>
      </w:pPr>
      <w:bookmarkStart w:id="28" w:name="_Toc504999786"/>
      <w:bookmarkStart w:id="29" w:name="_Toc504999787"/>
      <w:bookmarkStart w:id="30" w:name="_Toc504999788"/>
      <w:bookmarkStart w:id="31" w:name="_Toc173503358"/>
      <w:bookmarkEnd w:id="15"/>
      <w:bookmarkEnd w:id="28"/>
      <w:bookmarkEnd w:id="29"/>
      <w:bookmarkEnd w:id="30"/>
      <w:r w:rsidRPr="008D244E">
        <w:t>MATTERS INCORPORATED BY REFERENCE</w:t>
      </w:r>
      <w:bookmarkEnd w:id="31"/>
    </w:p>
    <w:p w14:paraId="6F97F752" w14:textId="2413371F" w:rsidR="00BA4F48" w:rsidRPr="008D244E" w:rsidRDefault="00610FED" w:rsidP="00013A0E">
      <w:pPr>
        <w:pStyle w:val="HeadingLevel2"/>
        <w:ind w:left="851"/>
        <w:jc w:val="both"/>
      </w:pPr>
      <w:bookmarkStart w:id="32" w:name="_Toc173503359"/>
      <w:r w:rsidRPr="008D244E">
        <w:t xml:space="preserve">Legislative </w:t>
      </w:r>
      <w:r w:rsidRPr="007A7522">
        <w:t>Instruments</w:t>
      </w:r>
      <w:bookmarkEnd w:id="32"/>
    </w:p>
    <w:p w14:paraId="33A0B56C" w14:textId="77777777" w:rsidR="00EE70EB" w:rsidRPr="00EE70EB" w:rsidRDefault="00EE70EB" w:rsidP="00013A0E">
      <w:pPr>
        <w:jc w:val="both"/>
      </w:pPr>
      <w:r w:rsidRPr="00695FCB">
        <w:t>Clause 4.1.1</w:t>
      </w:r>
      <w:r w:rsidRPr="00EE70EB">
        <w:t xml:space="preserve"> includes a reference to the Vehicle Standard (Australian Design Rule Definitions and Vehicle Categories) 2005, which may also be cited as the Australian Design Rule – Definitions and Vehicle Categories. This sets out common definitions for many terms used in the ADRs, including the vehicle categories used in ADR applicability tables.</w:t>
      </w:r>
    </w:p>
    <w:p w14:paraId="375CD251" w14:textId="77777777" w:rsidR="00EE70EB" w:rsidRPr="00EE70EB" w:rsidRDefault="00EE70EB" w:rsidP="00013A0E">
      <w:pPr>
        <w:jc w:val="both"/>
      </w:pPr>
      <w:r w:rsidRPr="00EE70EB">
        <w:t>In accordance with paragraph 12(2)(b) of the RVSA, this ADR is incorporated as in force or existing from time to time.</w:t>
      </w:r>
    </w:p>
    <w:p w14:paraId="314B4B63" w14:textId="109016A4" w:rsidR="00610FED" w:rsidRPr="008D244E" w:rsidRDefault="00610FED" w:rsidP="00013A0E">
      <w:pPr>
        <w:jc w:val="both"/>
      </w:pPr>
      <w:r w:rsidRPr="00694332">
        <w:t xml:space="preserve">The ADRs may be freely accessed online through the Federal Register of Legislation.  The website is </w:t>
      </w:r>
      <w:r w:rsidRPr="00694332">
        <w:rPr>
          <w:u w:val="single"/>
        </w:rPr>
        <w:t>www.legislation.gov.au</w:t>
      </w:r>
      <w:r w:rsidRPr="00694332">
        <w:t>.</w:t>
      </w:r>
    </w:p>
    <w:p w14:paraId="06AF4988" w14:textId="3794F481" w:rsidR="00610FED" w:rsidRPr="008D244E" w:rsidRDefault="00610FED" w:rsidP="00013A0E">
      <w:pPr>
        <w:pStyle w:val="HeadingLevel2"/>
        <w:ind w:left="851"/>
        <w:jc w:val="both"/>
      </w:pPr>
      <w:bookmarkStart w:id="33" w:name="_Toc173503360"/>
      <w:bookmarkStart w:id="34" w:name="_Toc74044073"/>
      <w:bookmarkStart w:id="35" w:name="_Toc74044722"/>
      <w:bookmarkStart w:id="36" w:name="_Toc173503361"/>
      <w:bookmarkEnd w:id="33"/>
      <w:r w:rsidRPr="008D244E">
        <w:t>Other Documents</w:t>
      </w:r>
      <w:bookmarkEnd w:id="34"/>
      <w:bookmarkEnd w:id="35"/>
      <w:bookmarkEnd w:id="36"/>
    </w:p>
    <w:p w14:paraId="7A31B186" w14:textId="51D80B71" w:rsidR="0033629A" w:rsidRPr="008D244E" w:rsidRDefault="0033629A" w:rsidP="00013A0E">
      <w:pPr>
        <w:pStyle w:val="Heading3"/>
        <w:jc w:val="both"/>
      </w:pPr>
      <w:r w:rsidRPr="008D244E">
        <w:t xml:space="preserve">International </w:t>
      </w:r>
      <w:r w:rsidR="005D444C">
        <w:t>Electr</w:t>
      </w:r>
      <w:r w:rsidR="008905D0">
        <w:t>o</w:t>
      </w:r>
      <w:r w:rsidR="005D444C">
        <w:t xml:space="preserve">technical </w:t>
      </w:r>
      <w:r w:rsidR="00493DD4">
        <w:t>C</w:t>
      </w:r>
      <w:r w:rsidR="005D444C">
        <w:t>ommission</w:t>
      </w:r>
    </w:p>
    <w:p w14:paraId="25C1E3F7" w14:textId="10908427" w:rsidR="000F36B1" w:rsidRPr="008D244E" w:rsidRDefault="00621911" w:rsidP="00013A0E">
      <w:pPr>
        <w:jc w:val="both"/>
      </w:pPr>
      <w:r w:rsidRPr="002A3CBD">
        <w:t xml:space="preserve">Paragraph </w:t>
      </w:r>
      <w:r w:rsidR="005D444C" w:rsidRPr="002A3CBD">
        <w:t>4.7.2.2. (b)</w:t>
      </w:r>
      <w:r w:rsidRPr="002A3CBD">
        <w:t xml:space="preserve"> of </w:t>
      </w:r>
      <w:r w:rsidR="003326A0" w:rsidRPr="002A3CBD">
        <w:t>A</w:t>
      </w:r>
      <w:r w:rsidRPr="002A3CBD">
        <w:t xml:space="preserve">ppendix A </w:t>
      </w:r>
      <w:r w:rsidR="006152E5" w:rsidRPr="002A3CBD">
        <w:t>reference</w:t>
      </w:r>
      <w:r w:rsidR="005D444C" w:rsidRPr="002A3CBD">
        <w:t>s</w:t>
      </w:r>
      <w:r w:rsidR="006152E5" w:rsidRPr="008D244E">
        <w:t xml:space="preserve"> to </w:t>
      </w:r>
      <w:r w:rsidR="0098616B" w:rsidRPr="008D244E">
        <w:t>I</w:t>
      </w:r>
      <w:r w:rsidR="005D444C">
        <w:t>EC</w:t>
      </w:r>
      <w:r w:rsidR="00134DC4">
        <w:t xml:space="preserve"> </w:t>
      </w:r>
      <w:r w:rsidR="005D444C">
        <w:t>Publication 60061</w:t>
      </w:r>
      <w:r>
        <w:t xml:space="preserve"> – </w:t>
      </w:r>
      <w:r w:rsidR="005D444C">
        <w:t>Lamp caps and holders</w:t>
      </w:r>
      <w:r w:rsidR="002D0B9E">
        <w:t xml:space="preserve"> together with gauges for the control of interchangeability and safety.</w:t>
      </w:r>
      <w:r>
        <w:t xml:space="preserve"> </w:t>
      </w:r>
    </w:p>
    <w:p w14:paraId="58E24678" w14:textId="7DB223BC" w:rsidR="00387982" w:rsidRPr="00387982" w:rsidRDefault="00387982" w:rsidP="00387982">
      <w:pPr>
        <w:jc w:val="both"/>
        <w:rPr>
          <w:b/>
        </w:rPr>
      </w:pPr>
      <w:r w:rsidRPr="00387982">
        <w:t xml:space="preserve">In accordance with subsections 14(1)(b) and 14(2) of the </w:t>
      </w:r>
      <w:r w:rsidRPr="00387982">
        <w:rPr>
          <w:i/>
        </w:rPr>
        <w:t>Legislation Act 2003</w:t>
      </w:r>
      <w:r w:rsidRPr="00387982">
        <w:t xml:space="preserve">, </w:t>
      </w:r>
      <w:r w:rsidR="0083794A">
        <w:t>this</w:t>
      </w:r>
      <w:r w:rsidRPr="00387982">
        <w:t xml:space="preserve"> IEC standard</w:t>
      </w:r>
      <w:r w:rsidR="0083794A">
        <w:t xml:space="preserve"> is</w:t>
      </w:r>
      <w:r w:rsidRPr="00387982">
        <w:t xml:space="preserve"> incorporated as in force on the date this national road vehicle standard is made.</w:t>
      </w:r>
    </w:p>
    <w:p w14:paraId="2DD579E7" w14:textId="6B485565" w:rsidR="00FC78FE" w:rsidRPr="00FC78FE" w:rsidRDefault="005D444C" w:rsidP="00FC78FE">
      <w:pPr>
        <w:jc w:val="both"/>
      </w:pPr>
      <w:r>
        <w:lastRenderedPageBreak/>
        <w:t>IEC</w:t>
      </w:r>
      <w:r w:rsidR="00134DC4">
        <w:t xml:space="preserve"> standards</w:t>
      </w:r>
      <w:r w:rsidR="0098616B" w:rsidRPr="008D244E">
        <w:t xml:space="preserve"> </w:t>
      </w:r>
      <w:r w:rsidR="000F36B1" w:rsidRPr="008D244E">
        <w:t xml:space="preserve">are available for purchase only </w:t>
      </w:r>
      <w:r>
        <w:t>through</w:t>
      </w:r>
      <w:r w:rsidR="000F36B1" w:rsidRPr="008D244E">
        <w:t xml:space="preserve"> </w:t>
      </w:r>
      <w:r w:rsidR="0098616B" w:rsidRPr="008D244E">
        <w:t xml:space="preserve">the International </w:t>
      </w:r>
      <w:r>
        <w:t xml:space="preserve">Electrotechnical </w:t>
      </w:r>
      <w:r w:rsidR="005D2F63">
        <w:t>C</w:t>
      </w:r>
      <w:r>
        <w:t>ommission</w:t>
      </w:r>
      <w:r w:rsidR="00013AFD">
        <w:t xml:space="preserve"> at </w:t>
      </w:r>
      <w:hyperlink r:id="rId13" w:history="1">
        <w:r w:rsidR="00013AFD" w:rsidRPr="00013AFD">
          <w:rPr>
            <w:rStyle w:val="Hyperlink"/>
          </w:rPr>
          <w:t>https://webstore.iec.ch/en/publication/474</w:t>
        </w:r>
      </w:hyperlink>
      <w:r w:rsidR="000F36B1" w:rsidRPr="008D244E">
        <w:t>. While not freely available, these I</w:t>
      </w:r>
      <w:r>
        <w:t>EC</w:t>
      </w:r>
      <w:r w:rsidR="000F36B1" w:rsidRPr="008D244E">
        <w:t xml:space="preserve"> standards are all readily accessible and widely used</w:t>
      </w:r>
      <w:r w:rsidR="0098616B" w:rsidRPr="008D244E">
        <w:t xml:space="preserve"> by vehicle manufacturers and test facilities as part o</w:t>
      </w:r>
      <w:r w:rsidR="007B4F0E">
        <w:t>f their professional libraries.</w:t>
      </w:r>
      <w:r w:rsidR="00FC78FE">
        <w:t xml:space="preserve"> </w:t>
      </w:r>
      <w:r w:rsidR="00FC78FE" w:rsidRPr="000E7FAB">
        <w:t xml:space="preserve">Subject to copyright conditions, people may view a copy of </w:t>
      </w:r>
      <w:r w:rsidR="00FC78FE" w:rsidRPr="008D244E">
        <w:t>I</w:t>
      </w:r>
      <w:r w:rsidR="00FC78FE">
        <w:t xml:space="preserve">EC Publication 60061 – Lamp caps and holders together with gauges for the control of interchangeability and safety </w:t>
      </w:r>
      <w:r w:rsidR="00FC78FE" w:rsidRPr="000E7FAB">
        <w:t>at the Offices of the Department of Infrastructure, Transport, Regional Development, Communications</w:t>
      </w:r>
      <w:r w:rsidR="00FC78FE">
        <w:t>, Sport</w:t>
      </w:r>
      <w:r w:rsidR="00FC78FE" w:rsidRPr="000E7FAB">
        <w:t xml:space="preserve"> and the Arts in Canberra.</w:t>
      </w:r>
      <w:r w:rsidR="00FC78FE" w:rsidRPr="00782270">
        <w:t xml:space="preserve"> </w:t>
      </w:r>
    </w:p>
    <w:p w14:paraId="266C8AF6" w14:textId="77777777" w:rsidR="003907D1" w:rsidRDefault="003907D1" w:rsidP="003907D1">
      <w:r>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61F180FA" w14:textId="782BE74B" w:rsidR="00610FED" w:rsidRPr="008D244E" w:rsidRDefault="00610FED" w:rsidP="00013A0E">
      <w:pPr>
        <w:pStyle w:val="Heading3"/>
        <w:jc w:val="both"/>
      </w:pPr>
      <w:r w:rsidRPr="008D244E">
        <w:t>United Nations Regulations</w:t>
      </w:r>
      <w:r w:rsidR="005B6759" w:rsidRPr="008D244E">
        <w:t xml:space="preserve"> and/or Resolutions</w:t>
      </w:r>
    </w:p>
    <w:p w14:paraId="7E66177A" w14:textId="4F1DB100" w:rsidR="003E1D23" w:rsidRDefault="003E1D23" w:rsidP="00013A0E">
      <w:pPr>
        <w:jc w:val="both"/>
      </w:pPr>
      <w:bookmarkStart w:id="37" w:name="_Hlk162359660"/>
      <w:r w:rsidRPr="00695FCB">
        <w:t>Clause</w:t>
      </w:r>
      <w:r w:rsidR="003D0ACF" w:rsidRPr="00695FCB">
        <w:t>s</w:t>
      </w:r>
      <w:r w:rsidRPr="00695FCB">
        <w:t xml:space="preserve"> </w:t>
      </w:r>
      <w:r w:rsidR="00E316C0" w:rsidRPr="00695FCB">
        <w:t>7</w:t>
      </w:r>
      <w:r w:rsidRPr="00695FCB">
        <w:t>.1</w:t>
      </w:r>
      <w:r w:rsidRPr="008D244E">
        <w:t xml:space="preserve"> includes a reference to</w:t>
      </w:r>
      <w:r w:rsidR="0085607B">
        <w:t xml:space="preserve"> 01 series of</w:t>
      </w:r>
      <w:r w:rsidRPr="008D244E">
        <w:t xml:space="preserve"> UN Regulation No. </w:t>
      </w:r>
      <w:r w:rsidR="005D444C">
        <w:t>148</w:t>
      </w:r>
      <w:r w:rsidRPr="008D244E">
        <w:t xml:space="preserve"> – </w:t>
      </w:r>
      <w:bookmarkStart w:id="38" w:name="_Hlk112763275"/>
      <w:r w:rsidR="00621911" w:rsidRPr="003149DF">
        <w:t>UNIFORM PROVISIONS CONCERNING THE APPROVAL OF LIGHT SIGNALLING DEVICES</w:t>
      </w:r>
      <w:r w:rsidR="005D444C">
        <w:t xml:space="preserve"> (LA</w:t>
      </w:r>
      <w:r w:rsidR="002D0B9E">
        <w:t>M</w:t>
      </w:r>
      <w:r w:rsidR="005D444C">
        <w:t>PS) FOR POWER DRIVEN VEHICLES AND THEIR TRAILERS</w:t>
      </w:r>
      <w:r w:rsidRPr="008D244E">
        <w:t xml:space="preserve">. </w:t>
      </w:r>
      <w:r w:rsidRPr="00B6443A">
        <w:t xml:space="preserve">This is an international standard for </w:t>
      </w:r>
      <w:r w:rsidR="00B6443A">
        <w:t>s</w:t>
      </w:r>
      <w:r w:rsidR="00341344" w:rsidRPr="00B6443A">
        <w:t xml:space="preserve">pecific </w:t>
      </w:r>
      <w:r w:rsidR="00B6443A">
        <w:t>r</w:t>
      </w:r>
      <w:r w:rsidR="00341344" w:rsidRPr="00B6443A">
        <w:t xml:space="preserve">equirements </w:t>
      </w:r>
      <w:r w:rsidR="001C18E2" w:rsidRPr="00B6443A">
        <w:t xml:space="preserve">for </w:t>
      </w:r>
      <w:r w:rsidR="008835DC" w:rsidRPr="00B6443A">
        <w:t>light signalling</w:t>
      </w:r>
      <w:r w:rsidR="008835DC">
        <w:t xml:space="preserve"> devices for</w:t>
      </w:r>
      <w:r w:rsidR="00341344">
        <w:t xml:space="preserve"> </w:t>
      </w:r>
      <w:r w:rsidR="005D444C">
        <w:t>power driven vehicles and their trailers</w:t>
      </w:r>
      <w:r w:rsidR="00341344">
        <w:t>.</w:t>
      </w:r>
      <w:bookmarkEnd w:id="38"/>
    </w:p>
    <w:bookmarkEnd w:id="37"/>
    <w:p w14:paraId="7A754CB3" w14:textId="15A30DC8" w:rsidR="0085607B" w:rsidRPr="0085607B" w:rsidRDefault="0085607B" w:rsidP="00013A0E">
      <w:pPr>
        <w:jc w:val="both"/>
      </w:pPr>
      <w:r w:rsidRPr="00695FCB">
        <w:t xml:space="preserve">Clauses </w:t>
      </w:r>
      <w:r w:rsidR="00E316C0" w:rsidRPr="00695FCB">
        <w:t>7</w:t>
      </w:r>
      <w:r w:rsidRPr="00695FCB">
        <w:t>.</w:t>
      </w:r>
      <w:r w:rsidR="005E336C" w:rsidRPr="00695FCB">
        <w:t>2</w:t>
      </w:r>
      <w:r w:rsidRPr="0085607B">
        <w:t xml:space="preserve"> includes a reference to</w:t>
      </w:r>
      <w:r>
        <w:t xml:space="preserve"> the 00 series of</w:t>
      </w:r>
      <w:r w:rsidRPr="0085607B">
        <w:t xml:space="preserve"> UN Regulation No. 148 – UNIFORM PROVISIONS CONCERNING THE APPROVAL OF LIGHT SIGNALLING DEVICES (LAMPS) FOR POWER DRIVEN VEHICLES AND THEIR </w:t>
      </w:r>
      <w:r w:rsidRPr="00B6443A">
        <w:t xml:space="preserve">TRAILERS. This is an international standard for </w:t>
      </w:r>
      <w:r w:rsidR="00B6443A">
        <w:t>s</w:t>
      </w:r>
      <w:r w:rsidRPr="00B6443A">
        <w:t xml:space="preserve">pecific </w:t>
      </w:r>
      <w:r w:rsidR="00B6443A">
        <w:t>r</w:t>
      </w:r>
      <w:r w:rsidRPr="00B6443A">
        <w:t xml:space="preserve">equirements </w:t>
      </w:r>
      <w:proofErr w:type="gramStart"/>
      <w:r w:rsidRPr="00B6443A">
        <w:t xml:space="preserve">for </w:t>
      </w:r>
      <w:r w:rsidRPr="0085607B">
        <w:t xml:space="preserve"> light</w:t>
      </w:r>
      <w:proofErr w:type="gramEnd"/>
      <w:r w:rsidRPr="0085607B">
        <w:t xml:space="preserve"> signalling devices for power driven vehicles and their trailers.</w:t>
      </w:r>
    </w:p>
    <w:p w14:paraId="72F81BB0" w14:textId="0610C013" w:rsidR="00B07BE2" w:rsidRPr="00BE32BC" w:rsidRDefault="00B07BE2" w:rsidP="00013A0E">
      <w:pPr>
        <w:jc w:val="both"/>
      </w:pPr>
      <w:r w:rsidRPr="00695FCB">
        <w:t>Paragraph 1 of Appendix A</w:t>
      </w:r>
      <w:r w:rsidRPr="003907D1">
        <w:t xml:space="preserve"> includes a reference to the Consolidated Resolution on the Construction of Vehicles (R.E.3.), document ECE/TRANS/WP.29/78/Rev.3.</w:t>
      </w:r>
      <w:r w:rsidR="003907D1" w:rsidRPr="003907D1">
        <w:t xml:space="preserve"> </w:t>
      </w:r>
    </w:p>
    <w:p w14:paraId="261FF86E" w14:textId="5100EF10" w:rsidR="00610FED" w:rsidRPr="00BE32BC" w:rsidRDefault="00610FED" w:rsidP="00013A0E">
      <w:pPr>
        <w:jc w:val="both"/>
      </w:pPr>
      <w:r w:rsidRPr="00BE32BC">
        <w:t xml:space="preserve">The </w:t>
      </w:r>
      <w:r w:rsidR="00B512EE" w:rsidRPr="00BE32BC">
        <w:t>Consolidated Resolution on the Construction of Vehicles (R.E.3.), document ECE/TRANS/WP.29/78/Rev.</w:t>
      </w:r>
      <w:r w:rsidR="00335148" w:rsidRPr="00BE32BC">
        <w:t>3</w:t>
      </w:r>
      <w:r w:rsidR="00B512EE" w:rsidRPr="00BE32BC">
        <w:t xml:space="preserve">, and the </w:t>
      </w:r>
      <w:r w:rsidRPr="00BE32BC">
        <w:t>UN Regulations</w:t>
      </w:r>
      <w:r w:rsidR="005F6A8E">
        <w:t xml:space="preserve"> </w:t>
      </w:r>
      <w:r w:rsidRPr="00BE32BC">
        <w:t>may be freely accessed online through the UN World Forum for the Harmonization of Vehicle Regulations (WP.29). The WP.29 website is</w:t>
      </w:r>
      <w:r w:rsidR="004A369F" w:rsidRPr="00BE32BC">
        <w:t xml:space="preserve"> </w:t>
      </w:r>
      <w:hyperlink r:id="rId14" w:history="1">
        <w:r w:rsidRPr="00BE32BC">
          <w:rPr>
            <w:rStyle w:val="Hyperlink"/>
            <w:bCs/>
          </w:rPr>
          <w:t>www.unece.org/trans/main/welcwp29.html</w:t>
        </w:r>
      </w:hyperlink>
      <w:r w:rsidRPr="00BE32BC">
        <w:t>.</w:t>
      </w:r>
    </w:p>
    <w:p w14:paraId="338A6569" w14:textId="550C4548" w:rsidR="004767B9" w:rsidRPr="00BE32BC" w:rsidRDefault="00610FED" w:rsidP="00013A0E">
      <w:pPr>
        <w:jc w:val="both"/>
        <w:rPr>
          <w:b/>
          <w:caps/>
        </w:rPr>
      </w:pPr>
      <w:r w:rsidRPr="00BE32BC">
        <w:t xml:space="preserve">In accordance with subsections 14(1)(b) and 14(2) of the </w:t>
      </w:r>
      <w:r w:rsidRPr="00BE32BC">
        <w:rPr>
          <w:i/>
        </w:rPr>
        <w:t>Legislation Act 2003</w:t>
      </w:r>
      <w:r w:rsidRPr="00BE32BC">
        <w:t xml:space="preserve">, each of these </w:t>
      </w:r>
      <w:r w:rsidR="00F81DA7" w:rsidRPr="00BE32BC">
        <w:t xml:space="preserve">UN </w:t>
      </w:r>
      <w:r w:rsidRPr="00BE32BC">
        <w:t>documents are incorporated as in force on the date this national road vehicle standard is made.</w:t>
      </w:r>
      <w:bookmarkStart w:id="39" w:name="_Toc318271645"/>
      <w:bookmarkStart w:id="40" w:name="_Toc317171517"/>
      <w:bookmarkStart w:id="41" w:name="_Toc317171391"/>
      <w:bookmarkStart w:id="42" w:name="_Toc317158948"/>
      <w:bookmarkStart w:id="43" w:name="_Toc318272904"/>
      <w:bookmarkStart w:id="44" w:name="_Toc319402529"/>
      <w:bookmarkStart w:id="45" w:name="_Toc505092267"/>
    </w:p>
    <w:p w14:paraId="5F6131A1" w14:textId="77777777" w:rsidR="00586887" w:rsidRPr="00EB34AB" w:rsidRDefault="00610FED" w:rsidP="00013A0E">
      <w:pPr>
        <w:pStyle w:val="HeadingLevel1"/>
        <w:jc w:val="both"/>
      </w:pPr>
      <w:bookmarkStart w:id="46" w:name="_Toc173503362"/>
      <w:bookmarkEnd w:id="39"/>
      <w:bookmarkEnd w:id="40"/>
      <w:bookmarkEnd w:id="41"/>
      <w:bookmarkEnd w:id="42"/>
      <w:bookmarkEnd w:id="43"/>
      <w:bookmarkEnd w:id="44"/>
      <w:bookmarkEnd w:id="45"/>
      <w:r w:rsidRPr="00EB34AB">
        <w:t>CONSULTATION</w:t>
      </w:r>
      <w:bookmarkEnd w:id="46"/>
    </w:p>
    <w:p w14:paraId="722F0C2B" w14:textId="4E72FB6B" w:rsidR="00040841" w:rsidRPr="008D244E" w:rsidRDefault="00040841" w:rsidP="00013A0E">
      <w:pPr>
        <w:pStyle w:val="HeadingLevel2"/>
        <w:ind w:left="851"/>
        <w:jc w:val="both"/>
      </w:pPr>
      <w:bookmarkStart w:id="47" w:name="_Toc173503363"/>
      <w:r w:rsidRPr="008D244E">
        <w:t>General Consultation Arrangements</w:t>
      </w:r>
      <w:bookmarkEnd w:id="47"/>
    </w:p>
    <w:p w14:paraId="283D71E5" w14:textId="62C4C75B" w:rsidR="00EE68A7" w:rsidRPr="008D244E" w:rsidRDefault="00EE68A7" w:rsidP="00013A0E">
      <w:pPr>
        <w:jc w:val="both"/>
      </w:pPr>
      <w:r w:rsidRPr="008D244E">
        <w:t>It has been longstanding practice to consult widely on proposed new or amended vehicle standards. For many years, there has been active collaboration between the Commonwealth and the state</w:t>
      </w:r>
      <w:r w:rsidR="00E70217">
        <w:t xml:space="preserve"> and </w:t>
      </w:r>
      <w:r w:rsidRPr="008D244E">
        <w:t>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5C963B37" w14:textId="77777777" w:rsidR="00E70217" w:rsidRPr="00585A53" w:rsidRDefault="00E70217" w:rsidP="00013A0E">
      <w:pPr>
        <w:jc w:val="both"/>
        <w:rPr>
          <w:i/>
        </w:rPr>
      </w:pPr>
      <w:r w:rsidRPr="00585A53">
        <w:t xml:space="preserve">Proposals that are regarded as significant need to be supported by an Impact Analysis (IA) meeting the requirements of the Office of Impact Analysis (OIA) as published in </w:t>
      </w:r>
      <w:r w:rsidRPr="00585A53">
        <w:lastRenderedPageBreak/>
        <w:t xml:space="preserve">the </w:t>
      </w:r>
      <w:r w:rsidRPr="00585A53">
        <w:rPr>
          <w:i/>
          <w:iCs/>
        </w:rPr>
        <w:t>Australian Government Guide to Policy Impact Analysis</w:t>
      </w:r>
      <w:r w:rsidRPr="00585A53">
        <w:t xml:space="preserve"> or the </w:t>
      </w:r>
      <w:r w:rsidRPr="00585A53">
        <w:rPr>
          <w:i/>
        </w:rPr>
        <w:t>Regulatory Impact Analysis Guide for Ministers’ Meetings and National Standard Setting Bodies.</w:t>
      </w:r>
    </w:p>
    <w:p w14:paraId="2CCB846F" w14:textId="18E6EEE7" w:rsidR="00040841" w:rsidRPr="005A056C" w:rsidRDefault="00040841" w:rsidP="00013A0E">
      <w:pPr>
        <w:pStyle w:val="HeadingLevel2"/>
        <w:ind w:left="851"/>
        <w:jc w:val="both"/>
      </w:pPr>
      <w:bookmarkStart w:id="48" w:name="_Toc77091664"/>
      <w:bookmarkStart w:id="49" w:name="_Toc77253508"/>
      <w:bookmarkStart w:id="50" w:name="_Toc77253559"/>
      <w:bookmarkStart w:id="51" w:name="_Toc77263179"/>
      <w:bookmarkStart w:id="52" w:name="_Toc77264489"/>
      <w:bookmarkStart w:id="53" w:name="_Toc173503365"/>
      <w:bookmarkEnd w:id="48"/>
      <w:bookmarkEnd w:id="49"/>
      <w:bookmarkEnd w:id="50"/>
      <w:bookmarkEnd w:id="51"/>
      <w:bookmarkEnd w:id="52"/>
      <w:r w:rsidRPr="005A056C">
        <w:t>Specific Consultation Arrangements</w:t>
      </w:r>
      <w:bookmarkEnd w:id="53"/>
    </w:p>
    <w:p w14:paraId="746098A9" w14:textId="3D501925" w:rsidR="005056EF" w:rsidRPr="008118DE" w:rsidRDefault="005056EF" w:rsidP="005056EF">
      <w:r w:rsidRPr="006D5A54">
        <w:t>[To be completed after public consultation]</w:t>
      </w:r>
    </w:p>
    <w:p w14:paraId="7BFDF858" w14:textId="3C3E94CB" w:rsidR="00EE68A7" w:rsidRPr="00C41281" w:rsidRDefault="00EE68A7" w:rsidP="00013A0E">
      <w:pPr>
        <w:pStyle w:val="HeadingLevel1"/>
        <w:jc w:val="both"/>
      </w:pPr>
      <w:bookmarkStart w:id="54" w:name="_Toc77253510"/>
      <w:bookmarkStart w:id="55" w:name="_Toc77253561"/>
      <w:bookmarkStart w:id="56" w:name="_Toc77263181"/>
      <w:bookmarkStart w:id="57" w:name="_Toc77264491"/>
      <w:bookmarkStart w:id="58" w:name="_Toc77253511"/>
      <w:bookmarkStart w:id="59" w:name="_Toc77253562"/>
      <w:bookmarkStart w:id="60" w:name="_Toc77263182"/>
      <w:bookmarkStart w:id="61" w:name="_Toc77264492"/>
      <w:bookmarkStart w:id="62" w:name="_Toc77253512"/>
      <w:bookmarkStart w:id="63" w:name="_Toc77253563"/>
      <w:bookmarkStart w:id="64" w:name="_Toc77263183"/>
      <w:bookmarkStart w:id="65" w:name="_Toc77264493"/>
      <w:bookmarkStart w:id="66" w:name="_Toc77253513"/>
      <w:bookmarkStart w:id="67" w:name="_Toc77253564"/>
      <w:bookmarkStart w:id="68" w:name="_Toc77263184"/>
      <w:bookmarkStart w:id="69" w:name="_Toc77264494"/>
      <w:bookmarkStart w:id="70" w:name="_Toc74044077"/>
      <w:bookmarkStart w:id="71" w:name="_Toc74044726"/>
      <w:bookmarkStart w:id="72" w:name="_Toc173503366"/>
      <w:bookmarkStart w:id="73" w:name="_Toc46333225"/>
      <w:bookmarkStart w:id="74" w:name="_Toc46333479"/>
      <w:bookmarkStart w:id="75" w:name="_Toc46333633"/>
      <w:bookmarkStart w:id="76" w:name="_Toc46333798"/>
      <w:bookmarkStart w:id="77" w:name="_Toc46333912"/>
      <w:bookmarkStart w:id="78" w:name="_Toc4633464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C41281">
        <w:t>Regulatory Impact</w:t>
      </w:r>
      <w:bookmarkEnd w:id="70"/>
      <w:bookmarkEnd w:id="71"/>
      <w:bookmarkEnd w:id="72"/>
    </w:p>
    <w:p w14:paraId="1FD7297F" w14:textId="0E8213BF" w:rsidR="005A056C" w:rsidRPr="005A056C" w:rsidRDefault="00042F46" w:rsidP="00013A0E">
      <w:pPr>
        <w:jc w:val="both"/>
      </w:pPr>
      <w:bookmarkStart w:id="79" w:name="_Toc167864616"/>
      <w:bookmarkStart w:id="80" w:name="_Toc505092264"/>
      <w:bookmarkStart w:id="81" w:name="_Toc46333222"/>
      <w:bookmarkStart w:id="82" w:name="_Toc46333476"/>
      <w:bookmarkStart w:id="83" w:name="_Toc46333630"/>
      <w:bookmarkStart w:id="84" w:name="_Toc46333795"/>
      <w:bookmarkStart w:id="85" w:name="_Toc46333909"/>
      <w:bookmarkStart w:id="86" w:name="_Toc46334645"/>
      <w:bookmarkStart w:id="87" w:name="_Toc74044078"/>
      <w:bookmarkStart w:id="88" w:name="_Toc74044727"/>
      <w:r w:rsidRPr="00042F46">
        <w:t>A Preliminary Impact Analysis was submitted to the Office of Impact Analysis (OIA) and it was determined that a detailed analysis is not required under the Australian Government’s Policy Impact Analysis Framework. The OIA reference number for the IA is OIA24-07660.</w:t>
      </w:r>
    </w:p>
    <w:p w14:paraId="4AC01C4F" w14:textId="6AB2C748" w:rsidR="00EE68A7" w:rsidRPr="008D244E" w:rsidRDefault="00EE68A7" w:rsidP="00013A0E">
      <w:pPr>
        <w:pStyle w:val="HeadingLevel1"/>
        <w:jc w:val="both"/>
      </w:pPr>
      <w:bookmarkStart w:id="89" w:name="_Toc77253515"/>
      <w:bookmarkStart w:id="90" w:name="_Toc77253566"/>
      <w:bookmarkStart w:id="91" w:name="_Toc77263186"/>
      <w:bookmarkStart w:id="92" w:name="_Toc77264496"/>
      <w:bookmarkStart w:id="93" w:name="_Toc74044080"/>
      <w:bookmarkStart w:id="94" w:name="_Toc74044729"/>
      <w:bookmarkStart w:id="95" w:name="_Toc173503367"/>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D244E">
        <w:t>STATEMENT OF COMPATIBILITY WITH HUMAN RIGHTS</w:t>
      </w:r>
      <w:bookmarkEnd w:id="73"/>
      <w:bookmarkEnd w:id="74"/>
      <w:bookmarkEnd w:id="75"/>
      <w:bookmarkEnd w:id="76"/>
      <w:bookmarkEnd w:id="77"/>
      <w:bookmarkEnd w:id="78"/>
      <w:bookmarkEnd w:id="93"/>
      <w:bookmarkEnd w:id="94"/>
      <w:bookmarkEnd w:id="95"/>
    </w:p>
    <w:p w14:paraId="470AF138" w14:textId="77777777" w:rsidR="00EE68A7" w:rsidRPr="008D244E" w:rsidRDefault="00EE68A7" w:rsidP="00013A0E">
      <w:pPr>
        <w:jc w:val="both"/>
      </w:pPr>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013A0E">
      <w:pPr>
        <w:pStyle w:val="HeadingLevel2"/>
        <w:ind w:left="851"/>
        <w:jc w:val="both"/>
      </w:pPr>
      <w:bookmarkStart w:id="96" w:name="_Toc318271646"/>
      <w:bookmarkStart w:id="97" w:name="_Toc317171518"/>
      <w:bookmarkStart w:id="98" w:name="_Toc317171392"/>
      <w:bookmarkStart w:id="99" w:name="_Toc318272905"/>
      <w:bookmarkStart w:id="100" w:name="_Toc319402530"/>
      <w:bookmarkStart w:id="101" w:name="_Toc505092268"/>
      <w:bookmarkStart w:id="102" w:name="_Toc46333226"/>
      <w:bookmarkStart w:id="103" w:name="_Toc46333480"/>
      <w:bookmarkStart w:id="104" w:name="_Toc46333634"/>
      <w:bookmarkStart w:id="105" w:name="_Toc46333799"/>
      <w:bookmarkStart w:id="106" w:name="_Toc46333913"/>
      <w:bookmarkStart w:id="107" w:name="_Toc46334649"/>
      <w:bookmarkStart w:id="108" w:name="_Toc74044081"/>
      <w:bookmarkStart w:id="109" w:name="_Toc74044730"/>
      <w:bookmarkStart w:id="110" w:name="_Toc173503368"/>
      <w:r w:rsidRPr="008D244E">
        <w:t>Overview</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30DC10C" w14:textId="6793F91C" w:rsidR="00EE68A7" w:rsidRPr="008D244E" w:rsidRDefault="00EE68A7" w:rsidP="00013A0E">
      <w:pPr>
        <w:jc w:val="both"/>
      </w:pPr>
      <w:r w:rsidRPr="008D244E">
        <w:t xml:space="preserve">ADR </w:t>
      </w:r>
      <w:r w:rsidR="00442CA0">
        <w:t>102/00</w:t>
      </w:r>
      <w:r w:rsidR="00815364">
        <w:t xml:space="preserve"> prescribe</w:t>
      </w:r>
      <w:r w:rsidR="00111F30">
        <w:t>s</w:t>
      </w:r>
      <w:r w:rsidR="00815364">
        <w:t xml:space="preserve"> </w:t>
      </w:r>
      <w:r w:rsidR="00442CA0">
        <w:t xml:space="preserve">the minimum and maximum luminous intensity, colour, standards light distribution and angles of geometric visibility of light signalling devices that </w:t>
      </w:r>
      <w:r w:rsidR="00217DB7">
        <w:t>are</w:t>
      </w:r>
      <w:r w:rsidR="00442CA0">
        <w:t xml:space="preserve"> installed on power driven vehicles and their trailers</w:t>
      </w:r>
      <w:r w:rsidR="00296B89">
        <w:t xml:space="preserve">. </w:t>
      </w:r>
    </w:p>
    <w:p w14:paraId="01B3D243" w14:textId="77777777" w:rsidR="00EE68A7" w:rsidRPr="008D244E" w:rsidRDefault="00EE68A7" w:rsidP="00013A0E">
      <w:pPr>
        <w:pStyle w:val="HeadingLevel2"/>
        <w:ind w:left="851"/>
        <w:jc w:val="both"/>
      </w:pPr>
      <w:bookmarkStart w:id="111" w:name="_Toc318271647"/>
      <w:bookmarkStart w:id="112" w:name="_Toc317171519"/>
      <w:bookmarkStart w:id="113" w:name="_Toc317171393"/>
      <w:bookmarkStart w:id="114" w:name="_Toc318272906"/>
      <w:bookmarkStart w:id="115" w:name="_Toc319402531"/>
      <w:bookmarkStart w:id="116" w:name="_Toc505092269"/>
      <w:bookmarkStart w:id="117" w:name="_Toc46333227"/>
      <w:bookmarkStart w:id="118" w:name="_Toc46333481"/>
      <w:bookmarkStart w:id="119" w:name="_Toc46333635"/>
      <w:bookmarkStart w:id="120" w:name="_Toc46333800"/>
      <w:bookmarkStart w:id="121" w:name="_Toc46333914"/>
      <w:bookmarkStart w:id="122" w:name="_Toc46334650"/>
      <w:bookmarkStart w:id="123" w:name="_Toc74044082"/>
      <w:bookmarkStart w:id="124" w:name="_Toc74044731"/>
      <w:bookmarkStart w:id="125" w:name="_Toc173503369"/>
      <w:r w:rsidRPr="008D244E">
        <w:t>Human Rights Implications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A961334" w14:textId="3854B293" w:rsidR="00EE68A7" w:rsidRPr="008D244E" w:rsidRDefault="00EE68A7" w:rsidP="00013A0E">
      <w:pPr>
        <w:jc w:val="both"/>
      </w:pPr>
      <w:r w:rsidRPr="008D244E">
        <w:t xml:space="preserve">ADR </w:t>
      </w:r>
      <w:r w:rsidR="00442CA0">
        <w:t>102/00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013A0E">
      <w:pPr>
        <w:pStyle w:val="HeadingLevel2"/>
        <w:ind w:left="851"/>
        <w:jc w:val="both"/>
      </w:pPr>
      <w:bookmarkStart w:id="126" w:name="_Toc319402532"/>
      <w:bookmarkStart w:id="127" w:name="_Toc505092270"/>
      <w:bookmarkStart w:id="128" w:name="_Toc46333228"/>
      <w:bookmarkStart w:id="129" w:name="_Toc46333482"/>
      <w:bookmarkStart w:id="130" w:name="_Toc46333636"/>
      <w:bookmarkStart w:id="131" w:name="_Toc46333801"/>
      <w:bookmarkStart w:id="132" w:name="_Toc46333915"/>
      <w:bookmarkStart w:id="133" w:name="_Toc46334651"/>
      <w:bookmarkStart w:id="134" w:name="_Toc74044083"/>
      <w:bookmarkStart w:id="135" w:name="_Toc74044732"/>
      <w:bookmarkStart w:id="136" w:name="_Toc173503370"/>
      <w:r w:rsidRPr="008D244E">
        <w:t>Conclusion</w:t>
      </w:r>
      <w:bookmarkEnd w:id="126"/>
      <w:bookmarkEnd w:id="127"/>
      <w:bookmarkEnd w:id="128"/>
      <w:bookmarkEnd w:id="129"/>
      <w:bookmarkEnd w:id="130"/>
      <w:bookmarkEnd w:id="131"/>
      <w:bookmarkEnd w:id="132"/>
      <w:bookmarkEnd w:id="133"/>
      <w:bookmarkEnd w:id="134"/>
      <w:bookmarkEnd w:id="135"/>
      <w:bookmarkEnd w:id="136"/>
    </w:p>
    <w:p w14:paraId="0A5556D6" w14:textId="38FD691B" w:rsidR="00C32EF7" w:rsidRPr="00EE68A7" w:rsidRDefault="00EE68A7" w:rsidP="00013A0E">
      <w:pPr>
        <w:jc w:val="both"/>
      </w:pPr>
      <w:r w:rsidRPr="008D244E">
        <w:t xml:space="preserve">ADR </w:t>
      </w:r>
      <w:r w:rsidR="00442CA0">
        <w:t>102/00</w:t>
      </w:r>
      <w:r w:rsidRPr="008D244E">
        <w:t xml:space="preserve"> is compatible with human rights, as it does not raise any human rights issues.</w:t>
      </w:r>
    </w:p>
    <w:sectPr w:rsidR="00C32EF7" w:rsidRPr="00EE68A7" w:rsidSect="00DA11C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DF88" w14:textId="77777777" w:rsidR="00F04406" w:rsidRDefault="00F04406" w:rsidP="00D82CC0">
      <w:r>
        <w:separator/>
      </w:r>
    </w:p>
  </w:endnote>
  <w:endnote w:type="continuationSeparator" w:id="0">
    <w:p w14:paraId="19017CC1" w14:textId="77777777" w:rsidR="00F04406" w:rsidRDefault="00F04406"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218DF" w14:textId="77777777" w:rsidR="00F04406" w:rsidRDefault="00F04406" w:rsidP="00D82CC0">
      <w:r>
        <w:separator/>
      </w:r>
    </w:p>
  </w:footnote>
  <w:footnote w:type="continuationSeparator" w:id="0">
    <w:p w14:paraId="0427DC54" w14:textId="77777777" w:rsidR="00F04406" w:rsidRDefault="00F04406"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695FA8E8" w:rsidR="007248E7" w:rsidRDefault="007248E7" w:rsidP="00D82CC0">
    <w:pPr>
      <w:pStyle w:val="Header"/>
    </w:pPr>
  </w:p>
  <w:tbl>
    <w:tblPr>
      <w:tblW w:w="8505" w:type="dxa"/>
      <w:tblLook w:val="01E0" w:firstRow="1" w:lastRow="1" w:firstColumn="1" w:lastColumn="1" w:noHBand="0" w:noVBand="0"/>
    </w:tblPr>
    <w:tblGrid>
      <w:gridCol w:w="8080"/>
      <w:gridCol w:w="425"/>
    </w:tblGrid>
    <w:tr w:rsidR="007248E7" w:rsidRPr="005F7AFE" w14:paraId="186D9392" w14:textId="77777777" w:rsidTr="001F5393">
      <w:tc>
        <w:tcPr>
          <w:tcW w:w="8080" w:type="dxa"/>
          <w:shd w:val="clear" w:color="auto" w:fill="auto"/>
          <w:vAlign w:val="center"/>
        </w:tcPr>
        <w:p w14:paraId="41234547" w14:textId="167701B1" w:rsidR="007248E7" w:rsidRPr="008A05F7" w:rsidRDefault="007248E7"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C3A156A" w:rsidR="007248E7" w:rsidRPr="005F7AFE" w:rsidRDefault="007248E7"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7248E7" w:rsidRPr="005F7AFE" w14:paraId="00D95BC1" w14:textId="77777777" w:rsidTr="001F5393">
      <w:tc>
        <w:tcPr>
          <w:tcW w:w="8080" w:type="dxa"/>
          <w:tcBorders>
            <w:bottom w:val="single" w:sz="4" w:space="0" w:color="auto"/>
          </w:tcBorders>
          <w:shd w:val="clear" w:color="auto" w:fill="auto"/>
          <w:vAlign w:val="center"/>
        </w:tcPr>
        <w:p w14:paraId="3EC30256" w14:textId="77777777" w:rsidR="007248E7" w:rsidRPr="00DC33CF" w:rsidRDefault="007248E7"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7248E7" w:rsidRPr="005F7AFE" w:rsidRDefault="007248E7"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7248E7" w:rsidRDefault="007248E7"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18948"/>
      <w:docPartObj>
        <w:docPartGallery w:val="Watermarks"/>
        <w:docPartUnique/>
      </w:docPartObj>
    </w:sdtPr>
    <w:sdtEndPr/>
    <w:sdtContent>
      <w:p w14:paraId="00859688" w14:textId="77777777" w:rsidR="0066536E" w:rsidRDefault="001911D7" w:rsidP="0066536E">
        <w:pPr>
          <w:pStyle w:val="Header"/>
        </w:pPr>
        <w:r>
          <w:rPr>
            <w:noProof/>
            <w:lang w:val="en-US" w:eastAsia="en-US"/>
          </w:rPr>
          <w:pict w14:anchorId="34185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E28B66A" w14:textId="77777777" w:rsidR="0066536E" w:rsidRDefault="00665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740675"/>
      <w:docPartObj>
        <w:docPartGallery w:val="Page Numbers (Top of Page)"/>
        <w:docPartUnique/>
      </w:docPartObj>
    </w:sdtPr>
    <w:sdtEndPr>
      <w:rPr>
        <w:noProof/>
      </w:rPr>
    </w:sdtEndPr>
    <w:sdtContent>
      <w:p w14:paraId="5C36B872" w14:textId="77777777" w:rsidR="00033F4B" w:rsidRDefault="00516E0D" w:rsidP="00033F4B">
        <w:pPr>
          <w:pStyle w:val="Header"/>
          <w:pBdr>
            <w:bottom w:val="single" w:sz="4" w:space="1" w:color="auto"/>
          </w:pBdr>
          <w:spacing w:before="0" w:after="0"/>
          <w:rPr>
            <w:noProof/>
          </w:rPr>
        </w:pPr>
        <w:r w:rsidRPr="00516E0D">
          <w:t>Australian Design Rule 102/00 –Light Signalling Devices</w:t>
        </w:r>
        <w:r>
          <w:tab/>
        </w:r>
        <w:r>
          <w:fldChar w:fldCharType="begin"/>
        </w:r>
        <w:r>
          <w:instrText xml:space="preserve"> PAGE   \* MERGEFORMAT </w:instrText>
        </w:r>
        <w:r>
          <w:fldChar w:fldCharType="separate"/>
        </w:r>
        <w:r>
          <w:rPr>
            <w:noProof/>
          </w:rPr>
          <w:t>2</w:t>
        </w:r>
        <w:r>
          <w:rPr>
            <w:noProof/>
          </w:rPr>
          <w:fldChar w:fldCharType="end"/>
        </w:r>
      </w:p>
      <w:p w14:paraId="5BF06A9C" w14:textId="323CA946" w:rsidR="00516E0D" w:rsidRDefault="00B73B71" w:rsidP="00033F4B">
        <w:pPr>
          <w:pStyle w:val="Header"/>
          <w:pBdr>
            <w:bottom w:val="single" w:sz="4" w:space="1" w:color="auto"/>
          </w:pBdr>
          <w:spacing w:before="0" w:after="0"/>
        </w:pPr>
        <w:r w:rsidRPr="00516E0D">
          <w:t>Explanatory Statement</w:t>
        </w:r>
      </w:p>
    </w:sdtContent>
  </w:sdt>
  <w:sdt>
    <w:sdtPr>
      <w:id w:val="-2088839204"/>
      <w:docPartObj>
        <w:docPartGallery w:val="Watermarks"/>
        <w:docPartUnique/>
      </w:docPartObj>
    </w:sdtPr>
    <w:sdtEndPr/>
    <w:sdtContent>
      <w:p w14:paraId="63FB5D2D" w14:textId="1856B6A6" w:rsidR="007248E7" w:rsidRDefault="001911D7" w:rsidP="00D82CC0">
        <w:pPr>
          <w:pStyle w:val="Header"/>
        </w:pPr>
        <w:r>
          <w:rPr>
            <w:noProof/>
            <w:lang w:val="en-US" w:eastAsia="en-US"/>
          </w:rPr>
          <w:pict w14:anchorId="64739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7248E7" w:rsidRPr="001F5393" w14:paraId="483F24D1" w14:textId="77777777" w:rsidTr="001E3FA7">
      <w:tc>
        <w:tcPr>
          <w:tcW w:w="8162" w:type="dxa"/>
          <w:shd w:val="clear" w:color="auto" w:fill="auto"/>
          <w:vAlign w:val="center"/>
        </w:tcPr>
        <w:p w14:paraId="2650AF64" w14:textId="4F6194BC" w:rsidR="007248E7" w:rsidRPr="00983124" w:rsidRDefault="007248E7"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7248E7" w:rsidRPr="001F5393" w:rsidRDefault="007248E7"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7248E7" w:rsidRPr="001F5393" w14:paraId="676DA648" w14:textId="77777777" w:rsidTr="001E3FA7">
      <w:tc>
        <w:tcPr>
          <w:tcW w:w="8162" w:type="dxa"/>
          <w:tcBorders>
            <w:bottom w:val="single" w:sz="4" w:space="0" w:color="auto"/>
          </w:tcBorders>
          <w:shd w:val="clear" w:color="auto" w:fill="auto"/>
          <w:vAlign w:val="center"/>
        </w:tcPr>
        <w:p w14:paraId="397449CF" w14:textId="77777777" w:rsidR="007248E7" w:rsidRPr="001F5393" w:rsidRDefault="007248E7"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7248E7" w:rsidRPr="001F5393" w:rsidRDefault="007248E7"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7248E7" w:rsidRDefault="00724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19E1D25"/>
    <w:multiLevelType w:val="hybridMultilevel"/>
    <w:tmpl w:val="957C1A00"/>
    <w:lvl w:ilvl="0" w:tplc="75B88FC4">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BACEF972">
      <w:start w:val="1"/>
      <w:numFmt w:val="lowerRoman"/>
      <w:lvlText w:val="%7)"/>
      <w:lvlJc w:val="left"/>
      <w:pPr>
        <w:ind w:left="5040" w:hanging="360"/>
      </w:pPr>
      <w:rPr>
        <w:rFonts w:ascii="Times New Roman" w:eastAsiaTheme="minorHAnsi" w:hAnsi="Times New Roman" w:cstheme="minorBidi"/>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F2E61"/>
    <w:multiLevelType w:val="multilevel"/>
    <w:tmpl w:val="5A3AE242"/>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6C3DD5"/>
    <w:multiLevelType w:val="hybridMultilevel"/>
    <w:tmpl w:val="87C4E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2408A6"/>
    <w:multiLevelType w:val="multilevel"/>
    <w:tmpl w:val="A1582D7E"/>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6"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6"/>
  </w:num>
  <w:num w:numId="2">
    <w:abstractNumId w:val="7"/>
  </w:num>
  <w:num w:numId="3">
    <w:abstractNumId w:val="0"/>
  </w:num>
  <w:num w:numId="4">
    <w:abstractNumId w:val="1"/>
  </w:num>
  <w:num w:numId="5">
    <w:abstractNumId w:val="2"/>
  </w:num>
  <w:num w:numId="6">
    <w:abstractNumId w:val="5"/>
  </w:num>
  <w:num w:numId="7">
    <w:abstractNumId w:val="4"/>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38FD"/>
    <w:rsid w:val="000040F7"/>
    <w:rsid w:val="00005A67"/>
    <w:rsid w:val="00006046"/>
    <w:rsid w:val="00006B90"/>
    <w:rsid w:val="00010E70"/>
    <w:rsid w:val="00011931"/>
    <w:rsid w:val="00013A0E"/>
    <w:rsid w:val="00013AFD"/>
    <w:rsid w:val="000146D3"/>
    <w:rsid w:val="0001554A"/>
    <w:rsid w:val="000157B0"/>
    <w:rsid w:val="00015D9A"/>
    <w:rsid w:val="000166ED"/>
    <w:rsid w:val="00016C5F"/>
    <w:rsid w:val="000171DC"/>
    <w:rsid w:val="000220C0"/>
    <w:rsid w:val="00022CA1"/>
    <w:rsid w:val="00023018"/>
    <w:rsid w:val="00023874"/>
    <w:rsid w:val="000241C6"/>
    <w:rsid w:val="000245BE"/>
    <w:rsid w:val="000255D9"/>
    <w:rsid w:val="000266F1"/>
    <w:rsid w:val="00031C17"/>
    <w:rsid w:val="00031D4F"/>
    <w:rsid w:val="00032038"/>
    <w:rsid w:val="000335E2"/>
    <w:rsid w:val="00033B3C"/>
    <w:rsid w:val="00033F4B"/>
    <w:rsid w:val="00035887"/>
    <w:rsid w:val="00040841"/>
    <w:rsid w:val="00040F80"/>
    <w:rsid w:val="00041E22"/>
    <w:rsid w:val="0004224F"/>
    <w:rsid w:val="00042F46"/>
    <w:rsid w:val="00044000"/>
    <w:rsid w:val="000450E7"/>
    <w:rsid w:val="00050C17"/>
    <w:rsid w:val="00050FB8"/>
    <w:rsid w:val="00051A0A"/>
    <w:rsid w:val="00052EF3"/>
    <w:rsid w:val="0005416F"/>
    <w:rsid w:val="00054851"/>
    <w:rsid w:val="00054B8A"/>
    <w:rsid w:val="00054DEF"/>
    <w:rsid w:val="00054F9C"/>
    <w:rsid w:val="000562F1"/>
    <w:rsid w:val="00056F3D"/>
    <w:rsid w:val="000604A0"/>
    <w:rsid w:val="000611D5"/>
    <w:rsid w:val="00061A94"/>
    <w:rsid w:val="0006426D"/>
    <w:rsid w:val="00064642"/>
    <w:rsid w:val="00064A11"/>
    <w:rsid w:val="00064AFA"/>
    <w:rsid w:val="000650DA"/>
    <w:rsid w:val="000655E9"/>
    <w:rsid w:val="000655F8"/>
    <w:rsid w:val="00065807"/>
    <w:rsid w:val="000659AE"/>
    <w:rsid w:val="00066290"/>
    <w:rsid w:val="00066F93"/>
    <w:rsid w:val="00067219"/>
    <w:rsid w:val="0007067B"/>
    <w:rsid w:val="000713D8"/>
    <w:rsid w:val="00071602"/>
    <w:rsid w:val="00073E14"/>
    <w:rsid w:val="000740DE"/>
    <w:rsid w:val="00074D90"/>
    <w:rsid w:val="000760A3"/>
    <w:rsid w:val="0007625E"/>
    <w:rsid w:val="0007629C"/>
    <w:rsid w:val="0007728F"/>
    <w:rsid w:val="000823D7"/>
    <w:rsid w:val="0008418F"/>
    <w:rsid w:val="00084625"/>
    <w:rsid w:val="0008652F"/>
    <w:rsid w:val="000879A0"/>
    <w:rsid w:val="000925B7"/>
    <w:rsid w:val="00092AA7"/>
    <w:rsid w:val="000935C6"/>
    <w:rsid w:val="00093AA6"/>
    <w:rsid w:val="00093D38"/>
    <w:rsid w:val="00094425"/>
    <w:rsid w:val="000957CE"/>
    <w:rsid w:val="000962B2"/>
    <w:rsid w:val="0009658B"/>
    <w:rsid w:val="000968DF"/>
    <w:rsid w:val="000A1306"/>
    <w:rsid w:val="000A1327"/>
    <w:rsid w:val="000A3781"/>
    <w:rsid w:val="000A3A24"/>
    <w:rsid w:val="000A4B49"/>
    <w:rsid w:val="000A5A8B"/>
    <w:rsid w:val="000B0291"/>
    <w:rsid w:val="000B0430"/>
    <w:rsid w:val="000B0D5D"/>
    <w:rsid w:val="000B0E53"/>
    <w:rsid w:val="000B1B1F"/>
    <w:rsid w:val="000B1C73"/>
    <w:rsid w:val="000B2323"/>
    <w:rsid w:val="000B25A5"/>
    <w:rsid w:val="000B28A7"/>
    <w:rsid w:val="000B39C0"/>
    <w:rsid w:val="000B3D64"/>
    <w:rsid w:val="000B3DBE"/>
    <w:rsid w:val="000B4684"/>
    <w:rsid w:val="000B596E"/>
    <w:rsid w:val="000B60B9"/>
    <w:rsid w:val="000B620B"/>
    <w:rsid w:val="000B79DF"/>
    <w:rsid w:val="000C0B71"/>
    <w:rsid w:val="000C0E62"/>
    <w:rsid w:val="000C14D3"/>
    <w:rsid w:val="000C171E"/>
    <w:rsid w:val="000C2AF4"/>
    <w:rsid w:val="000C3C06"/>
    <w:rsid w:val="000C57AC"/>
    <w:rsid w:val="000C66D8"/>
    <w:rsid w:val="000D1A08"/>
    <w:rsid w:val="000D2C70"/>
    <w:rsid w:val="000D3459"/>
    <w:rsid w:val="000D372C"/>
    <w:rsid w:val="000D4AC1"/>
    <w:rsid w:val="000D5DA5"/>
    <w:rsid w:val="000D6331"/>
    <w:rsid w:val="000D79C9"/>
    <w:rsid w:val="000E100E"/>
    <w:rsid w:val="000E160B"/>
    <w:rsid w:val="000E3161"/>
    <w:rsid w:val="000E3BAA"/>
    <w:rsid w:val="000E3CB6"/>
    <w:rsid w:val="000E41AE"/>
    <w:rsid w:val="000E46B1"/>
    <w:rsid w:val="000E556E"/>
    <w:rsid w:val="000E61FE"/>
    <w:rsid w:val="000E6F99"/>
    <w:rsid w:val="000E73ED"/>
    <w:rsid w:val="000E7A76"/>
    <w:rsid w:val="000F1192"/>
    <w:rsid w:val="000F162D"/>
    <w:rsid w:val="000F36B1"/>
    <w:rsid w:val="000F3E8E"/>
    <w:rsid w:val="000F4182"/>
    <w:rsid w:val="000F431C"/>
    <w:rsid w:val="000F50B4"/>
    <w:rsid w:val="000F526B"/>
    <w:rsid w:val="000F534E"/>
    <w:rsid w:val="000F6F83"/>
    <w:rsid w:val="000F793B"/>
    <w:rsid w:val="000F7AD7"/>
    <w:rsid w:val="00101E42"/>
    <w:rsid w:val="00102EE7"/>
    <w:rsid w:val="00105061"/>
    <w:rsid w:val="00105209"/>
    <w:rsid w:val="00105ECA"/>
    <w:rsid w:val="00106C75"/>
    <w:rsid w:val="00107427"/>
    <w:rsid w:val="00111067"/>
    <w:rsid w:val="00111F30"/>
    <w:rsid w:val="00112D13"/>
    <w:rsid w:val="00113A63"/>
    <w:rsid w:val="001143B9"/>
    <w:rsid w:val="0011440D"/>
    <w:rsid w:val="00115CAD"/>
    <w:rsid w:val="001174C7"/>
    <w:rsid w:val="001179A7"/>
    <w:rsid w:val="00117D78"/>
    <w:rsid w:val="0012081F"/>
    <w:rsid w:val="0012110B"/>
    <w:rsid w:val="00121CBA"/>
    <w:rsid w:val="0012220D"/>
    <w:rsid w:val="00123D55"/>
    <w:rsid w:val="0012466F"/>
    <w:rsid w:val="00127289"/>
    <w:rsid w:val="00127622"/>
    <w:rsid w:val="00130F68"/>
    <w:rsid w:val="00131492"/>
    <w:rsid w:val="00131C3F"/>
    <w:rsid w:val="00133187"/>
    <w:rsid w:val="00133A19"/>
    <w:rsid w:val="00134DC4"/>
    <w:rsid w:val="001359EF"/>
    <w:rsid w:val="00136549"/>
    <w:rsid w:val="00140F8F"/>
    <w:rsid w:val="00141E4F"/>
    <w:rsid w:val="00141FF9"/>
    <w:rsid w:val="0014264C"/>
    <w:rsid w:val="00142FF4"/>
    <w:rsid w:val="00143258"/>
    <w:rsid w:val="00144C91"/>
    <w:rsid w:val="00147B5A"/>
    <w:rsid w:val="00147F05"/>
    <w:rsid w:val="001508C9"/>
    <w:rsid w:val="00150C04"/>
    <w:rsid w:val="0015120A"/>
    <w:rsid w:val="00151CA3"/>
    <w:rsid w:val="00152636"/>
    <w:rsid w:val="00152A52"/>
    <w:rsid w:val="00152F8E"/>
    <w:rsid w:val="00152FA5"/>
    <w:rsid w:val="00155DDC"/>
    <w:rsid w:val="00155FE4"/>
    <w:rsid w:val="00157142"/>
    <w:rsid w:val="00157631"/>
    <w:rsid w:val="00160091"/>
    <w:rsid w:val="001606BF"/>
    <w:rsid w:val="00160C84"/>
    <w:rsid w:val="00161B14"/>
    <w:rsid w:val="00161F08"/>
    <w:rsid w:val="001623D9"/>
    <w:rsid w:val="001636B5"/>
    <w:rsid w:val="00164658"/>
    <w:rsid w:val="00166DC2"/>
    <w:rsid w:val="00170AE8"/>
    <w:rsid w:val="001717FC"/>
    <w:rsid w:val="00171B84"/>
    <w:rsid w:val="001722F1"/>
    <w:rsid w:val="00172C53"/>
    <w:rsid w:val="001745CE"/>
    <w:rsid w:val="001761FA"/>
    <w:rsid w:val="00177811"/>
    <w:rsid w:val="00177ADF"/>
    <w:rsid w:val="00180599"/>
    <w:rsid w:val="001811E9"/>
    <w:rsid w:val="00181511"/>
    <w:rsid w:val="00183452"/>
    <w:rsid w:val="00187070"/>
    <w:rsid w:val="00187D37"/>
    <w:rsid w:val="001911D7"/>
    <w:rsid w:val="00191725"/>
    <w:rsid w:val="001920EB"/>
    <w:rsid w:val="001924B8"/>
    <w:rsid w:val="00192B4F"/>
    <w:rsid w:val="00192F2E"/>
    <w:rsid w:val="001948D0"/>
    <w:rsid w:val="00194ACB"/>
    <w:rsid w:val="00197EE4"/>
    <w:rsid w:val="00197F0F"/>
    <w:rsid w:val="001A0001"/>
    <w:rsid w:val="001A28AB"/>
    <w:rsid w:val="001A4802"/>
    <w:rsid w:val="001A5483"/>
    <w:rsid w:val="001A5D19"/>
    <w:rsid w:val="001A650A"/>
    <w:rsid w:val="001A71AD"/>
    <w:rsid w:val="001A7A04"/>
    <w:rsid w:val="001B0998"/>
    <w:rsid w:val="001B0EFB"/>
    <w:rsid w:val="001B1310"/>
    <w:rsid w:val="001B217D"/>
    <w:rsid w:val="001B2451"/>
    <w:rsid w:val="001B29A2"/>
    <w:rsid w:val="001B38AA"/>
    <w:rsid w:val="001B3B65"/>
    <w:rsid w:val="001B5638"/>
    <w:rsid w:val="001B5F38"/>
    <w:rsid w:val="001C02AF"/>
    <w:rsid w:val="001C18E2"/>
    <w:rsid w:val="001C1C5E"/>
    <w:rsid w:val="001C2380"/>
    <w:rsid w:val="001C2946"/>
    <w:rsid w:val="001C69AE"/>
    <w:rsid w:val="001C76F0"/>
    <w:rsid w:val="001D01E5"/>
    <w:rsid w:val="001D17F3"/>
    <w:rsid w:val="001D199F"/>
    <w:rsid w:val="001D1DA9"/>
    <w:rsid w:val="001D21CE"/>
    <w:rsid w:val="001D2618"/>
    <w:rsid w:val="001D26AC"/>
    <w:rsid w:val="001D2D0B"/>
    <w:rsid w:val="001D467A"/>
    <w:rsid w:val="001D4C8A"/>
    <w:rsid w:val="001D592B"/>
    <w:rsid w:val="001D5CD2"/>
    <w:rsid w:val="001E0205"/>
    <w:rsid w:val="001E0A6A"/>
    <w:rsid w:val="001E1A19"/>
    <w:rsid w:val="001E218D"/>
    <w:rsid w:val="001E3FA7"/>
    <w:rsid w:val="001E543A"/>
    <w:rsid w:val="001E5490"/>
    <w:rsid w:val="001E6416"/>
    <w:rsid w:val="001E6F6F"/>
    <w:rsid w:val="001E755E"/>
    <w:rsid w:val="001F128D"/>
    <w:rsid w:val="001F5393"/>
    <w:rsid w:val="001F566C"/>
    <w:rsid w:val="001F64B3"/>
    <w:rsid w:val="00200879"/>
    <w:rsid w:val="002019EC"/>
    <w:rsid w:val="002021FA"/>
    <w:rsid w:val="0020549D"/>
    <w:rsid w:val="00205FA6"/>
    <w:rsid w:val="00206EF3"/>
    <w:rsid w:val="00207154"/>
    <w:rsid w:val="00210298"/>
    <w:rsid w:val="002105AD"/>
    <w:rsid w:val="00210797"/>
    <w:rsid w:val="00210C5E"/>
    <w:rsid w:val="00210D2A"/>
    <w:rsid w:val="00212153"/>
    <w:rsid w:val="0021262A"/>
    <w:rsid w:val="0021454F"/>
    <w:rsid w:val="00215C84"/>
    <w:rsid w:val="00216DD3"/>
    <w:rsid w:val="002172AC"/>
    <w:rsid w:val="00217DB7"/>
    <w:rsid w:val="00220804"/>
    <w:rsid w:val="002214DC"/>
    <w:rsid w:val="00222FCA"/>
    <w:rsid w:val="0022497F"/>
    <w:rsid w:val="00224B1B"/>
    <w:rsid w:val="00225520"/>
    <w:rsid w:val="00225589"/>
    <w:rsid w:val="0022575C"/>
    <w:rsid w:val="00225E04"/>
    <w:rsid w:val="00225EEA"/>
    <w:rsid w:val="00226BE4"/>
    <w:rsid w:val="00226CB6"/>
    <w:rsid w:val="00227076"/>
    <w:rsid w:val="0022719C"/>
    <w:rsid w:val="00227A72"/>
    <w:rsid w:val="0023125C"/>
    <w:rsid w:val="002325B1"/>
    <w:rsid w:val="00232C1B"/>
    <w:rsid w:val="00233E80"/>
    <w:rsid w:val="00233F4B"/>
    <w:rsid w:val="00235D5D"/>
    <w:rsid w:val="00235EBC"/>
    <w:rsid w:val="002368DB"/>
    <w:rsid w:val="00237831"/>
    <w:rsid w:val="0024087E"/>
    <w:rsid w:val="002411F9"/>
    <w:rsid w:val="0024120E"/>
    <w:rsid w:val="0024155C"/>
    <w:rsid w:val="0024183F"/>
    <w:rsid w:val="002425A0"/>
    <w:rsid w:val="00242D6F"/>
    <w:rsid w:val="002433CD"/>
    <w:rsid w:val="00243A0C"/>
    <w:rsid w:val="0024440F"/>
    <w:rsid w:val="002449FF"/>
    <w:rsid w:val="00246440"/>
    <w:rsid w:val="00246A0D"/>
    <w:rsid w:val="00246F06"/>
    <w:rsid w:val="00250D11"/>
    <w:rsid w:val="002531F3"/>
    <w:rsid w:val="002538C0"/>
    <w:rsid w:val="00253F55"/>
    <w:rsid w:val="002550C2"/>
    <w:rsid w:val="00256C8A"/>
    <w:rsid w:val="00260CB2"/>
    <w:rsid w:val="0026130D"/>
    <w:rsid w:val="00261476"/>
    <w:rsid w:val="002619C5"/>
    <w:rsid w:val="00262D9F"/>
    <w:rsid w:val="002640E7"/>
    <w:rsid w:val="00264CCB"/>
    <w:rsid w:val="00265ABF"/>
    <w:rsid w:val="002664F3"/>
    <w:rsid w:val="002667FE"/>
    <w:rsid w:val="00266FE7"/>
    <w:rsid w:val="002707F7"/>
    <w:rsid w:val="0027099F"/>
    <w:rsid w:val="00270FAD"/>
    <w:rsid w:val="002714C6"/>
    <w:rsid w:val="00271DCE"/>
    <w:rsid w:val="00275FEF"/>
    <w:rsid w:val="00276384"/>
    <w:rsid w:val="00277209"/>
    <w:rsid w:val="00280F28"/>
    <w:rsid w:val="00282AAC"/>
    <w:rsid w:val="0028346B"/>
    <w:rsid w:val="002834A5"/>
    <w:rsid w:val="00283C75"/>
    <w:rsid w:val="00284667"/>
    <w:rsid w:val="00285ADA"/>
    <w:rsid w:val="00286EAA"/>
    <w:rsid w:val="00287770"/>
    <w:rsid w:val="002877FF"/>
    <w:rsid w:val="002904A2"/>
    <w:rsid w:val="00290ABB"/>
    <w:rsid w:val="002918CC"/>
    <w:rsid w:val="00292D0D"/>
    <w:rsid w:val="002937F6"/>
    <w:rsid w:val="002944E0"/>
    <w:rsid w:val="0029514B"/>
    <w:rsid w:val="00295426"/>
    <w:rsid w:val="002968C5"/>
    <w:rsid w:val="00296B89"/>
    <w:rsid w:val="00296D1C"/>
    <w:rsid w:val="00297504"/>
    <w:rsid w:val="002975C7"/>
    <w:rsid w:val="00297D5D"/>
    <w:rsid w:val="00297FEE"/>
    <w:rsid w:val="002A005B"/>
    <w:rsid w:val="002A063C"/>
    <w:rsid w:val="002A3CBD"/>
    <w:rsid w:val="002A4357"/>
    <w:rsid w:val="002A435A"/>
    <w:rsid w:val="002A4DBE"/>
    <w:rsid w:val="002A4E59"/>
    <w:rsid w:val="002A5439"/>
    <w:rsid w:val="002A59F6"/>
    <w:rsid w:val="002A7B68"/>
    <w:rsid w:val="002B10A7"/>
    <w:rsid w:val="002B1125"/>
    <w:rsid w:val="002B1FE3"/>
    <w:rsid w:val="002B29F6"/>
    <w:rsid w:val="002B31DF"/>
    <w:rsid w:val="002B44D9"/>
    <w:rsid w:val="002B5336"/>
    <w:rsid w:val="002B574B"/>
    <w:rsid w:val="002B7491"/>
    <w:rsid w:val="002B7671"/>
    <w:rsid w:val="002B7CA5"/>
    <w:rsid w:val="002C1514"/>
    <w:rsid w:val="002C3009"/>
    <w:rsid w:val="002C3707"/>
    <w:rsid w:val="002C4000"/>
    <w:rsid w:val="002C4578"/>
    <w:rsid w:val="002C55A1"/>
    <w:rsid w:val="002C5829"/>
    <w:rsid w:val="002C66C7"/>
    <w:rsid w:val="002D070C"/>
    <w:rsid w:val="002D0955"/>
    <w:rsid w:val="002D0B9E"/>
    <w:rsid w:val="002D0D1B"/>
    <w:rsid w:val="002D3608"/>
    <w:rsid w:val="002D508E"/>
    <w:rsid w:val="002D5B95"/>
    <w:rsid w:val="002D5F6D"/>
    <w:rsid w:val="002D630E"/>
    <w:rsid w:val="002D6916"/>
    <w:rsid w:val="002D7277"/>
    <w:rsid w:val="002D7D28"/>
    <w:rsid w:val="002D7E26"/>
    <w:rsid w:val="002E10E0"/>
    <w:rsid w:val="002E1691"/>
    <w:rsid w:val="002E1798"/>
    <w:rsid w:val="002E1BBE"/>
    <w:rsid w:val="002E37E1"/>
    <w:rsid w:val="002E37E2"/>
    <w:rsid w:val="002E5035"/>
    <w:rsid w:val="002E51D2"/>
    <w:rsid w:val="002E59FD"/>
    <w:rsid w:val="002E5D7A"/>
    <w:rsid w:val="002E6941"/>
    <w:rsid w:val="002E6D99"/>
    <w:rsid w:val="002E7A66"/>
    <w:rsid w:val="002F17FE"/>
    <w:rsid w:val="002F2650"/>
    <w:rsid w:val="002F2A22"/>
    <w:rsid w:val="002F2C61"/>
    <w:rsid w:val="002F3A90"/>
    <w:rsid w:val="002F3A93"/>
    <w:rsid w:val="002F3EEF"/>
    <w:rsid w:val="002F48AF"/>
    <w:rsid w:val="002F55C4"/>
    <w:rsid w:val="002F5AF9"/>
    <w:rsid w:val="002F6C96"/>
    <w:rsid w:val="0030081B"/>
    <w:rsid w:val="0030182F"/>
    <w:rsid w:val="0030372F"/>
    <w:rsid w:val="003039C0"/>
    <w:rsid w:val="00304422"/>
    <w:rsid w:val="003057C9"/>
    <w:rsid w:val="0030643C"/>
    <w:rsid w:val="00307FC6"/>
    <w:rsid w:val="00310E9F"/>
    <w:rsid w:val="003119C5"/>
    <w:rsid w:val="003149C3"/>
    <w:rsid w:val="00314E88"/>
    <w:rsid w:val="00315263"/>
    <w:rsid w:val="003157F6"/>
    <w:rsid w:val="00316D44"/>
    <w:rsid w:val="003210C8"/>
    <w:rsid w:val="003220AA"/>
    <w:rsid w:val="00322773"/>
    <w:rsid w:val="0032295C"/>
    <w:rsid w:val="00325734"/>
    <w:rsid w:val="00325E9B"/>
    <w:rsid w:val="003303E7"/>
    <w:rsid w:val="0033055C"/>
    <w:rsid w:val="003319EF"/>
    <w:rsid w:val="003326A0"/>
    <w:rsid w:val="0033287C"/>
    <w:rsid w:val="003350EA"/>
    <w:rsid w:val="00335148"/>
    <w:rsid w:val="00335687"/>
    <w:rsid w:val="0033629A"/>
    <w:rsid w:val="0033642F"/>
    <w:rsid w:val="00340BB9"/>
    <w:rsid w:val="00341344"/>
    <w:rsid w:val="00341EF6"/>
    <w:rsid w:val="0034395F"/>
    <w:rsid w:val="00344165"/>
    <w:rsid w:val="003443C2"/>
    <w:rsid w:val="0034457A"/>
    <w:rsid w:val="003447E5"/>
    <w:rsid w:val="00344A42"/>
    <w:rsid w:val="00345308"/>
    <w:rsid w:val="00347408"/>
    <w:rsid w:val="00347940"/>
    <w:rsid w:val="00347DD8"/>
    <w:rsid w:val="00347F10"/>
    <w:rsid w:val="003502ED"/>
    <w:rsid w:val="0035037C"/>
    <w:rsid w:val="0035049A"/>
    <w:rsid w:val="00350531"/>
    <w:rsid w:val="0035138A"/>
    <w:rsid w:val="00352BF0"/>
    <w:rsid w:val="0035354B"/>
    <w:rsid w:val="00353C97"/>
    <w:rsid w:val="00353DBD"/>
    <w:rsid w:val="00354BA6"/>
    <w:rsid w:val="003559D2"/>
    <w:rsid w:val="00355F18"/>
    <w:rsid w:val="00356128"/>
    <w:rsid w:val="003567BF"/>
    <w:rsid w:val="00356BCE"/>
    <w:rsid w:val="00357B8B"/>
    <w:rsid w:val="00360AC0"/>
    <w:rsid w:val="0036182A"/>
    <w:rsid w:val="0036261D"/>
    <w:rsid w:val="00362D57"/>
    <w:rsid w:val="0036300A"/>
    <w:rsid w:val="003634A7"/>
    <w:rsid w:val="00365500"/>
    <w:rsid w:val="0036552D"/>
    <w:rsid w:val="00366380"/>
    <w:rsid w:val="00366CC5"/>
    <w:rsid w:val="00366D26"/>
    <w:rsid w:val="00366EFB"/>
    <w:rsid w:val="00367091"/>
    <w:rsid w:val="00370218"/>
    <w:rsid w:val="00373116"/>
    <w:rsid w:val="003736E6"/>
    <w:rsid w:val="003737A4"/>
    <w:rsid w:val="00373852"/>
    <w:rsid w:val="00373A7D"/>
    <w:rsid w:val="00374CD7"/>
    <w:rsid w:val="00376103"/>
    <w:rsid w:val="00376574"/>
    <w:rsid w:val="00376CD8"/>
    <w:rsid w:val="003771C7"/>
    <w:rsid w:val="003778A3"/>
    <w:rsid w:val="0038362C"/>
    <w:rsid w:val="00384053"/>
    <w:rsid w:val="003864BF"/>
    <w:rsid w:val="003868ED"/>
    <w:rsid w:val="00387982"/>
    <w:rsid w:val="003879A3"/>
    <w:rsid w:val="00387F61"/>
    <w:rsid w:val="0039041B"/>
    <w:rsid w:val="00390444"/>
    <w:rsid w:val="003907D1"/>
    <w:rsid w:val="003907DD"/>
    <w:rsid w:val="003917B0"/>
    <w:rsid w:val="00391842"/>
    <w:rsid w:val="00394160"/>
    <w:rsid w:val="0039439E"/>
    <w:rsid w:val="003949F2"/>
    <w:rsid w:val="00395DAB"/>
    <w:rsid w:val="00396C92"/>
    <w:rsid w:val="0039788C"/>
    <w:rsid w:val="00397976"/>
    <w:rsid w:val="00397C34"/>
    <w:rsid w:val="00397F13"/>
    <w:rsid w:val="00397F88"/>
    <w:rsid w:val="003A2BF6"/>
    <w:rsid w:val="003A3373"/>
    <w:rsid w:val="003A3E29"/>
    <w:rsid w:val="003A45FB"/>
    <w:rsid w:val="003A4F94"/>
    <w:rsid w:val="003A6749"/>
    <w:rsid w:val="003A6D45"/>
    <w:rsid w:val="003A7701"/>
    <w:rsid w:val="003A7E34"/>
    <w:rsid w:val="003B008F"/>
    <w:rsid w:val="003B02CF"/>
    <w:rsid w:val="003B220C"/>
    <w:rsid w:val="003B2EB6"/>
    <w:rsid w:val="003B360A"/>
    <w:rsid w:val="003B4057"/>
    <w:rsid w:val="003B4091"/>
    <w:rsid w:val="003B4482"/>
    <w:rsid w:val="003B6992"/>
    <w:rsid w:val="003B7103"/>
    <w:rsid w:val="003B7123"/>
    <w:rsid w:val="003B7388"/>
    <w:rsid w:val="003B7C60"/>
    <w:rsid w:val="003C06B1"/>
    <w:rsid w:val="003C0D1D"/>
    <w:rsid w:val="003C0FCE"/>
    <w:rsid w:val="003C14FD"/>
    <w:rsid w:val="003C241E"/>
    <w:rsid w:val="003C2917"/>
    <w:rsid w:val="003C33AE"/>
    <w:rsid w:val="003C3B0E"/>
    <w:rsid w:val="003C4E66"/>
    <w:rsid w:val="003C730D"/>
    <w:rsid w:val="003C761E"/>
    <w:rsid w:val="003D0ACF"/>
    <w:rsid w:val="003D1A38"/>
    <w:rsid w:val="003D1AB8"/>
    <w:rsid w:val="003D1BC8"/>
    <w:rsid w:val="003D2AD5"/>
    <w:rsid w:val="003D3D19"/>
    <w:rsid w:val="003D579C"/>
    <w:rsid w:val="003D7E2A"/>
    <w:rsid w:val="003E1C30"/>
    <w:rsid w:val="003E1D23"/>
    <w:rsid w:val="003E2ACE"/>
    <w:rsid w:val="003E40C9"/>
    <w:rsid w:val="003E49F6"/>
    <w:rsid w:val="003E4BC4"/>
    <w:rsid w:val="003E5643"/>
    <w:rsid w:val="003E56E7"/>
    <w:rsid w:val="003E66A9"/>
    <w:rsid w:val="003E68EF"/>
    <w:rsid w:val="003E6DA8"/>
    <w:rsid w:val="003E6EE5"/>
    <w:rsid w:val="003E6F11"/>
    <w:rsid w:val="003E6FFF"/>
    <w:rsid w:val="003E7CD7"/>
    <w:rsid w:val="003F01D5"/>
    <w:rsid w:val="003F05AD"/>
    <w:rsid w:val="003F25A8"/>
    <w:rsid w:val="003F358A"/>
    <w:rsid w:val="003F3B46"/>
    <w:rsid w:val="003F3F23"/>
    <w:rsid w:val="003F43DE"/>
    <w:rsid w:val="003F43E4"/>
    <w:rsid w:val="003F4D6B"/>
    <w:rsid w:val="003F51E5"/>
    <w:rsid w:val="003F5243"/>
    <w:rsid w:val="003F584A"/>
    <w:rsid w:val="003F6981"/>
    <w:rsid w:val="003F6FBD"/>
    <w:rsid w:val="004001EB"/>
    <w:rsid w:val="004023EE"/>
    <w:rsid w:val="00402B28"/>
    <w:rsid w:val="00402C27"/>
    <w:rsid w:val="00403C42"/>
    <w:rsid w:val="00404521"/>
    <w:rsid w:val="004047EF"/>
    <w:rsid w:val="00404CC7"/>
    <w:rsid w:val="00406B4C"/>
    <w:rsid w:val="00406C14"/>
    <w:rsid w:val="00406D3A"/>
    <w:rsid w:val="0040721F"/>
    <w:rsid w:val="00407EDD"/>
    <w:rsid w:val="00410063"/>
    <w:rsid w:val="00410952"/>
    <w:rsid w:val="00411ED1"/>
    <w:rsid w:val="004120B1"/>
    <w:rsid w:val="00412A94"/>
    <w:rsid w:val="00413F4A"/>
    <w:rsid w:val="00414BCC"/>
    <w:rsid w:val="004161CF"/>
    <w:rsid w:val="004164D0"/>
    <w:rsid w:val="0041756A"/>
    <w:rsid w:val="00420BFB"/>
    <w:rsid w:val="0042273B"/>
    <w:rsid w:val="00422A41"/>
    <w:rsid w:val="004233CF"/>
    <w:rsid w:val="00423778"/>
    <w:rsid w:val="004237EC"/>
    <w:rsid w:val="00426BF7"/>
    <w:rsid w:val="00430717"/>
    <w:rsid w:val="00431883"/>
    <w:rsid w:val="0043191E"/>
    <w:rsid w:val="00432242"/>
    <w:rsid w:val="00433473"/>
    <w:rsid w:val="00434B77"/>
    <w:rsid w:val="0043557B"/>
    <w:rsid w:val="00436451"/>
    <w:rsid w:val="00437142"/>
    <w:rsid w:val="00441D7B"/>
    <w:rsid w:val="00442CA0"/>
    <w:rsid w:val="00443380"/>
    <w:rsid w:val="004433E1"/>
    <w:rsid w:val="00443966"/>
    <w:rsid w:val="004454CA"/>
    <w:rsid w:val="00445A77"/>
    <w:rsid w:val="004472A2"/>
    <w:rsid w:val="00447E46"/>
    <w:rsid w:val="00450431"/>
    <w:rsid w:val="00450F36"/>
    <w:rsid w:val="00450F3A"/>
    <w:rsid w:val="00451400"/>
    <w:rsid w:val="004524F9"/>
    <w:rsid w:val="00453027"/>
    <w:rsid w:val="00453567"/>
    <w:rsid w:val="00454834"/>
    <w:rsid w:val="00455920"/>
    <w:rsid w:val="00456D26"/>
    <w:rsid w:val="004574BB"/>
    <w:rsid w:val="00457738"/>
    <w:rsid w:val="004579B2"/>
    <w:rsid w:val="00457BD8"/>
    <w:rsid w:val="004619D3"/>
    <w:rsid w:val="004621A1"/>
    <w:rsid w:val="00462329"/>
    <w:rsid w:val="004625CE"/>
    <w:rsid w:val="00462A19"/>
    <w:rsid w:val="00463587"/>
    <w:rsid w:val="004661F6"/>
    <w:rsid w:val="00466E22"/>
    <w:rsid w:val="004674D6"/>
    <w:rsid w:val="00471762"/>
    <w:rsid w:val="00471F50"/>
    <w:rsid w:val="00472C2C"/>
    <w:rsid w:val="0047369C"/>
    <w:rsid w:val="00473E92"/>
    <w:rsid w:val="004753DA"/>
    <w:rsid w:val="004767B9"/>
    <w:rsid w:val="004769B9"/>
    <w:rsid w:val="00476B93"/>
    <w:rsid w:val="00477385"/>
    <w:rsid w:val="00477560"/>
    <w:rsid w:val="00477592"/>
    <w:rsid w:val="00477CAE"/>
    <w:rsid w:val="00477F66"/>
    <w:rsid w:val="00481511"/>
    <w:rsid w:val="00481987"/>
    <w:rsid w:val="00481ACE"/>
    <w:rsid w:val="0048427B"/>
    <w:rsid w:val="00484940"/>
    <w:rsid w:val="00484F05"/>
    <w:rsid w:val="00485D93"/>
    <w:rsid w:val="00485E16"/>
    <w:rsid w:val="00486266"/>
    <w:rsid w:val="00486A3B"/>
    <w:rsid w:val="0049097D"/>
    <w:rsid w:val="00491690"/>
    <w:rsid w:val="0049177C"/>
    <w:rsid w:val="004918E5"/>
    <w:rsid w:val="004922AA"/>
    <w:rsid w:val="004923CD"/>
    <w:rsid w:val="00493A3B"/>
    <w:rsid w:val="00493DD4"/>
    <w:rsid w:val="00494684"/>
    <w:rsid w:val="004A1EB6"/>
    <w:rsid w:val="004A369F"/>
    <w:rsid w:val="004A3C32"/>
    <w:rsid w:val="004A4440"/>
    <w:rsid w:val="004A5255"/>
    <w:rsid w:val="004A68FD"/>
    <w:rsid w:val="004B079A"/>
    <w:rsid w:val="004B17C6"/>
    <w:rsid w:val="004B182E"/>
    <w:rsid w:val="004B3716"/>
    <w:rsid w:val="004B560C"/>
    <w:rsid w:val="004B6091"/>
    <w:rsid w:val="004B6159"/>
    <w:rsid w:val="004B7F5C"/>
    <w:rsid w:val="004C0560"/>
    <w:rsid w:val="004C1187"/>
    <w:rsid w:val="004C1EEF"/>
    <w:rsid w:val="004C2A7B"/>
    <w:rsid w:val="004C2E74"/>
    <w:rsid w:val="004C3365"/>
    <w:rsid w:val="004C4E3A"/>
    <w:rsid w:val="004C52F0"/>
    <w:rsid w:val="004C68B7"/>
    <w:rsid w:val="004C77FE"/>
    <w:rsid w:val="004D6CC1"/>
    <w:rsid w:val="004D75A7"/>
    <w:rsid w:val="004D785B"/>
    <w:rsid w:val="004E0001"/>
    <w:rsid w:val="004E11A6"/>
    <w:rsid w:val="004E1459"/>
    <w:rsid w:val="004E3E84"/>
    <w:rsid w:val="004E4838"/>
    <w:rsid w:val="004E5834"/>
    <w:rsid w:val="004E70FC"/>
    <w:rsid w:val="004E7515"/>
    <w:rsid w:val="004E7584"/>
    <w:rsid w:val="004E7AF8"/>
    <w:rsid w:val="004F183F"/>
    <w:rsid w:val="004F1ABE"/>
    <w:rsid w:val="004F2075"/>
    <w:rsid w:val="004F3265"/>
    <w:rsid w:val="004F39A3"/>
    <w:rsid w:val="004F423F"/>
    <w:rsid w:val="004F56B7"/>
    <w:rsid w:val="004F6147"/>
    <w:rsid w:val="004F6DC0"/>
    <w:rsid w:val="004F7C96"/>
    <w:rsid w:val="005022F7"/>
    <w:rsid w:val="0050367A"/>
    <w:rsid w:val="0050439A"/>
    <w:rsid w:val="0050502E"/>
    <w:rsid w:val="005056EF"/>
    <w:rsid w:val="00510C5B"/>
    <w:rsid w:val="00510E74"/>
    <w:rsid w:val="005111D7"/>
    <w:rsid w:val="0051368F"/>
    <w:rsid w:val="005137AA"/>
    <w:rsid w:val="00513C70"/>
    <w:rsid w:val="00513CFC"/>
    <w:rsid w:val="00514771"/>
    <w:rsid w:val="00515D0D"/>
    <w:rsid w:val="00516E0D"/>
    <w:rsid w:val="00517718"/>
    <w:rsid w:val="00517BDA"/>
    <w:rsid w:val="00521776"/>
    <w:rsid w:val="005242E3"/>
    <w:rsid w:val="00524E52"/>
    <w:rsid w:val="00525905"/>
    <w:rsid w:val="00526824"/>
    <w:rsid w:val="005300CB"/>
    <w:rsid w:val="00532D71"/>
    <w:rsid w:val="00532F57"/>
    <w:rsid w:val="0053355C"/>
    <w:rsid w:val="00533843"/>
    <w:rsid w:val="005338E3"/>
    <w:rsid w:val="0053475C"/>
    <w:rsid w:val="00536F80"/>
    <w:rsid w:val="005405AD"/>
    <w:rsid w:val="0054227D"/>
    <w:rsid w:val="005425A9"/>
    <w:rsid w:val="00542D98"/>
    <w:rsid w:val="00542DF9"/>
    <w:rsid w:val="00542FDB"/>
    <w:rsid w:val="00542FE1"/>
    <w:rsid w:val="005430EC"/>
    <w:rsid w:val="005459C7"/>
    <w:rsid w:val="00546223"/>
    <w:rsid w:val="00546A55"/>
    <w:rsid w:val="0054701F"/>
    <w:rsid w:val="0055056D"/>
    <w:rsid w:val="00550A6B"/>
    <w:rsid w:val="005517EA"/>
    <w:rsid w:val="00553CF3"/>
    <w:rsid w:val="00554FEA"/>
    <w:rsid w:val="00556056"/>
    <w:rsid w:val="0055631B"/>
    <w:rsid w:val="00557504"/>
    <w:rsid w:val="0055793D"/>
    <w:rsid w:val="00560C37"/>
    <w:rsid w:val="00561BCD"/>
    <w:rsid w:val="005625B8"/>
    <w:rsid w:val="00563BD0"/>
    <w:rsid w:val="00563F54"/>
    <w:rsid w:val="00564303"/>
    <w:rsid w:val="00566145"/>
    <w:rsid w:val="0056623E"/>
    <w:rsid w:val="00566E7E"/>
    <w:rsid w:val="0056701E"/>
    <w:rsid w:val="00567F3F"/>
    <w:rsid w:val="005702B3"/>
    <w:rsid w:val="0057104C"/>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47BC"/>
    <w:rsid w:val="00584DC8"/>
    <w:rsid w:val="00586887"/>
    <w:rsid w:val="00586D11"/>
    <w:rsid w:val="005877A6"/>
    <w:rsid w:val="00590345"/>
    <w:rsid w:val="0059095D"/>
    <w:rsid w:val="0059192A"/>
    <w:rsid w:val="0059199F"/>
    <w:rsid w:val="00591CFD"/>
    <w:rsid w:val="00594765"/>
    <w:rsid w:val="00595B2F"/>
    <w:rsid w:val="005963A1"/>
    <w:rsid w:val="00596853"/>
    <w:rsid w:val="00596D40"/>
    <w:rsid w:val="0059716A"/>
    <w:rsid w:val="005A056C"/>
    <w:rsid w:val="005A0F2A"/>
    <w:rsid w:val="005A2B88"/>
    <w:rsid w:val="005A2BFB"/>
    <w:rsid w:val="005A3EFB"/>
    <w:rsid w:val="005A44A1"/>
    <w:rsid w:val="005A526D"/>
    <w:rsid w:val="005A6075"/>
    <w:rsid w:val="005A6716"/>
    <w:rsid w:val="005A686D"/>
    <w:rsid w:val="005A7A67"/>
    <w:rsid w:val="005A7FAD"/>
    <w:rsid w:val="005B114C"/>
    <w:rsid w:val="005B1202"/>
    <w:rsid w:val="005B1D19"/>
    <w:rsid w:val="005B2482"/>
    <w:rsid w:val="005B31F5"/>
    <w:rsid w:val="005B36D2"/>
    <w:rsid w:val="005B4922"/>
    <w:rsid w:val="005B578B"/>
    <w:rsid w:val="005B62EF"/>
    <w:rsid w:val="005B6759"/>
    <w:rsid w:val="005B67CA"/>
    <w:rsid w:val="005B70A8"/>
    <w:rsid w:val="005B7B19"/>
    <w:rsid w:val="005C0032"/>
    <w:rsid w:val="005C0234"/>
    <w:rsid w:val="005C0DEA"/>
    <w:rsid w:val="005C1161"/>
    <w:rsid w:val="005C170C"/>
    <w:rsid w:val="005C18FF"/>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5B"/>
    <w:rsid w:val="005D21F5"/>
    <w:rsid w:val="005D2F63"/>
    <w:rsid w:val="005D3D03"/>
    <w:rsid w:val="005D43DE"/>
    <w:rsid w:val="005D444C"/>
    <w:rsid w:val="005D5CDE"/>
    <w:rsid w:val="005D5FC4"/>
    <w:rsid w:val="005D79C8"/>
    <w:rsid w:val="005E10CA"/>
    <w:rsid w:val="005E2147"/>
    <w:rsid w:val="005E24DF"/>
    <w:rsid w:val="005E2B4C"/>
    <w:rsid w:val="005E336C"/>
    <w:rsid w:val="005E4E5D"/>
    <w:rsid w:val="005E56C3"/>
    <w:rsid w:val="005E6181"/>
    <w:rsid w:val="005E7CEF"/>
    <w:rsid w:val="005E7E6B"/>
    <w:rsid w:val="005F02D7"/>
    <w:rsid w:val="005F0774"/>
    <w:rsid w:val="005F14F2"/>
    <w:rsid w:val="005F1DF6"/>
    <w:rsid w:val="005F26EF"/>
    <w:rsid w:val="005F35E2"/>
    <w:rsid w:val="005F3FDB"/>
    <w:rsid w:val="005F4354"/>
    <w:rsid w:val="005F51BD"/>
    <w:rsid w:val="005F6547"/>
    <w:rsid w:val="005F67B0"/>
    <w:rsid w:val="005F6A8E"/>
    <w:rsid w:val="005F6B63"/>
    <w:rsid w:val="005F7522"/>
    <w:rsid w:val="005F79CF"/>
    <w:rsid w:val="005F7F32"/>
    <w:rsid w:val="00600663"/>
    <w:rsid w:val="0060070D"/>
    <w:rsid w:val="00601B0E"/>
    <w:rsid w:val="006022B6"/>
    <w:rsid w:val="00604430"/>
    <w:rsid w:val="00605DCE"/>
    <w:rsid w:val="00606506"/>
    <w:rsid w:val="00606915"/>
    <w:rsid w:val="00606DC2"/>
    <w:rsid w:val="00607F79"/>
    <w:rsid w:val="00610FED"/>
    <w:rsid w:val="00611123"/>
    <w:rsid w:val="006116E2"/>
    <w:rsid w:val="006136AA"/>
    <w:rsid w:val="00613A35"/>
    <w:rsid w:val="00613CD3"/>
    <w:rsid w:val="0061498D"/>
    <w:rsid w:val="00614AE7"/>
    <w:rsid w:val="00614BF2"/>
    <w:rsid w:val="00614E31"/>
    <w:rsid w:val="0061509A"/>
    <w:rsid w:val="006152E5"/>
    <w:rsid w:val="0061614B"/>
    <w:rsid w:val="0061766B"/>
    <w:rsid w:val="0062031F"/>
    <w:rsid w:val="00621320"/>
    <w:rsid w:val="00621558"/>
    <w:rsid w:val="00621911"/>
    <w:rsid w:val="006224CB"/>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1F9"/>
    <w:rsid w:val="0063768F"/>
    <w:rsid w:val="00637FE3"/>
    <w:rsid w:val="00641268"/>
    <w:rsid w:val="006434F1"/>
    <w:rsid w:val="006436BB"/>
    <w:rsid w:val="006438BB"/>
    <w:rsid w:val="00643FD2"/>
    <w:rsid w:val="006440AF"/>
    <w:rsid w:val="00644988"/>
    <w:rsid w:val="00645C09"/>
    <w:rsid w:val="00647E31"/>
    <w:rsid w:val="006512CC"/>
    <w:rsid w:val="00651832"/>
    <w:rsid w:val="00651843"/>
    <w:rsid w:val="00651CB4"/>
    <w:rsid w:val="00652C1A"/>
    <w:rsid w:val="006534F5"/>
    <w:rsid w:val="00654265"/>
    <w:rsid w:val="00654410"/>
    <w:rsid w:val="00654C03"/>
    <w:rsid w:val="006550CE"/>
    <w:rsid w:val="006562FA"/>
    <w:rsid w:val="00657497"/>
    <w:rsid w:val="006604C5"/>
    <w:rsid w:val="0066185C"/>
    <w:rsid w:val="00662397"/>
    <w:rsid w:val="00663810"/>
    <w:rsid w:val="0066449E"/>
    <w:rsid w:val="0066531B"/>
    <w:rsid w:val="0066536E"/>
    <w:rsid w:val="006665C5"/>
    <w:rsid w:val="00670FE0"/>
    <w:rsid w:val="00672591"/>
    <w:rsid w:val="00672700"/>
    <w:rsid w:val="00674CF8"/>
    <w:rsid w:val="00675520"/>
    <w:rsid w:val="00675C3C"/>
    <w:rsid w:val="006761CC"/>
    <w:rsid w:val="00676CF8"/>
    <w:rsid w:val="0068003B"/>
    <w:rsid w:val="00680C49"/>
    <w:rsid w:val="0068132F"/>
    <w:rsid w:val="006815B3"/>
    <w:rsid w:val="00681E6F"/>
    <w:rsid w:val="00681FF3"/>
    <w:rsid w:val="00682BCE"/>
    <w:rsid w:val="00683139"/>
    <w:rsid w:val="0068335F"/>
    <w:rsid w:val="00684418"/>
    <w:rsid w:val="00684A9B"/>
    <w:rsid w:val="0068585E"/>
    <w:rsid w:val="006858D4"/>
    <w:rsid w:val="00686219"/>
    <w:rsid w:val="006874E2"/>
    <w:rsid w:val="00690355"/>
    <w:rsid w:val="00691898"/>
    <w:rsid w:val="00693098"/>
    <w:rsid w:val="0069365C"/>
    <w:rsid w:val="00694332"/>
    <w:rsid w:val="006946FB"/>
    <w:rsid w:val="00694C9C"/>
    <w:rsid w:val="00695FCB"/>
    <w:rsid w:val="00696758"/>
    <w:rsid w:val="006971C6"/>
    <w:rsid w:val="00697475"/>
    <w:rsid w:val="006A0272"/>
    <w:rsid w:val="006A0D9E"/>
    <w:rsid w:val="006A2241"/>
    <w:rsid w:val="006A3A61"/>
    <w:rsid w:val="006A3C57"/>
    <w:rsid w:val="006A4B82"/>
    <w:rsid w:val="006A5E2A"/>
    <w:rsid w:val="006A5FCD"/>
    <w:rsid w:val="006A65BC"/>
    <w:rsid w:val="006A6A5D"/>
    <w:rsid w:val="006A6C4C"/>
    <w:rsid w:val="006A6CDC"/>
    <w:rsid w:val="006B2A4B"/>
    <w:rsid w:val="006B306D"/>
    <w:rsid w:val="006B420D"/>
    <w:rsid w:val="006B4A86"/>
    <w:rsid w:val="006B55BE"/>
    <w:rsid w:val="006B5A29"/>
    <w:rsid w:val="006B6220"/>
    <w:rsid w:val="006B6354"/>
    <w:rsid w:val="006B7D5F"/>
    <w:rsid w:val="006C0B97"/>
    <w:rsid w:val="006C11BB"/>
    <w:rsid w:val="006C1E06"/>
    <w:rsid w:val="006C2A1E"/>
    <w:rsid w:val="006C415F"/>
    <w:rsid w:val="006C4478"/>
    <w:rsid w:val="006C44F6"/>
    <w:rsid w:val="006C5868"/>
    <w:rsid w:val="006C69D9"/>
    <w:rsid w:val="006C6A77"/>
    <w:rsid w:val="006C6AFC"/>
    <w:rsid w:val="006C6C96"/>
    <w:rsid w:val="006C7137"/>
    <w:rsid w:val="006D3E64"/>
    <w:rsid w:val="006D493C"/>
    <w:rsid w:val="006D5556"/>
    <w:rsid w:val="006D5A54"/>
    <w:rsid w:val="006D6283"/>
    <w:rsid w:val="006D7020"/>
    <w:rsid w:val="006E1541"/>
    <w:rsid w:val="006E381D"/>
    <w:rsid w:val="006E52DB"/>
    <w:rsid w:val="006E6538"/>
    <w:rsid w:val="006E7418"/>
    <w:rsid w:val="006F02A4"/>
    <w:rsid w:val="006F2BF5"/>
    <w:rsid w:val="006F3B4F"/>
    <w:rsid w:val="006F46FA"/>
    <w:rsid w:val="006F52EB"/>
    <w:rsid w:val="006F5BA7"/>
    <w:rsid w:val="006F6F26"/>
    <w:rsid w:val="007011DC"/>
    <w:rsid w:val="00701EA9"/>
    <w:rsid w:val="00702EED"/>
    <w:rsid w:val="0070455F"/>
    <w:rsid w:val="0070692D"/>
    <w:rsid w:val="00707003"/>
    <w:rsid w:val="007073CF"/>
    <w:rsid w:val="00707E4F"/>
    <w:rsid w:val="00710B75"/>
    <w:rsid w:val="0071119C"/>
    <w:rsid w:val="00711456"/>
    <w:rsid w:val="007115F9"/>
    <w:rsid w:val="00712087"/>
    <w:rsid w:val="007136C2"/>
    <w:rsid w:val="0071541C"/>
    <w:rsid w:val="007163CE"/>
    <w:rsid w:val="007243F0"/>
    <w:rsid w:val="007248E7"/>
    <w:rsid w:val="00724B19"/>
    <w:rsid w:val="00725167"/>
    <w:rsid w:val="0072549F"/>
    <w:rsid w:val="00725705"/>
    <w:rsid w:val="007260C0"/>
    <w:rsid w:val="00726761"/>
    <w:rsid w:val="00727DCD"/>
    <w:rsid w:val="0073109B"/>
    <w:rsid w:val="00731395"/>
    <w:rsid w:val="00731996"/>
    <w:rsid w:val="00731D99"/>
    <w:rsid w:val="00731F21"/>
    <w:rsid w:val="007324EE"/>
    <w:rsid w:val="00733A6F"/>
    <w:rsid w:val="00734046"/>
    <w:rsid w:val="00734096"/>
    <w:rsid w:val="0073476E"/>
    <w:rsid w:val="007358A7"/>
    <w:rsid w:val="007365D8"/>
    <w:rsid w:val="0074027D"/>
    <w:rsid w:val="00740F06"/>
    <w:rsid w:val="00741268"/>
    <w:rsid w:val="00741AB3"/>
    <w:rsid w:val="007421F4"/>
    <w:rsid w:val="00743AC9"/>
    <w:rsid w:val="00743B9A"/>
    <w:rsid w:val="00744CAF"/>
    <w:rsid w:val="00745072"/>
    <w:rsid w:val="00746744"/>
    <w:rsid w:val="00746F95"/>
    <w:rsid w:val="00747D71"/>
    <w:rsid w:val="00747F6A"/>
    <w:rsid w:val="00750893"/>
    <w:rsid w:val="0075254F"/>
    <w:rsid w:val="0075270A"/>
    <w:rsid w:val="00752713"/>
    <w:rsid w:val="00757931"/>
    <w:rsid w:val="007602CF"/>
    <w:rsid w:val="00760342"/>
    <w:rsid w:val="00760426"/>
    <w:rsid w:val="00761A1B"/>
    <w:rsid w:val="00761C3F"/>
    <w:rsid w:val="00762957"/>
    <w:rsid w:val="00763A61"/>
    <w:rsid w:val="0076466E"/>
    <w:rsid w:val="007653BB"/>
    <w:rsid w:val="00765462"/>
    <w:rsid w:val="00765739"/>
    <w:rsid w:val="00765C5E"/>
    <w:rsid w:val="007668B6"/>
    <w:rsid w:val="007671F8"/>
    <w:rsid w:val="00767D05"/>
    <w:rsid w:val="007730B6"/>
    <w:rsid w:val="00775066"/>
    <w:rsid w:val="007753E7"/>
    <w:rsid w:val="007769C0"/>
    <w:rsid w:val="00776E99"/>
    <w:rsid w:val="007779F9"/>
    <w:rsid w:val="007800C8"/>
    <w:rsid w:val="00780DE8"/>
    <w:rsid w:val="0078303D"/>
    <w:rsid w:val="007832B9"/>
    <w:rsid w:val="00784E73"/>
    <w:rsid w:val="00785284"/>
    <w:rsid w:val="00785B13"/>
    <w:rsid w:val="00785BEC"/>
    <w:rsid w:val="00785C95"/>
    <w:rsid w:val="007861CC"/>
    <w:rsid w:val="00786AC2"/>
    <w:rsid w:val="00787252"/>
    <w:rsid w:val="00787721"/>
    <w:rsid w:val="00787CED"/>
    <w:rsid w:val="0079040E"/>
    <w:rsid w:val="00790656"/>
    <w:rsid w:val="00791D6B"/>
    <w:rsid w:val="00792C5E"/>
    <w:rsid w:val="00792DEA"/>
    <w:rsid w:val="00792F67"/>
    <w:rsid w:val="00793E3C"/>
    <w:rsid w:val="00795441"/>
    <w:rsid w:val="00795C40"/>
    <w:rsid w:val="00796570"/>
    <w:rsid w:val="00796751"/>
    <w:rsid w:val="00796CAF"/>
    <w:rsid w:val="007975C7"/>
    <w:rsid w:val="00797677"/>
    <w:rsid w:val="00797BD2"/>
    <w:rsid w:val="00797ECB"/>
    <w:rsid w:val="007A1BE9"/>
    <w:rsid w:val="007A1E1A"/>
    <w:rsid w:val="007A36C3"/>
    <w:rsid w:val="007A3BB4"/>
    <w:rsid w:val="007A576D"/>
    <w:rsid w:val="007A59D1"/>
    <w:rsid w:val="007A5B76"/>
    <w:rsid w:val="007A70DA"/>
    <w:rsid w:val="007A7522"/>
    <w:rsid w:val="007B05D1"/>
    <w:rsid w:val="007B136E"/>
    <w:rsid w:val="007B14D6"/>
    <w:rsid w:val="007B184B"/>
    <w:rsid w:val="007B20A8"/>
    <w:rsid w:val="007B247C"/>
    <w:rsid w:val="007B331E"/>
    <w:rsid w:val="007B4F0E"/>
    <w:rsid w:val="007B53B1"/>
    <w:rsid w:val="007B5FCF"/>
    <w:rsid w:val="007B6B17"/>
    <w:rsid w:val="007B6CB1"/>
    <w:rsid w:val="007B6CFE"/>
    <w:rsid w:val="007B779C"/>
    <w:rsid w:val="007B7A64"/>
    <w:rsid w:val="007C00FF"/>
    <w:rsid w:val="007C02BF"/>
    <w:rsid w:val="007C1293"/>
    <w:rsid w:val="007C1E8E"/>
    <w:rsid w:val="007C3352"/>
    <w:rsid w:val="007C337C"/>
    <w:rsid w:val="007C35CE"/>
    <w:rsid w:val="007C379F"/>
    <w:rsid w:val="007C4142"/>
    <w:rsid w:val="007C42D9"/>
    <w:rsid w:val="007C454A"/>
    <w:rsid w:val="007C4D15"/>
    <w:rsid w:val="007C6571"/>
    <w:rsid w:val="007D28E4"/>
    <w:rsid w:val="007D3477"/>
    <w:rsid w:val="007D41B3"/>
    <w:rsid w:val="007D5AE7"/>
    <w:rsid w:val="007D5F08"/>
    <w:rsid w:val="007D65A6"/>
    <w:rsid w:val="007D66D3"/>
    <w:rsid w:val="007D671C"/>
    <w:rsid w:val="007D6825"/>
    <w:rsid w:val="007D7CA7"/>
    <w:rsid w:val="007E068D"/>
    <w:rsid w:val="007E25A1"/>
    <w:rsid w:val="007E3CDA"/>
    <w:rsid w:val="007E53B7"/>
    <w:rsid w:val="007E686B"/>
    <w:rsid w:val="007E73AA"/>
    <w:rsid w:val="007F0078"/>
    <w:rsid w:val="007F1CA7"/>
    <w:rsid w:val="007F23F5"/>
    <w:rsid w:val="007F2A6F"/>
    <w:rsid w:val="007F2AA2"/>
    <w:rsid w:val="007F3A3C"/>
    <w:rsid w:val="007F4B07"/>
    <w:rsid w:val="007F52A0"/>
    <w:rsid w:val="007F5327"/>
    <w:rsid w:val="007F5822"/>
    <w:rsid w:val="007F60ED"/>
    <w:rsid w:val="007F6653"/>
    <w:rsid w:val="00802062"/>
    <w:rsid w:val="00803B14"/>
    <w:rsid w:val="0080439B"/>
    <w:rsid w:val="00805CB4"/>
    <w:rsid w:val="00807755"/>
    <w:rsid w:val="008118DE"/>
    <w:rsid w:val="00811BFA"/>
    <w:rsid w:val="0081372B"/>
    <w:rsid w:val="008143C7"/>
    <w:rsid w:val="00815364"/>
    <w:rsid w:val="00815B36"/>
    <w:rsid w:val="008168C8"/>
    <w:rsid w:val="00816A54"/>
    <w:rsid w:val="00816F99"/>
    <w:rsid w:val="00816FAC"/>
    <w:rsid w:val="008175AE"/>
    <w:rsid w:val="00817948"/>
    <w:rsid w:val="00820102"/>
    <w:rsid w:val="00820533"/>
    <w:rsid w:val="00820DA2"/>
    <w:rsid w:val="00820EF2"/>
    <w:rsid w:val="0082139D"/>
    <w:rsid w:val="008217CA"/>
    <w:rsid w:val="00821862"/>
    <w:rsid w:val="00822C66"/>
    <w:rsid w:val="00822EE6"/>
    <w:rsid w:val="008235EB"/>
    <w:rsid w:val="00826458"/>
    <w:rsid w:val="00826496"/>
    <w:rsid w:val="00826C3A"/>
    <w:rsid w:val="00827FAE"/>
    <w:rsid w:val="008316F0"/>
    <w:rsid w:val="00833446"/>
    <w:rsid w:val="008340DB"/>
    <w:rsid w:val="008353AD"/>
    <w:rsid w:val="008356AB"/>
    <w:rsid w:val="0083594E"/>
    <w:rsid w:val="00836221"/>
    <w:rsid w:val="0083635F"/>
    <w:rsid w:val="0083794A"/>
    <w:rsid w:val="00840C7D"/>
    <w:rsid w:val="008410CE"/>
    <w:rsid w:val="00841856"/>
    <w:rsid w:val="008423B1"/>
    <w:rsid w:val="008439FD"/>
    <w:rsid w:val="00844690"/>
    <w:rsid w:val="0084493D"/>
    <w:rsid w:val="00845ABF"/>
    <w:rsid w:val="00845BB7"/>
    <w:rsid w:val="00846B0F"/>
    <w:rsid w:val="008470F8"/>
    <w:rsid w:val="008511A9"/>
    <w:rsid w:val="0085194A"/>
    <w:rsid w:val="008538BF"/>
    <w:rsid w:val="00854C95"/>
    <w:rsid w:val="008553C3"/>
    <w:rsid w:val="0085584F"/>
    <w:rsid w:val="0085607B"/>
    <w:rsid w:val="0085695A"/>
    <w:rsid w:val="00857095"/>
    <w:rsid w:val="0085751C"/>
    <w:rsid w:val="00857E68"/>
    <w:rsid w:val="00860A16"/>
    <w:rsid w:val="00862803"/>
    <w:rsid w:val="00863EF3"/>
    <w:rsid w:val="008640A5"/>
    <w:rsid w:val="00864344"/>
    <w:rsid w:val="008643EE"/>
    <w:rsid w:val="00866749"/>
    <w:rsid w:val="00866C59"/>
    <w:rsid w:val="00867112"/>
    <w:rsid w:val="008701EA"/>
    <w:rsid w:val="00872B7C"/>
    <w:rsid w:val="00872FD2"/>
    <w:rsid w:val="00873145"/>
    <w:rsid w:val="008735E6"/>
    <w:rsid w:val="00873DEC"/>
    <w:rsid w:val="00874F67"/>
    <w:rsid w:val="008750AE"/>
    <w:rsid w:val="008754FB"/>
    <w:rsid w:val="0087577B"/>
    <w:rsid w:val="00875846"/>
    <w:rsid w:val="00875B41"/>
    <w:rsid w:val="00876BE8"/>
    <w:rsid w:val="00880704"/>
    <w:rsid w:val="008807C9"/>
    <w:rsid w:val="00880D9C"/>
    <w:rsid w:val="00882145"/>
    <w:rsid w:val="0088281D"/>
    <w:rsid w:val="00883598"/>
    <w:rsid w:val="008835DC"/>
    <w:rsid w:val="0088400D"/>
    <w:rsid w:val="00886A24"/>
    <w:rsid w:val="00887FC8"/>
    <w:rsid w:val="008905D0"/>
    <w:rsid w:val="00891FAC"/>
    <w:rsid w:val="008933EB"/>
    <w:rsid w:val="00894A34"/>
    <w:rsid w:val="00896B15"/>
    <w:rsid w:val="00896E0E"/>
    <w:rsid w:val="008970DD"/>
    <w:rsid w:val="008A06AB"/>
    <w:rsid w:val="008A1EBB"/>
    <w:rsid w:val="008A207F"/>
    <w:rsid w:val="008A239F"/>
    <w:rsid w:val="008A4638"/>
    <w:rsid w:val="008A4854"/>
    <w:rsid w:val="008A51A2"/>
    <w:rsid w:val="008A571E"/>
    <w:rsid w:val="008A5774"/>
    <w:rsid w:val="008A5EAE"/>
    <w:rsid w:val="008A5F73"/>
    <w:rsid w:val="008A62BC"/>
    <w:rsid w:val="008A647B"/>
    <w:rsid w:val="008A6B66"/>
    <w:rsid w:val="008A7633"/>
    <w:rsid w:val="008A7990"/>
    <w:rsid w:val="008A7C59"/>
    <w:rsid w:val="008A7D00"/>
    <w:rsid w:val="008B0063"/>
    <w:rsid w:val="008B01FD"/>
    <w:rsid w:val="008B10C5"/>
    <w:rsid w:val="008B457B"/>
    <w:rsid w:val="008B63EE"/>
    <w:rsid w:val="008B6567"/>
    <w:rsid w:val="008C077F"/>
    <w:rsid w:val="008C0815"/>
    <w:rsid w:val="008C1455"/>
    <w:rsid w:val="008C150F"/>
    <w:rsid w:val="008C1BC3"/>
    <w:rsid w:val="008C21D1"/>
    <w:rsid w:val="008C2F93"/>
    <w:rsid w:val="008C3291"/>
    <w:rsid w:val="008C3521"/>
    <w:rsid w:val="008C3DED"/>
    <w:rsid w:val="008C53D3"/>
    <w:rsid w:val="008C5860"/>
    <w:rsid w:val="008C59A1"/>
    <w:rsid w:val="008C605A"/>
    <w:rsid w:val="008C6C0A"/>
    <w:rsid w:val="008C7693"/>
    <w:rsid w:val="008D05BE"/>
    <w:rsid w:val="008D0660"/>
    <w:rsid w:val="008D0BA8"/>
    <w:rsid w:val="008D0CDE"/>
    <w:rsid w:val="008D244E"/>
    <w:rsid w:val="008D374F"/>
    <w:rsid w:val="008D37EE"/>
    <w:rsid w:val="008D3F6E"/>
    <w:rsid w:val="008D41F3"/>
    <w:rsid w:val="008D5354"/>
    <w:rsid w:val="008D55D2"/>
    <w:rsid w:val="008D5C49"/>
    <w:rsid w:val="008D5E07"/>
    <w:rsid w:val="008D5FB3"/>
    <w:rsid w:val="008D670C"/>
    <w:rsid w:val="008D6B97"/>
    <w:rsid w:val="008D7166"/>
    <w:rsid w:val="008D7741"/>
    <w:rsid w:val="008D7B3A"/>
    <w:rsid w:val="008E3028"/>
    <w:rsid w:val="008E4D40"/>
    <w:rsid w:val="008F2A0C"/>
    <w:rsid w:val="008F2B0F"/>
    <w:rsid w:val="008F2C8A"/>
    <w:rsid w:val="008F30D0"/>
    <w:rsid w:val="008F3AB2"/>
    <w:rsid w:val="008F3C11"/>
    <w:rsid w:val="008F524B"/>
    <w:rsid w:val="008F6DCD"/>
    <w:rsid w:val="008F74E6"/>
    <w:rsid w:val="008F7C36"/>
    <w:rsid w:val="0090191B"/>
    <w:rsid w:val="009025D1"/>
    <w:rsid w:val="009043D9"/>
    <w:rsid w:val="0090564C"/>
    <w:rsid w:val="0090590B"/>
    <w:rsid w:val="0090632E"/>
    <w:rsid w:val="009074B5"/>
    <w:rsid w:val="00907D2D"/>
    <w:rsid w:val="00910557"/>
    <w:rsid w:val="0091237F"/>
    <w:rsid w:val="00913CB4"/>
    <w:rsid w:val="00915953"/>
    <w:rsid w:val="00915987"/>
    <w:rsid w:val="009173CE"/>
    <w:rsid w:val="00921439"/>
    <w:rsid w:val="00921D04"/>
    <w:rsid w:val="009229D6"/>
    <w:rsid w:val="009231EC"/>
    <w:rsid w:val="00923635"/>
    <w:rsid w:val="009241DA"/>
    <w:rsid w:val="009245E3"/>
    <w:rsid w:val="009250CC"/>
    <w:rsid w:val="0092514E"/>
    <w:rsid w:val="00925A90"/>
    <w:rsid w:val="00925D8C"/>
    <w:rsid w:val="00927457"/>
    <w:rsid w:val="00927FBE"/>
    <w:rsid w:val="00930BA6"/>
    <w:rsid w:val="00931136"/>
    <w:rsid w:val="009327EF"/>
    <w:rsid w:val="0093299E"/>
    <w:rsid w:val="00933218"/>
    <w:rsid w:val="00933233"/>
    <w:rsid w:val="00933F3C"/>
    <w:rsid w:val="00934522"/>
    <w:rsid w:val="009348EC"/>
    <w:rsid w:val="00934CFA"/>
    <w:rsid w:val="00934F06"/>
    <w:rsid w:val="0093518C"/>
    <w:rsid w:val="009432AC"/>
    <w:rsid w:val="00943DF1"/>
    <w:rsid w:val="00944396"/>
    <w:rsid w:val="0094574B"/>
    <w:rsid w:val="00946AE0"/>
    <w:rsid w:val="009473CF"/>
    <w:rsid w:val="00950BD1"/>
    <w:rsid w:val="00950F8F"/>
    <w:rsid w:val="0095143D"/>
    <w:rsid w:val="009514F9"/>
    <w:rsid w:val="0095255D"/>
    <w:rsid w:val="00952B82"/>
    <w:rsid w:val="0095385B"/>
    <w:rsid w:val="00953DF7"/>
    <w:rsid w:val="009541BE"/>
    <w:rsid w:val="0095554F"/>
    <w:rsid w:val="00956D94"/>
    <w:rsid w:val="0095717C"/>
    <w:rsid w:val="0095780C"/>
    <w:rsid w:val="00957B66"/>
    <w:rsid w:val="0096028E"/>
    <w:rsid w:val="009605B1"/>
    <w:rsid w:val="00961301"/>
    <w:rsid w:val="00961EB0"/>
    <w:rsid w:val="00961F3B"/>
    <w:rsid w:val="00963743"/>
    <w:rsid w:val="00963ABC"/>
    <w:rsid w:val="00963CB4"/>
    <w:rsid w:val="00966425"/>
    <w:rsid w:val="00967BCA"/>
    <w:rsid w:val="00970EA1"/>
    <w:rsid w:val="00971128"/>
    <w:rsid w:val="00971331"/>
    <w:rsid w:val="00972C06"/>
    <w:rsid w:val="00972D17"/>
    <w:rsid w:val="00975A93"/>
    <w:rsid w:val="00976110"/>
    <w:rsid w:val="00976F8A"/>
    <w:rsid w:val="009776DF"/>
    <w:rsid w:val="00977D6E"/>
    <w:rsid w:val="009805AB"/>
    <w:rsid w:val="00981E24"/>
    <w:rsid w:val="00983124"/>
    <w:rsid w:val="009835D6"/>
    <w:rsid w:val="0098397F"/>
    <w:rsid w:val="009846F3"/>
    <w:rsid w:val="00985846"/>
    <w:rsid w:val="00985862"/>
    <w:rsid w:val="009860B3"/>
    <w:rsid w:val="0098616B"/>
    <w:rsid w:val="00987B6C"/>
    <w:rsid w:val="00991805"/>
    <w:rsid w:val="00991BB6"/>
    <w:rsid w:val="0099296E"/>
    <w:rsid w:val="00992DAD"/>
    <w:rsid w:val="00992FFB"/>
    <w:rsid w:val="00995292"/>
    <w:rsid w:val="009961D6"/>
    <w:rsid w:val="009975C1"/>
    <w:rsid w:val="00997893"/>
    <w:rsid w:val="009978DB"/>
    <w:rsid w:val="009A08A2"/>
    <w:rsid w:val="009A1155"/>
    <w:rsid w:val="009A1670"/>
    <w:rsid w:val="009A17BF"/>
    <w:rsid w:val="009A1A44"/>
    <w:rsid w:val="009A1C3C"/>
    <w:rsid w:val="009A21E6"/>
    <w:rsid w:val="009A266A"/>
    <w:rsid w:val="009A269A"/>
    <w:rsid w:val="009A34A7"/>
    <w:rsid w:val="009A38A2"/>
    <w:rsid w:val="009A38D2"/>
    <w:rsid w:val="009A3B5E"/>
    <w:rsid w:val="009A3EFE"/>
    <w:rsid w:val="009A40C7"/>
    <w:rsid w:val="009A4DF7"/>
    <w:rsid w:val="009A4F8C"/>
    <w:rsid w:val="009A5DBE"/>
    <w:rsid w:val="009B0BB0"/>
    <w:rsid w:val="009B0F31"/>
    <w:rsid w:val="009B0F4C"/>
    <w:rsid w:val="009B329D"/>
    <w:rsid w:val="009B3981"/>
    <w:rsid w:val="009B43CC"/>
    <w:rsid w:val="009B7BB4"/>
    <w:rsid w:val="009C0B8F"/>
    <w:rsid w:val="009C0F3B"/>
    <w:rsid w:val="009C11BE"/>
    <w:rsid w:val="009C1BA6"/>
    <w:rsid w:val="009C1F80"/>
    <w:rsid w:val="009C3304"/>
    <w:rsid w:val="009C3A29"/>
    <w:rsid w:val="009C407C"/>
    <w:rsid w:val="009C4376"/>
    <w:rsid w:val="009C44EA"/>
    <w:rsid w:val="009C69B1"/>
    <w:rsid w:val="009C6A3F"/>
    <w:rsid w:val="009C6E4A"/>
    <w:rsid w:val="009C6FCA"/>
    <w:rsid w:val="009C70AE"/>
    <w:rsid w:val="009C79C4"/>
    <w:rsid w:val="009C7CE6"/>
    <w:rsid w:val="009D149C"/>
    <w:rsid w:val="009D2CB2"/>
    <w:rsid w:val="009D2E35"/>
    <w:rsid w:val="009D3676"/>
    <w:rsid w:val="009D3A0B"/>
    <w:rsid w:val="009D3B9D"/>
    <w:rsid w:val="009D46C5"/>
    <w:rsid w:val="009D4A47"/>
    <w:rsid w:val="009D52CD"/>
    <w:rsid w:val="009D5BB8"/>
    <w:rsid w:val="009D6DA4"/>
    <w:rsid w:val="009D6FB6"/>
    <w:rsid w:val="009D7350"/>
    <w:rsid w:val="009D7FAD"/>
    <w:rsid w:val="009E0D86"/>
    <w:rsid w:val="009E39E0"/>
    <w:rsid w:val="009E3AB8"/>
    <w:rsid w:val="009E6091"/>
    <w:rsid w:val="009E67A7"/>
    <w:rsid w:val="009E7121"/>
    <w:rsid w:val="009E7D0B"/>
    <w:rsid w:val="009F04AC"/>
    <w:rsid w:val="009F07C6"/>
    <w:rsid w:val="009F1186"/>
    <w:rsid w:val="009F3490"/>
    <w:rsid w:val="009F3834"/>
    <w:rsid w:val="009F3A9D"/>
    <w:rsid w:val="009F5065"/>
    <w:rsid w:val="009F5254"/>
    <w:rsid w:val="009F6964"/>
    <w:rsid w:val="009F75E4"/>
    <w:rsid w:val="009F7D12"/>
    <w:rsid w:val="009F7E4F"/>
    <w:rsid w:val="00A0067B"/>
    <w:rsid w:val="00A00F59"/>
    <w:rsid w:val="00A02023"/>
    <w:rsid w:val="00A032F4"/>
    <w:rsid w:val="00A05C31"/>
    <w:rsid w:val="00A05EF6"/>
    <w:rsid w:val="00A0637E"/>
    <w:rsid w:val="00A065ED"/>
    <w:rsid w:val="00A06C15"/>
    <w:rsid w:val="00A07934"/>
    <w:rsid w:val="00A1063D"/>
    <w:rsid w:val="00A10829"/>
    <w:rsid w:val="00A10B52"/>
    <w:rsid w:val="00A10F22"/>
    <w:rsid w:val="00A12980"/>
    <w:rsid w:val="00A12A87"/>
    <w:rsid w:val="00A12AFA"/>
    <w:rsid w:val="00A15563"/>
    <w:rsid w:val="00A20683"/>
    <w:rsid w:val="00A238DE"/>
    <w:rsid w:val="00A2394F"/>
    <w:rsid w:val="00A242E2"/>
    <w:rsid w:val="00A24DCD"/>
    <w:rsid w:val="00A24E14"/>
    <w:rsid w:val="00A25E5A"/>
    <w:rsid w:val="00A26F05"/>
    <w:rsid w:val="00A27335"/>
    <w:rsid w:val="00A275B2"/>
    <w:rsid w:val="00A306A6"/>
    <w:rsid w:val="00A30939"/>
    <w:rsid w:val="00A30DC9"/>
    <w:rsid w:val="00A310A8"/>
    <w:rsid w:val="00A31E20"/>
    <w:rsid w:val="00A321D7"/>
    <w:rsid w:val="00A32D89"/>
    <w:rsid w:val="00A3403D"/>
    <w:rsid w:val="00A34A31"/>
    <w:rsid w:val="00A35252"/>
    <w:rsid w:val="00A352C2"/>
    <w:rsid w:val="00A36EF9"/>
    <w:rsid w:val="00A36FAB"/>
    <w:rsid w:val="00A41F5B"/>
    <w:rsid w:val="00A43237"/>
    <w:rsid w:val="00A4528C"/>
    <w:rsid w:val="00A45ACC"/>
    <w:rsid w:val="00A46041"/>
    <w:rsid w:val="00A46F36"/>
    <w:rsid w:val="00A501A3"/>
    <w:rsid w:val="00A50649"/>
    <w:rsid w:val="00A50768"/>
    <w:rsid w:val="00A50C8E"/>
    <w:rsid w:val="00A51E84"/>
    <w:rsid w:val="00A52B80"/>
    <w:rsid w:val="00A52B9D"/>
    <w:rsid w:val="00A53C3C"/>
    <w:rsid w:val="00A54A7E"/>
    <w:rsid w:val="00A553E3"/>
    <w:rsid w:val="00A55A94"/>
    <w:rsid w:val="00A6049F"/>
    <w:rsid w:val="00A606E7"/>
    <w:rsid w:val="00A61478"/>
    <w:rsid w:val="00A62388"/>
    <w:rsid w:val="00A63852"/>
    <w:rsid w:val="00A63A1A"/>
    <w:rsid w:val="00A63FE4"/>
    <w:rsid w:val="00A65769"/>
    <w:rsid w:val="00A65A2C"/>
    <w:rsid w:val="00A65E15"/>
    <w:rsid w:val="00A66905"/>
    <w:rsid w:val="00A66D92"/>
    <w:rsid w:val="00A67413"/>
    <w:rsid w:val="00A713DD"/>
    <w:rsid w:val="00A71585"/>
    <w:rsid w:val="00A72F7A"/>
    <w:rsid w:val="00A73D37"/>
    <w:rsid w:val="00A73D4E"/>
    <w:rsid w:val="00A7469D"/>
    <w:rsid w:val="00A74D08"/>
    <w:rsid w:val="00A7568B"/>
    <w:rsid w:val="00A75C91"/>
    <w:rsid w:val="00A763D0"/>
    <w:rsid w:val="00A81491"/>
    <w:rsid w:val="00A81CBC"/>
    <w:rsid w:val="00A82B4B"/>
    <w:rsid w:val="00A8398A"/>
    <w:rsid w:val="00A83B39"/>
    <w:rsid w:val="00A849D4"/>
    <w:rsid w:val="00A84CB1"/>
    <w:rsid w:val="00A8675A"/>
    <w:rsid w:val="00A87D8E"/>
    <w:rsid w:val="00A9150F"/>
    <w:rsid w:val="00A91D7D"/>
    <w:rsid w:val="00A92A1B"/>
    <w:rsid w:val="00A946C2"/>
    <w:rsid w:val="00A94AC0"/>
    <w:rsid w:val="00A954A2"/>
    <w:rsid w:val="00A95C01"/>
    <w:rsid w:val="00A95CA5"/>
    <w:rsid w:val="00A9660B"/>
    <w:rsid w:val="00A96EC8"/>
    <w:rsid w:val="00AA0407"/>
    <w:rsid w:val="00AA205A"/>
    <w:rsid w:val="00AA2899"/>
    <w:rsid w:val="00AA2EDF"/>
    <w:rsid w:val="00AA3AB6"/>
    <w:rsid w:val="00AA5542"/>
    <w:rsid w:val="00AA584B"/>
    <w:rsid w:val="00AA5BE9"/>
    <w:rsid w:val="00AA5CA0"/>
    <w:rsid w:val="00AA61C9"/>
    <w:rsid w:val="00AA68AB"/>
    <w:rsid w:val="00AA6FB8"/>
    <w:rsid w:val="00AA734C"/>
    <w:rsid w:val="00AB119D"/>
    <w:rsid w:val="00AB1873"/>
    <w:rsid w:val="00AB42B4"/>
    <w:rsid w:val="00AB4A3F"/>
    <w:rsid w:val="00AB52D9"/>
    <w:rsid w:val="00AB5C03"/>
    <w:rsid w:val="00AB66CD"/>
    <w:rsid w:val="00AB6D8D"/>
    <w:rsid w:val="00AB6FE2"/>
    <w:rsid w:val="00AB7384"/>
    <w:rsid w:val="00AB7541"/>
    <w:rsid w:val="00AC2D4A"/>
    <w:rsid w:val="00AC2F31"/>
    <w:rsid w:val="00AC3553"/>
    <w:rsid w:val="00AC3972"/>
    <w:rsid w:val="00AC4168"/>
    <w:rsid w:val="00AC547F"/>
    <w:rsid w:val="00AC5526"/>
    <w:rsid w:val="00AC5AA1"/>
    <w:rsid w:val="00AC6A5F"/>
    <w:rsid w:val="00AC73C0"/>
    <w:rsid w:val="00AC74A7"/>
    <w:rsid w:val="00AD12BE"/>
    <w:rsid w:val="00AD42B4"/>
    <w:rsid w:val="00AD4991"/>
    <w:rsid w:val="00AD4A22"/>
    <w:rsid w:val="00AD5347"/>
    <w:rsid w:val="00AD6A6B"/>
    <w:rsid w:val="00AD7FEE"/>
    <w:rsid w:val="00AE000F"/>
    <w:rsid w:val="00AE025A"/>
    <w:rsid w:val="00AE13EB"/>
    <w:rsid w:val="00AE2D53"/>
    <w:rsid w:val="00AE5123"/>
    <w:rsid w:val="00AE52FE"/>
    <w:rsid w:val="00AE549C"/>
    <w:rsid w:val="00AE5AB2"/>
    <w:rsid w:val="00AE6EF0"/>
    <w:rsid w:val="00AE73B7"/>
    <w:rsid w:val="00AF168E"/>
    <w:rsid w:val="00AF1D4E"/>
    <w:rsid w:val="00AF2154"/>
    <w:rsid w:val="00AF34C5"/>
    <w:rsid w:val="00AF47C2"/>
    <w:rsid w:val="00AF53C5"/>
    <w:rsid w:val="00AF5477"/>
    <w:rsid w:val="00AF5731"/>
    <w:rsid w:val="00AF573B"/>
    <w:rsid w:val="00AF5A65"/>
    <w:rsid w:val="00AF6452"/>
    <w:rsid w:val="00B014B3"/>
    <w:rsid w:val="00B01F01"/>
    <w:rsid w:val="00B03244"/>
    <w:rsid w:val="00B03FF8"/>
    <w:rsid w:val="00B049DB"/>
    <w:rsid w:val="00B06517"/>
    <w:rsid w:val="00B065D6"/>
    <w:rsid w:val="00B06A40"/>
    <w:rsid w:val="00B06BC0"/>
    <w:rsid w:val="00B0774C"/>
    <w:rsid w:val="00B07906"/>
    <w:rsid w:val="00B07B3F"/>
    <w:rsid w:val="00B07BE2"/>
    <w:rsid w:val="00B1207B"/>
    <w:rsid w:val="00B129D9"/>
    <w:rsid w:val="00B13139"/>
    <w:rsid w:val="00B13493"/>
    <w:rsid w:val="00B1441E"/>
    <w:rsid w:val="00B14F33"/>
    <w:rsid w:val="00B16E6C"/>
    <w:rsid w:val="00B208CF"/>
    <w:rsid w:val="00B20EE0"/>
    <w:rsid w:val="00B25257"/>
    <w:rsid w:val="00B2548A"/>
    <w:rsid w:val="00B257C0"/>
    <w:rsid w:val="00B25A3B"/>
    <w:rsid w:val="00B25CE0"/>
    <w:rsid w:val="00B2602F"/>
    <w:rsid w:val="00B262E8"/>
    <w:rsid w:val="00B26D4D"/>
    <w:rsid w:val="00B27156"/>
    <w:rsid w:val="00B271A5"/>
    <w:rsid w:val="00B27EF4"/>
    <w:rsid w:val="00B31E5C"/>
    <w:rsid w:val="00B34082"/>
    <w:rsid w:val="00B358F0"/>
    <w:rsid w:val="00B35BDA"/>
    <w:rsid w:val="00B36270"/>
    <w:rsid w:val="00B36B59"/>
    <w:rsid w:val="00B36F78"/>
    <w:rsid w:val="00B37A42"/>
    <w:rsid w:val="00B41A41"/>
    <w:rsid w:val="00B42C32"/>
    <w:rsid w:val="00B441BF"/>
    <w:rsid w:val="00B45900"/>
    <w:rsid w:val="00B45E39"/>
    <w:rsid w:val="00B45F4C"/>
    <w:rsid w:val="00B462C5"/>
    <w:rsid w:val="00B468E6"/>
    <w:rsid w:val="00B46E9F"/>
    <w:rsid w:val="00B471B6"/>
    <w:rsid w:val="00B47651"/>
    <w:rsid w:val="00B50447"/>
    <w:rsid w:val="00B505F2"/>
    <w:rsid w:val="00B50DFD"/>
    <w:rsid w:val="00B512EE"/>
    <w:rsid w:val="00B534ED"/>
    <w:rsid w:val="00B5379B"/>
    <w:rsid w:val="00B54024"/>
    <w:rsid w:val="00B550CF"/>
    <w:rsid w:val="00B559A6"/>
    <w:rsid w:val="00B55B1A"/>
    <w:rsid w:val="00B5764F"/>
    <w:rsid w:val="00B5772D"/>
    <w:rsid w:val="00B614E4"/>
    <w:rsid w:val="00B62D54"/>
    <w:rsid w:val="00B633CD"/>
    <w:rsid w:val="00B64155"/>
    <w:rsid w:val="00B6443A"/>
    <w:rsid w:val="00B64F65"/>
    <w:rsid w:val="00B673E9"/>
    <w:rsid w:val="00B6776C"/>
    <w:rsid w:val="00B67ABE"/>
    <w:rsid w:val="00B67EB7"/>
    <w:rsid w:val="00B72A96"/>
    <w:rsid w:val="00B72C70"/>
    <w:rsid w:val="00B72D91"/>
    <w:rsid w:val="00B73B71"/>
    <w:rsid w:val="00B73F6F"/>
    <w:rsid w:val="00B7452F"/>
    <w:rsid w:val="00B7580A"/>
    <w:rsid w:val="00B75982"/>
    <w:rsid w:val="00B75AA5"/>
    <w:rsid w:val="00B75F75"/>
    <w:rsid w:val="00B769A0"/>
    <w:rsid w:val="00B774F3"/>
    <w:rsid w:val="00B779DB"/>
    <w:rsid w:val="00B8128F"/>
    <w:rsid w:val="00B831FE"/>
    <w:rsid w:val="00B83C7F"/>
    <w:rsid w:val="00B900B5"/>
    <w:rsid w:val="00B9033E"/>
    <w:rsid w:val="00B90D86"/>
    <w:rsid w:val="00B90E07"/>
    <w:rsid w:val="00B913BB"/>
    <w:rsid w:val="00B927B4"/>
    <w:rsid w:val="00B92C90"/>
    <w:rsid w:val="00B93E4B"/>
    <w:rsid w:val="00B946C9"/>
    <w:rsid w:val="00B947BC"/>
    <w:rsid w:val="00B947C0"/>
    <w:rsid w:val="00B94ED8"/>
    <w:rsid w:val="00B95F16"/>
    <w:rsid w:val="00B9726F"/>
    <w:rsid w:val="00BA0190"/>
    <w:rsid w:val="00BA233E"/>
    <w:rsid w:val="00BA2383"/>
    <w:rsid w:val="00BA3022"/>
    <w:rsid w:val="00BA49DD"/>
    <w:rsid w:val="00BA4CCD"/>
    <w:rsid w:val="00BA4F48"/>
    <w:rsid w:val="00BA642A"/>
    <w:rsid w:val="00BB05C3"/>
    <w:rsid w:val="00BB1899"/>
    <w:rsid w:val="00BB2546"/>
    <w:rsid w:val="00BB31F0"/>
    <w:rsid w:val="00BB3C00"/>
    <w:rsid w:val="00BB3D12"/>
    <w:rsid w:val="00BB56B6"/>
    <w:rsid w:val="00BB5D41"/>
    <w:rsid w:val="00BB62F3"/>
    <w:rsid w:val="00BB6B81"/>
    <w:rsid w:val="00BB6CEE"/>
    <w:rsid w:val="00BB70AB"/>
    <w:rsid w:val="00BC0731"/>
    <w:rsid w:val="00BC1371"/>
    <w:rsid w:val="00BC1B09"/>
    <w:rsid w:val="00BC2672"/>
    <w:rsid w:val="00BC2B83"/>
    <w:rsid w:val="00BC2F41"/>
    <w:rsid w:val="00BC3DB2"/>
    <w:rsid w:val="00BC5A17"/>
    <w:rsid w:val="00BC5CF7"/>
    <w:rsid w:val="00BC6AC3"/>
    <w:rsid w:val="00BC77EA"/>
    <w:rsid w:val="00BC77EE"/>
    <w:rsid w:val="00BD0C59"/>
    <w:rsid w:val="00BD170E"/>
    <w:rsid w:val="00BD187C"/>
    <w:rsid w:val="00BD1FA4"/>
    <w:rsid w:val="00BD31B3"/>
    <w:rsid w:val="00BD3C7B"/>
    <w:rsid w:val="00BD4467"/>
    <w:rsid w:val="00BD453B"/>
    <w:rsid w:val="00BD4708"/>
    <w:rsid w:val="00BD4AA2"/>
    <w:rsid w:val="00BD52C1"/>
    <w:rsid w:val="00BD5904"/>
    <w:rsid w:val="00BD65A8"/>
    <w:rsid w:val="00BD670D"/>
    <w:rsid w:val="00BD69F3"/>
    <w:rsid w:val="00BD71DF"/>
    <w:rsid w:val="00BE0FE0"/>
    <w:rsid w:val="00BE1A0F"/>
    <w:rsid w:val="00BE1B01"/>
    <w:rsid w:val="00BE2279"/>
    <w:rsid w:val="00BE32BC"/>
    <w:rsid w:val="00BE409A"/>
    <w:rsid w:val="00BE4399"/>
    <w:rsid w:val="00BE448E"/>
    <w:rsid w:val="00BE44C6"/>
    <w:rsid w:val="00BE4AFB"/>
    <w:rsid w:val="00BE51BB"/>
    <w:rsid w:val="00BE6538"/>
    <w:rsid w:val="00BE7974"/>
    <w:rsid w:val="00BE7B95"/>
    <w:rsid w:val="00BE7EAA"/>
    <w:rsid w:val="00BF1852"/>
    <w:rsid w:val="00BF2FD1"/>
    <w:rsid w:val="00BF4149"/>
    <w:rsid w:val="00BF41A8"/>
    <w:rsid w:val="00BF4394"/>
    <w:rsid w:val="00BF43E5"/>
    <w:rsid w:val="00BF45D0"/>
    <w:rsid w:val="00BF4D00"/>
    <w:rsid w:val="00BF4E1F"/>
    <w:rsid w:val="00BF6C50"/>
    <w:rsid w:val="00BF775C"/>
    <w:rsid w:val="00BF7ECB"/>
    <w:rsid w:val="00C00EFA"/>
    <w:rsid w:val="00C02198"/>
    <w:rsid w:val="00C02832"/>
    <w:rsid w:val="00C02EE1"/>
    <w:rsid w:val="00C03821"/>
    <w:rsid w:val="00C03DAD"/>
    <w:rsid w:val="00C04554"/>
    <w:rsid w:val="00C0461E"/>
    <w:rsid w:val="00C06088"/>
    <w:rsid w:val="00C067CC"/>
    <w:rsid w:val="00C06EA1"/>
    <w:rsid w:val="00C073E6"/>
    <w:rsid w:val="00C10C36"/>
    <w:rsid w:val="00C11D56"/>
    <w:rsid w:val="00C12E27"/>
    <w:rsid w:val="00C12F42"/>
    <w:rsid w:val="00C14345"/>
    <w:rsid w:val="00C14482"/>
    <w:rsid w:val="00C14FE4"/>
    <w:rsid w:val="00C152CD"/>
    <w:rsid w:val="00C15408"/>
    <w:rsid w:val="00C16AC9"/>
    <w:rsid w:val="00C17538"/>
    <w:rsid w:val="00C17636"/>
    <w:rsid w:val="00C203B4"/>
    <w:rsid w:val="00C20AA8"/>
    <w:rsid w:val="00C222D0"/>
    <w:rsid w:val="00C22F60"/>
    <w:rsid w:val="00C24B5D"/>
    <w:rsid w:val="00C254BE"/>
    <w:rsid w:val="00C25D8B"/>
    <w:rsid w:val="00C25FC1"/>
    <w:rsid w:val="00C262AF"/>
    <w:rsid w:val="00C271D6"/>
    <w:rsid w:val="00C277F3"/>
    <w:rsid w:val="00C3088D"/>
    <w:rsid w:val="00C319A8"/>
    <w:rsid w:val="00C319F9"/>
    <w:rsid w:val="00C32EF7"/>
    <w:rsid w:val="00C3530A"/>
    <w:rsid w:val="00C353B7"/>
    <w:rsid w:val="00C3585B"/>
    <w:rsid w:val="00C35C89"/>
    <w:rsid w:val="00C36EEA"/>
    <w:rsid w:val="00C37C44"/>
    <w:rsid w:val="00C41281"/>
    <w:rsid w:val="00C41762"/>
    <w:rsid w:val="00C42C7C"/>
    <w:rsid w:val="00C4390E"/>
    <w:rsid w:val="00C43C8F"/>
    <w:rsid w:val="00C4466B"/>
    <w:rsid w:val="00C449E5"/>
    <w:rsid w:val="00C451FF"/>
    <w:rsid w:val="00C45889"/>
    <w:rsid w:val="00C476BC"/>
    <w:rsid w:val="00C50095"/>
    <w:rsid w:val="00C50F05"/>
    <w:rsid w:val="00C51114"/>
    <w:rsid w:val="00C51F93"/>
    <w:rsid w:val="00C520D5"/>
    <w:rsid w:val="00C52421"/>
    <w:rsid w:val="00C52727"/>
    <w:rsid w:val="00C52AD3"/>
    <w:rsid w:val="00C54034"/>
    <w:rsid w:val="00C56213"/>
    <w:rsid w:val="00C56894"/>
    <w:rsid w:val="00C62AB6"/>
    <w:rsid w:val="00C62C8A"/>
    <w:rsid w:val="00C6582D"/>
    <w:rsid w:val="00C667DD"/>
    <w:rsid w:val="00C7021A"/>
    <w:rsid w:val="00C70449"/>
    <w:rsid w:val="00C7135F"/>
    <w:rsid w:val="00C719C4"/>
    <w:rsid w:val="00C72D86"/>
    <w:rsid w:val="00C73560"/>
    <w:rsid w:val="00C73CDE"/>
    <w:rsid w:val="00C74150"/>
    <w:rsid w:val="00C749DA"/>
    <w:rsid w:val="00C74BF6"/>
    <w:rsid w:val="00C77280"/>
    <w:rsid w:val="00C778CB"/>
    <w:rsid w:val="00C77983"/>
    <w:rsid w:val="00C77AE1"/>
    <w:rsid w:val="00C8069D"/>
    <w:rsid w:val="00C80926"/>
    <w:rsid w:val="00C80D08"/>
    <w:rsid w:val="00C8144A"/>
    <w:rsid w:val="00C818D7"/>
    <w:rsid w:val="00C82304"/>
    <w:rsid w:val="00C847AA"/>
    <w:rsid w:val="00C84FE2"/>
    <w:rsid w:val="00C87C30"/>
    <w:rsid w:val="00C90D80"/>
    <w:rsid w:val="00C91EE5"/>
    <w:rsid w:val="00C9217F"/>
    <w:rsid w:val="00C92559"/>
    <w:rsid w:val="00C9266B"/>
    <w:rsid w:val="00C92852"/>
    <w:rsid w:val="00C92D6E"/>
    <w:rsid w:val="00C931EC"/>
    <w:rsid w:val="00C937E6"/>
    <w:rsid w:val="00C940D9"/>
    <w:rsid w:val="00C94386"/>
    <w:rsid w:val="00C96DCD"/>
    <w:rsid w:val="00CA0B88"/>
    <w:rsid w:val="00CA170F"/>
    <w:rsid w:val="00CA1826"/>
    <w:rsid w:val="00CA1D08"/>
    <w:rsid w:val="00CA25DB"/>
    <w:rsid w:val="00CA2736"/>
    <w:rsid w:val="00CA283F"/>
    <w:rsid w:val="00CA46B8"/>
    <w:rsid w:val="00CA55F8"/>
    <w:rsid w:val="00CA5C25"/>
    <w:rsid w:val="00CA6005"/>
    <w:rsid w:val="00CA6875"/>
    <w:rsid w:val="00CA6F29"/>
    <w:rsid w:val="00CA70D7"/>
    <w:rsid w:val="00CA7778"/>
    <w:rsid w:val="00CA7D56"/>
    <w:rsid w:val="00CA7F62"/>
    <w:rsid w:val="00CA7FA6"/>
    <w:rsid w:val="00CB0314"/>
    <w:rsid w:val="00CB09A7"/>
    <w:rsid w:val="00CB1379"/>
    <w:rsid w:val="00CB2CAE"/>
    <w:rsid w:val="00CB2D72"/>
    <w:rsid w:val="00CB3703"/>
    <w:rsid w:val="00CB3A64"/>
    <w:rsid w:val="00CB4D4F"/>
    <w:rsid w:val="00CB4FFD"/>
    <w:rsid w:val="00CB5631"/>
    <w:rsid w:val="00CB5A16"/>
    <w:rsid w:val="00CB5E63"/>
    <w:rsid w:val="00CB6542"/>
    <w:rsid w:val="00CB73CD"/>
    <w:rsid w:val="00CB7FDF"/>
    <w:rsid w:val="00CC0A3F"/>
    <w:rsid w:val="00CC1180"/>
    <w:rsid w:val="00CC1812"/>
    <w:rsid w:val="00CC1D98"/>
    <w:rsid w:val="00CC28A7"/>
    <w:rsid w:val="00CC2FD4"/>
    <w:rsid w:val="00CC3988"/>
    <w:rsid w:val="00CC4807"/>
    <w:rsid w:val="00CC5512"/>
    <w:rsid w:val="00CD02EB"/>
    <w:rsid w:val="00CD085E"/>
    <w:rsid w:val="00CD1389"/>
    <w:rsid w:val="00CD1F99"/>
    <w:rsid w:val="00CD2728"/>
    <w:rsid w:val="00CD3030"/>
    <w:rsid w:val="00CD3BF9"/>
    <w:rsid w:val="00CD4645"/>
    <w:rsid w:val="00CD4839"/>
    <w:rsid w:val="00CD4921"/>
    <w:rsid w:val="00CD4BC8"/>
    <w:rsid w:val="00CD5C4D"/>
    <w:rsid w:val="00CD5CEA"/>
    <w:rsid w:val="00CD65C8"/>
    <w:rsid w:val="00CD716B"/>
    <w:rsid w:val="00CD75F2"/>
    <w:rsid w:val="00CD7B08"/>
    <w:rsid w:val="00CD7D28"/>
    <w:rsid w:val="00CE1FDB"/>
    <w:rsid w:val="00CE5663"/>
    <w:rsid w:val="00CE7CEC"/>
    <w:rsid w:val="00CF0307"/>
    <w:rsid w:val="00CF0DE5"/>
    <w:rsid w:val="00CF1CB7"/>
    <w:rsid w:val="00CF1DAF"/>
    <w:rsid w:val="00CF2EA4"/>
    <w:rsid w:val="00CF3137"/>
    <w:rsid w:val="00CF4840"/>
    <w:rsid w:val="00CF5C81"/>
    <w:rsid w:val="00CF6795"/>
    <w:rsid w:val="00CF6DAA"/>
    <w:rsid w:val="00CF7B2E"/>
    <w:rsid w:val="00D00739"/>
    <w:rsid w:val="00D00F46"/>
    <w:rsid w:val="00D02685"/>
    <w:rsid w:val="00D041A9"/>
    <w:rsid w:val="00D05081"/>
    <w:rsid w:val="00D0517D"/>
    <w:rsid w:val="00D0611E"/>
    <w:rsid w:val="00D065C8"/>
    <w:rsid w:val="00D10451"/>
    <w:rsid w:val="00D10E77"/>
    <w:rsid w:val="00D12D31"/>
    <w:rsid w:val="00D13401"/>
    <w:rsid w:val="00D158C9"/>
    <w:rsid w:val="00D160C9"/>
    <w:rsid w:val="00D164D9"/>
    <w:rsid w:val="00D16F65"/>
    <w:rsid w:val="00D1718C"/>
    <w:rsid w:val="00D2039E"/>
    <w:rsid w:val="00D20477"/>
    <w:rsid w:val="00D2150E"/>
    <w:rsid w:val="00D21C2F"/>
    <w:rsid w:val="00D2209E"/>
    <w:rsid w:val="00D22DA8"/>
    <w:rsid w:val="00D254C6"/>
    <w:rsid w:val="00D26B78"/>
    <w:rsid w:val="00D304C3"/>
    <w:rsid w:val="00D3110E"/>
    <w:rsid w:val="00D320C8"/>
    <w:rsid w:val="00D32E8F"/>
    <w:rsid w:val="00D3344C"/>
    <w:rsid w:val="00D3441B"/>
    <w:rsid w:val="00D35304"/>
    <w:rsid w:val="00D356E6"/>
    <w:rsid w:val="00D36368"/>
    <w:rsid w:val="00D363FD"/>
    <w:rsid w:val="00D36EF9"/>
    <w:rsid w:val="00D370BA"/>
    <w:rsid w:val="00D40BB6"/>
    <w:rsid w:val="00D42718"/>
    <w:rsid w:val="00D42C40"/>
    <w:rsid w:val="00D43142"/>
    <w:rsid w:val="00D43A16"/>
    <w:rsid w:val="00D43E4E"/>
    <w:rsid w:val="00D44214"/>
    <w:rsid w:val="00D452A5"/>
    <w:rsid w:val="00D50541"/>
    <w:rsid w:val="00D514BF"/>
    <w:rsid w:val="00D514DB"/>
    <w:rsid w:val="00D532A6"/>
    <w:rsid w:val="00D53359"/>
    <w:rsid w:val="00D55842"/>
    <w:rsid w:val="00D5709E"/>
    <w:rsid w:val="00D600BE"/>
    <w:rsid w:val="00D61022"/>
    <w:rsid w:val="00D63098"/>
    <w:rsid w:val="00D647E7"/>
    <w:rsid w:val="00D65666"/>
    <w:rsid w:val="00D6570D"/>
    <w:rsid w:val="00D6618A"/>
    <w:rsid w:val="00D66306"/>
    <w:rsid w:val="00D70624"/>
    <w:rsid w:val="00D7092E"/>
    <w:rsid w:val="00D70F7D"/>
    <w:rsid w:val="00D71B6E"/>
    <w:rsid w:val="00D723CB"/>
    <w:rsid w:val="00D73018"/>
    <w:rsid w:val="00D73BC7"/>
    <w:rsid w:val="00D74378"/>
    <w:rsid w:val="00D7635A"/>
    <w:rsid w:val="00D769DF"/>
    <w:rsid w:val="00D76CE0"/>
    <w:rsid w:val="00D77391"/>
    <w:rsid w:val="00D803FA"/>
    <w:rsid w:val="00D8139A"/>
    <w:rsid w:val="00D81A4E"/>
    <w:rsid w:val="00D821C1"/>
    <w:rsid w:val="00D823F9"/>
    <w:rsid w:val="00D82CC0"/>
    <w:rsid w:val="00D84AFD"/>
    <w:rsid w:val="00D850AF"/>
    <w:rsid w:val="00D85DE4"/>
    <w:rsid w:val="00D86FF6"/>
    <w:rsid w:val="00D900A3"/>
    <w:rsid w:val="00D90D5B"/>
    <w:rsid w:val="00D91886"/>
    <w:rsid w:val="00D92FE3"/>
    <w:rsid w:val="00D93B61"/>
    <w:rsid w:val="00D948EC"/>
    <w:rsid w:val="00D952C5"/>
    <w:rsid w:val="00D96789"/>
    <w:rsid w:val="00D97173"/>
    <w:rsid w:val="00D97232"/>
    <w:rsid w:val="00DA05B1"/>
    <w:rsid w:val="00DA11CE"/>
    <w:rsid w:val="00DA1DB9"/>
    <w:rsid w:val="00DA3299"/>
    <w:rsid w:val="00DA4154"/>
    <w:rsid w:val="00DA4394"/>
    <w:rsid w:val="00DA45D5"/>
    <w:rsid w:val="00DA477B"/>
    <w:rsid w:val="00DA5730"/>
    <w:rsid w:val="00DA5969"/>
    <w:rsid w:val="00DA76B7"/>
    <w:rsid w:val="00DA7774"/>
    <w:rsid w:val="00DA7A5A"/>
    <w:rsid w:val="00DA7D87"/>
    <w:rsid w:val="00DA7DAA"/>
    <w:rsid w:val="00DB033A"/>
    <w:rsid w:val="00DB03B5"/>
    <w:rsid w:val="00DB132D"/>
    <w:rsid w:val="00DB3101"/>
    <w:rsid w:val="00DB47E9"/>
    <w:rsid w:val="00DB4D2E"/>
    <w:rsid w:val="00DB4E49"/>
    <w:rsid w:val="00DB6A47"/>
    <w:rsid w:val="00DB7024"/>
    <w:rsid w:val="00DC233D"/>
    <w:rsid w:val="00DC4200"/>
    <w:rsid w:val="00DC5656"/>
    <w:rsid w:val="00DC6202"/>
    <w:rsid w:val="00DC648F"/>
    <w:rsid w:val="00DC6A07"/>
    <w:rsid w:val="00DD064B"/>
    <w:rsid w:val="00DD1422"/>
    <w:rsid w:val="00DD202C"/>
    <w:rsid w:val="00DD24B1"/>
    <w:rsid w:val="00DD375E"/>
    <w:rsid w:val="00DD3D05"/>
    <w:rsid w:val="00DD3F87"/>
    <w:rsid w:val="00DD4F22"/>
    <w:rsid w:val="00DD51BB"/>
    <w:rsid w:val="00DD5A80"/>
    <w:rsid w:val="00DD6F4A"/>
    <w:rsid w:val="00DE0385"/>
    <w:rsid w:val="00DE1677"/>
    <w:rsid w:val="00DE1C49"/>
    <w:rsid w:val="00DE4F63"/>
    <w:rsid w:val="00DE550D"/>
    <w:rsid w:val="00DE57E6"/>
    <w:rsid w:val="00DE7B48"/>
    <w:rsid w:val="00DF02AF"/>
    <w:rsid w:val="00DF0E66"/>
    <w:rsid w:val="00DF1A73"/>
    <w:rsid w:val="00DF2488"/>
    <w:rsid w:val="00DF2F5E"/>
    <w:rsid w:val="00DF305F"/>
    <w:rsid w:val="00DF31B1"/>
    <w:rsid w:val="00DF42D8"/>
    <w:rsid w:val="00DF4906"/>
    <w:rsid w:val="00DF4F8A"/>
    <w:rsid w:val="00DF5206"/>
    <w:rsid w:val="00DF536E"/>
    <w:rsid w:val="00DF5443"/>
    <w:rsid w:val="00DF7355"/>
    <w:rsid w:val="00DF7814"/>
    <w:rsid w:val="00DF7C51"/>
    <w:rsid w:val="00E0317F"/>
    <w:rsid w:val="00E03457"/>
    <w:rsid w:val="00E03E71"/>
    <w:rsid w:val="00E04C0D"/>
    <w:rsid w:val="00E05513"/>
    <w:rsid w:val="00E0625B"/>
    <w:rsid w:val="00E069A2"/>
    <w:rsid w:val="00E10698"/>
    <w:rsid w:val="00E12716"/>
    <w:rsid w:val="00E13FD9"/>
    <w:rsid w:val="00E1435A"/>
    <w:rsid w:val="00E1542D"/>
    <w:rsid w:val="00E15765"/>
    <w:rsid w:val="00E15849"/>
    <w:rsid w:val="00E16FFF"/>
    <w:rsid w:val="00E173CC"/>
    <w:rsid w:val="00E17542"/>
    <w:rsid w:val="00E20518"/>
    <w:rsid w:val="00E21837"/>
    <w:rsid w:val="00E22DDA"/>
    <w:rsid w:val="00E24EFB"/>
    <w:rsid w:val="00E25579"/>
    <w:rsid w:val="00E25F87"/>
    <w:rsid w:val="00E2681E"/>
    <w:rsid w:val="00E31604"/>
    <w:rsid w:val="00E316C0"/>
    <w:rsid w:val="00E31E5A"/>
    <w:rsid w:val="00E32662"/>
    <w:rsid w:val="00E32F46"/>
    <w:rsid w:val="00E3440D"/>
    <w:rsid w:val="00E3499F"/>
    <w:rsid w:val="00E34C8D"/>
    <w:rsid w:val="00E36BB2"/>
    <w:rsid w:val="00E36C38"/>
    <w:rsid w:val="00E3785E"/>
    <w:rsid w:val="00E37865"/>
    <w:rsid w:val="00E40F3B"/>
    <w:rsid w:val="00E4159E"/>
    <w:rsid w:val="00E4395A"/>
    <w:rsid w:val="00E43E64"/>
    <w:rsid w:val="00E44649"/>
    <w:rsid w:val="00E44BDA"/>
    <w:rsid w:val="00E452CA"/>
    <w:rsid w:val="00E4548F"/>
    <w:rsid w:val="00E46829"/>
    <w:rsid w:val="00E4712A"/>
    <w:rsid w:val="00E47511"/>
    <w:rsid w:val="00E50EC0"/>
    <w:rsid w:val="00E51C8C"/>
    <w:rsid w:val="00E522B0"/>
    <w:rsid w:val="00E524EA"/>
    <w:rsid w:val="00E52BE8"/>
    <w:rsid w:val="00E52F58"/>
    <w:rsid w:val="00E553B5"/>
    <w:rsid w:val="00E5549B"/>
    <w:rsid w:val="00E57036"/>
    <w:rsid w:val="00E5721E"/>
    <w:rsid w:val="00E5791A"/>
    <w:rsid w:val="00E57BF9"/>
    <w:rsid w:val="00E60568"/>
    <w:rsid w:val="00E607F5"/>
    <w:rsid w:val="00E61E45"/>
    <w:rsid w:val="00E62678"/>
    <w:rsid w:val="00E62757"/>
    <w:rsid w:val="00E63D47"/>
    <w:rsid w:val="00E64E18"/>
    <w:rsid w:val="00E65EAB"/>
    <w:rsid w:val="00E66149"/>
    <w:rsid w:val="00E66437"/>
    <w:rsid w:val="00E70217"/>
    <w:rsid w:val="00E702E3"/>
    <w:rsid w:val="00E708DE"/>
    <w:rsid w:val="00E70B07"/>
    <w:rsid w:val="00E71CF4"/>
    <w:rsid w:val="00E72DEF"/>
    <w:rsid w:val="00E740BB"/>
    <w:rsid w:val="00E757F0"/>
    <w:rsid w:val="00E76467"/>
    <w:rsid w:val="00E7707B"/>
    <w:rsid w:val="00E77A25"/>
    <w:rsid w:val="00E80F5E"/>
    <w:rsid w:val="00E814D8"/>
    <w:rsid w:val="00E81844"/>
    <w:rsid w:val="00E829CA"/>
    <w:rsid w:val="00E82C94"/>
    <w:rsid w:val="00E84D11"/>
    <w:rsid w:val="00E86850"/>
    <w:rsid w:val="00E875D5"/>
    <w:rsid w:val="00E878C8"/>
    <w:rsid w:val="00E87BB9"/>
    <w:rsid w:val="00E87CD4"/>
    <w:rsid w:val="00E90171"/>
    <w:rsid w:val="00E901A5"/>
    <w:rsid w:val="00E9029F"/>
    <w:rsid w:val="00E90AB5"/>
    <w:rsid w:val="00E91645"/>
    <w:rsid w:val="00E919FA"/>
    <w:rsid w:val="00E932EE"/>
    <w:rsid w:val="00E9460A"/>
    <w:rsid w:val="00E949C0"/>
    <w:rsid w:val="00E952CB"/>
    <w:rsid w:val="00E9584D"/>
    <w:rsid w:val="00E96D56"/>
    <w:rsid w:val="00EA0677"/>
    <w:rsid w:val="00EA0AA4"/>
    <w:rsid w:val="00EA1FA9"/>
    <w:rsid w:val="00EA26DB"/>
    <w:rsid w:val="00EA41AD"/>
    <w:rsid w:val="00EA48B4"/>
    <w:rsid w:val="00EA57A3"/>
    <w:rsid w:val="00EA6844"/>
    <w:rsid w:val="00EB037C"/>
    <w:rsid w:val="00EB07AF"/>
    <w:rsid w:val="00EB0B49"/>
    <w:rsid w:val="00EB0CB3"/>
    <w:rsid w:val="00EB14A8"/>
    <w:rsid w:val="00EB1584"/>
    <w:rsid w:val="00EB1C77"/>
    <w:rsid w:val="00EB275D"/>
    <w:rsid w:val="00EB293D"/>
    <w:rsid w:val="00EB34AB"/>
    <w:rsid w:val="00EB3DE0"/>
    <w:rsid w:val="00EB4CDB"/>
    <w:rsid w:val="00EB5467"/>
    <w:rsid w:val="00EB5BAA"/>
    <w:rsid w:val="00EB6FF1"/>
    <w:rsid w:val="00EB7372"/>
    <w:rsid w:val="00EB7D96"/>
    <w:rsid w:val="00EB7EBC"/>
    <w:rsid w:val="00EC209B"/>
    <w:rsid w:val="00EC266C"/>
    <w:rsid w:val="00EC2F81"/>
    <w:rsid w:val="00EC549A"/>
    <w:rsid w:val="00EC5E6A"/>
    <w:rsid w:val="00EC6915"/>
    <w:rsid w:val="00EC71A3"/>
    <w:rsid w:val="00EC73A6"/>
    <w:rsid w:val="00EC76A9"/>
    <w:rsid w:val="00EC7758"/>
    <w:rsid w:val="00EC79CB"/>
    <w:rsid w:val="00ED01CD"/>
    <w:rsid w:val="00ED0B82"/>
    <w:rsid w:val="00ED1257"/>
    <w:rsid w:val="00ED183F"/>
    <w:rsid w:val="00ED3152"/>
    <w:rsid w:val="00ED3E7E"/>
    <w:rsid w:val="00ED5AD3"/>
    <w:rsid w:val="00ED637B"/>
    <w:rsid w:val="00ED7D83"/>
    <w:rsid w:val="00EE025D"/>
    <w:rsid w:val="00EE02BB"/>
    <w:rsid w:val="00EE0782"/>
    <w:rsid w:val="00EE276D"/>
    <w:rsid w:val="00EE283E"/>
    <w:rsid w:val="00EE32E7"/>
    <w:rsid w:val="00EE62AF"/>
    <w:rsid w:val="00EE6384"/>
    <w:rsid w:val="00EE68A7"/>
    <w:rsid w:val="00EE70EB"/>
    <w:rsid w:val="00EE71E0"/>
    <w:rsid w:val="00EF178C"/>
    <w:rsid w:val="00EF1D8D"/>
    <w:rsid w:val="00EF1E7E"/>
    <w:rsid w:val="00EF1F5F"/>
    <w:rsid w:val="00EF2246"/>
    <w:rsid w:val="00EF2731"/>
    <w:rsid w:val="00EF32FA"/>
    <w:rsid w:val="00EF33BD"/>
    <w:rsid w:val="00EF3591"/>
    <w:rsid w:val="00EF414D"/>
    <w:rsid w:val="00EF505D"/>
    <w:rsid w:val="00EF5551"/>
    <w:rsid w:val="00EF7009"/>
    <w:rsid w:val="00EF7A48"/>
    <w:rsid w:val="00EF7FAD"/>
    <w:rsid w:val="00F00724"/>
    <w:rsid w:val="00F01443"/>
    <w:rsid w:val="00F015A6"/>
    <w:rsid w:val="00F028DA"/>
    <w:rsid w:val="00F02A93"/>
    <w:rsid w:val="00F04406"/>
    <w:rsid w:val="00F045E0"/>
    <w:rsid w:val="00F061F9"/>
    <w:rsid w:val="00F066A0"/>
    <w:rsid w:val="00F10914"/>
    <w:rsid w:val="00F11530"/>
    <w:rsid w:val="00F122DA"/>
    <w:rsid w:val="00F12511"/>
    <w:rsid w:val="00F135DF"/>
    <w:rsid w:val="00F14473"/>
    <w:rsid w:val="00F1554D"/>
    <w:rsid w:val="00F157F1"/>
    <w:rsid w:val="00F15D07"/>
    <w:rsid w:val="00F17CD8"/>
    <w:rsid w:val="00F17F38"/>
    <w:rsid w:val="00F20444"/>
    <w:rsid w:val="00F209C0"/>
    <w:rsid w:val="00F20ADC"/>
    <w:rsid w:val="00F22DD7"/>
    <w:rsid w:val="00F231F5"/>
    <w:rsid w:val="00F23385"/>
    <w:rsid w:val="00F24B9A"/>
    <w:rsid w:val="00F258EF"/>
    <w:rsid w:val="00F25A34"/>
    <w:rsid w:val="00F25C12"/>
    <w:rsid w:val="00F26AF1"/>
    <w:rsid w:val="00F30EE1"/>
    <w:rsid w:val="00F3179E"/>
    <w:rsid w:val="00F327AD"/>
    <w:rsid w:val="00F331E4"/>
    <w:rsid w:val="00F34566"/>
    <w:rsid w:val="00F34738"/>
    <w:rsid w:val="00F37121"/>
    <w:rsid w:val="00F376C5"/>
    <w:rsid w:val="00F37DB9"/>
    <w:rsid w:val="00F40325"/>
    <w:rsid w:val="00F406BE"/>
    <w:rsid w:val="00F409C2"/>
    <w:rsid w:val="00F40EFE"/>
    <w:rsid w:val="00F4436E"/>
    <w:rsid w:val="00F444AE"/>
    <w:rsid w:val="00F44541"/>
    <w:rsid w:val="00F452BF"/>
    <w:rsid w:val="00F45D54"/>
    <w:rsid w:val="00F46539"/>
    <w:rsid w:val="00F4754C"/>
    <w:rsid w:val="00F51B92"/>
    <w:rsid w:val="00F51DE9"/>
    <w:rsid w:val="00F51F5C"/>
    <w:rsid w:val="00F52A23"/>
    <w:rsid w:val="00F53CDB"/>
    <w:rsid w:val="00F5446D"/>
    <w:rsid w:val="00F54DBD"/>
    <w:rsid w:val="00F553C0"/>
    <w:rsid w:val="00F55A53"/>
    <w:rsid w:val="00F56136"/>
    <w:rsid w:val="00F569A1"/>
    <w:rsid w:val="00F56EDC"/>
    <w:rsid w:val="00F57937"/>
    <w:rsid w:val="00F6076A"/>
    <w:rsid w:val="00F6085C"/>
    <w:rsid w:val="00F60B44"/>
    <w:rsid w:val="00F61900"/>
    <w:rsid w:val="00F61CCA"/>
    <w:rsid w:val="00F62DED"/>
    <w:rsid w:val="00F63940"/>
    <w:rsid w:val="00F63CE3"/>
    <w:rsid w:val="00F64443"/>
    <w:rsid w:val="00F648B2"/>
    <w:rsid w:val="00F65091"/>
    <w:rsid w:val="00F67361"/>
    <w:rsid w:val="00F67CFB"/>
    <w:rsid w:val="00F7011B"/>
    <w:rsid w:val="00F7079A"/>
    <w:rsid w:val="00F71B4E"/>
    <w:rsid w:val="00F727EF"/>
    <w:rsid w:val="00F72B44"/>
    <w:rsid w:val="00F73146"/>
    <w:rsid w:val="00F7387B"/>
    <w:rsid w:val="00F7391B"/>
    <w:rsid w:val="00F7536E"/>
    <w:rsid w:val="00F7564C"/>
    <w:rsid w:val="00F75F3C"/>
    <w:rsid w:val="00F763DA"/>
    <w:rsid w:val="00F80A33"/>
    <w:rsid w:val="00F81DA7"/>
    <w:rsid w:val="00F822E6"/>
    <w:rsid w:val="00F82B48"/>
    <w:rsid w:val="00F8343B"/>
    <w:rsid w:val="00F84DCE"/>
    <w:rsid w:val="00F85838"/>
    <w:rsid w:val="00F8665A"/>
    <w:rsid w:val="00F86CB7"/>
    <w:rsid w:val="00F875AE"/>
    <w:rsid w:val="00F87B05"/>
    <w:rsid w:val="00F90262"/>
    <w:rsid w:val="00F90A19"/>
    <w:rsid w:val="00F90E0B"/>
    <w:rsid w:val="00F913E3"/>
    <w:rsid w:val="00F9142C"/>
    <w:rsid w:val="00F9175F"/>
    <w:rsid w:val="00F92159"/>
    <w:rsid w:val="00F921F9"/>
    <w:rsid w:val="00F93158"/>
    <w:rsid w:val="00F946B9"/>
    <w:rsid w:val="00F959A6"/>
    <w:rsid w:val="00FA1357"/>
    <w:rsid w:val="00FA27FF"/>
    <w:rsid w:val="00FA2C91"/>
    <w:rsid w:val="00FA2F49"/>
    <w:rsid w:val="00FA4080"/>
    <w:rsid w:val="00FA59FA"/>
    <w:rsid w:val="00FA640C"/>
    <w:rsid w:val="00FA6A12"/>
    <w:rsid w:val="00FA6A3F"/>
    <w:rsid w:val="00FA6E0C"/>
    <w:rsid w:val="00FA7239"/>
    <w:rsid w:val="00FA7D76"/>
    <w:rsid w:val="00FB06DA"/>
    <w:rsid w:val="00FB1790"/>
    <w:rsid w:val="00FB248A"/>
    <w:rsid w:val="00FB4FAE"/>
    <w:rsid w:val="00FB5A39"/>
    <w:rsid w:val="00FB5BE9"/>
    <w:rsid w:val="00FB729E"/>
    <w:rsid w:val="00FB7A5C"/>
    <w:rsid w:val="00FB7F06"/>
    <w:rsid w:val="00FC0F02"/>
    <w:rsid w:val="00FC1CA3"/>
    <w:rsid w:val="00FC3F44"/>
    <w:rsid w:val="00FC5CA6"/>
    <w:rsid w:val="00FC681D"/>
    <w:rsid w:val="00FC73D6"/>
    <w:rsid w:val="00FC7737"/>
    <w:rsid w:val="00FC78FE"/>
    <w:rsid w:val="00FC7C4B"/>
    <w:rsid w:val="00FD0DE3"/>
    <w:rsid w:val="00FD12B2"/>
    <w:rsid w:val="00FD142D"/>
    <w:rsid w:val="00FD1C36"/>
    <w:rsid w:val="00FD272C"/>
    <w:rsid w:val="00FD3FDD"/>
    <w:rsid w:val="00FD4EB5"/>
    <w:rsid w:val="00FD59BF"/>
    <w:rsid w:val="00FD5A72"/>
    <w:rsid w:val="00FD6C2B"/>
    <w:rsid w:val="00FD6ED5"/>
    <w:rsid w:val="00FD79D3"/>
    <w:rsid w:val="00FE05F0"/>
    <w:rsid w:val="00FE0D42"/>
    <w:rsid w:val="00FE36E8"/>
    <w:rsid w:val="00FE5281"/>
    <w:rsid w:val="00FE666D"/>
    <w:rsid w:val="00FE73BF"/>
    <w:rsid w:val="00FE7D95"/>
    <w:rsid w:val="00FF12A4"/>
    <w:rsid w:val="00FF14E5"/>
    <w:rsid w:val="00FF2358"/>
    <w:rsid w:val="00FF28C7"/>
    <w:rsid w:val="00FF614A"/>
    <w:rsid w:val="00FF7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70D"/>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aliases w:val="5_G,PP,5_G_6"/>
    <w:basedOn w:val="Normal"/>
    <w:link w:val="FootnoteTextChar"/>
    <w:uiPriority w:val="99"/>
    <w:unhideWhenUsed/>
    <w:qFormat/>
    <w:rsid w:val="004C0560"/>
    <w:pPr>
      <w:spacing w:before="0" w:after="0"/>
    </w:pPr>
    <w:rPr>
      <w:sz w:val="20"/>
      <w:szCs w:val="20"/>
    </w:rPr>
  </w:style>
  <w:style w:type="character" w:customStyle="1" w:styleId="FootnoteTextChar">
    <w:name w:val="Footnote Text Char"/>
    <w:aliases w:val="5_G Char,PP Char,5_G_6 Char"/>
    <w:basedOn w:val="DefaultParagraphFont"/>
    <w:link w:val="FootnoteText"/>
    <w:rsid w:val="004C0560"/>
  </w:style>
  <w:style w:type="character" w:styleId="FootnoteReference">
    <w:name w:val="footnote reference"/>
    <w:aliases w:val="4_G,(Footnote Reference),-E Fußnotenzeichen,BVI fnr, BVI fnr,Footnote symbol,Footnote,Footnote Reference Superscript,SUPERS,Fußnotenzeichen"/>
    <w:basedOn w:val="DefaultParagraphFont"/>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H56G">
    <w:name w:val="_ H_5/6_G"/>
    <w:basedOn w:val="Normal"/>
    <w:next w:val="Normal"/>
    <w:rsid w:val="00BB6B81"/>
    <w:pPr>
      <w:keepNext/>
      <w:keepLines/>
      <w:tabs>
        <w:tab w:val="right" w:pos="851"/>
      </w:tabs>
      <w:suppressAutoHyphens/>
      <w:spacing w:before="240" w:line="240" w:lineRule="exact"/>
      <w:ind w:left="1134" w:right="1134" w:hanging="1134"/>
    </w:pPr>
    <w:rPr>
      <w:sz w:val="20"/>
      <w:szCs w:val="20"/>
      <w:lang w:eastAsia="en-US"/>
    </w:rPr>
  </w:style>
  <w:style w:type="paragraph" w:customStyle="1" w:styleId="Body-SectionTitle">
    <w:name w:val="Body-Section Title"/>
    <w:basedOn w:val="Normal"/>
    <w:next w:val="Body-SubClause"/>
    <w:qFormat/>
    <w:rsid w:val="00BB6B81"/>
    <w:pPr>
      <w:numPr>
        <w:numId w:val="6"/>
      </w:numPr>
      <w:tabs>
        <w:tab w:val="clear" w:pos="4111"/>
        <w:tab w:val="num" w:pos="1418"/>
      </w:tabs>
      <w:spacing w:before="24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BB6B81"/>
    <w:pPr>
      <w:numPr>
        <w:ilvl w:val="1"/>
        <w:numId w:val="6"/>
      </w:numPr>
    </w:pPr>
    <w:rPr>
      <w:rFonts w:eastAsiaTheme="minorHAnsi" w:cstheme="minorBidi"/>
      <w:szCs w:val="22"/>
      <w:lang w:eastAsia="en-US"/>
    </w:rPr>
  </w:style>
  <w:style w:type="paragraph" w:customStyle="1" w:styleId="Body-Subx2Clause">
    <w:name w:val="Body-Subx2 Clause"/>
    <w:basedOn w:val="Normal"/>
    <w:qFormat/>
    <w:rsid w:val="00BB6B81"/>
    <w:pPr>
      <w:numPr>
        <w:ilvl w:val="2"/>
        <w:numId w:val="6"/>
      </w:numPr>
    </w:pPr>
    <w:rPr>
      <w:rFonts w:eastAsiaTheme="minorHAnsi" w:cstheme="minorBidi"/>
      <w:szCs w:val="22"/>
      <w:lang w:eastAsia="en-US"/>
    </w:rPr>
  </w:style>
  <w:style w:type="paragraph" w:customStyle="1" w:styleId="Body-Subx3Clause">
    <w:name w:val="Body-Subx3 Clause"/>
    <w:basedOn w:val="Normal"/>
    <w:qFormat/>
    <w:rsid w:val="00BB6B81"/>
    <w:pPr>
      <w:numPr>
        <w:ilvl w:val="3"/>
        <w:numId w:val="6"/>
      </w:numPr>
    </w:pPr>
    <w:rPr>
      <w:rFonts w:eastAsiaTheme="minorHAnsi" w:cstheme="minorBidi"/>
      <w:szCs w:val="22"/>
      <w:lang w:eastAsia="en-US"/>
    </w:rPr>
  </w:style>
  <w:style w:type="paragraph" w:customStyle="1" w:styleId="Body-Subx4Clause">
    <w:name w:val="Body-Subx4 Clause"/>
    <w:basedOn w:val="Normal"/>
    <w:qFormat/>
    <w:rsid w:val="00BB6B81"/>
    <w:pPr>
      <w:numPr>
        <w:ilvl w:val="4"/>
        <w:numId w:val="6"/>
      </w:numPr>
    </w:pPr>
    <w:rPr>
      <w:rFonts w:eastAsiaTheme="minorHAnsi" w:cstheme="minorBidi"/>
      <w:szCs w:val="22"/>
      <w:lang w:eastAsia="en-US"/>
    </w:rPr>
  </w:style>
  <w:style w:type="paragraph" w:customStyle="1" w:styleId="Body-Listalpha">
    <w:name w:val="Body-List (alpha)"/>
    <w:basedOn w:val="Normal"/>
    <w:qFormat/>
    <w:rsid w:val="00BB6B81"/>
    <w:pPr>
      <w:numPr>
        <w:ilvl w:val="6"/>
        <w:numId w:val="6"/>
      </w:numPr>
      <w:spacing w:before="0" w:after="0"/>
    </w:pPr>
    <w:rPr>
      <w:rFonts w:eastAsiaTheme="minorHAnsi" w:cstheme="minorBidi"/>
      <w:szCs w:val="22"/>
      <w:lang w:eastAsia="en-US"/>
    </w:rPr>
  </w:style>
  <w:style w:type="paragraph" w:styleId="Subtitle">
    <w:name w:val="Subtitle"/>
    <w:basedOn w:val="Normal"/>
    <w:next w:val="Normal"/>
    <w:link w:val="SubtitleChar"/>
    <w:uiPriority w:val="11"/>
    <w:qFormat/>
    <w:rsid w:val="00F25C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25C12"/>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35148"/>
    <w:rPr>
      <w:color w:val="954F72" w:themeColor="followedHyperlink"/>
      <w:u w:val="single"/>
    </w:rPr>
  </w:style>
  <w:style w:type="paragraph" w:styleId="Revision">
    <w:name w:val="Revision"/>
    <w:hidden/>
    <w:uiPriority w:val="99"/>
    <w:semiHidden/>
    <w:rsid w:val="00F73146"/>
    <w:rPr>
      <w:sz w:val="24"/>
      <w:szCs w:val="24"/>
    </w:rPr>
  </w:style>
  <w:style w:type="character" w:styleId="PlaceholderText">
    <w:name w:val="Placeholder Text"/>
    <w:basedOn w:val="DefaultParagraphFont"/>
    <w:uiPriority w:val="99"/>
    <w:semiHidden/>
    <w:rsid w:val="00B1207B"/>
    <w:rPr>
      <w:color w:val="808080"/>
    </w:rPr>
  </w:style>
  <w:style w:type="paragraph" w:customStyle="1" w:styleId="TBLText">
    <w:name w:val="TBL Text"/>
    <w:basedOn w:val="Normal"/>
    <w:uiPriority w:val="9"/>
    <w:qFormat/>
    <w:rsid w:val="008754FB"/>
    <w:pPr>
      <w:spacing w:before="0" w:after="0"/>
    </w:pPr>
    <w:rPr>
      <w:rFonts w:asciiTheme="minorHAnsi" w:eastAsiaTheme="minorEastAsia" w:hAnsiTheme="minorHAnsi" w:cstheme="minorBidi"/>
      <w:sz w:val="18"/>
      <w:szCs w:val="18"/>
      <w:lang w:eastAsia="en-US"/>
    </w:rPr>
  </w:style>
  <w:style w:type="character" w:customStyle="1" w:styleId="SingleTxtGChar">
    <w:name w:val="_ Single Txt_G Char"/>
    <w:link w:val="SingleTxtG"/>
    <w:qFormat/>
    <w:locked/>
    <w:rsid w:val="000A4B49"/>
    <w:rPr>
      <w:lang w:val="en-GB"/>
    </w:rPr>
  </w:style>
  <w:style w:type="paragraph" w:customStyle="1" w:styleId="SingleTxtG">
    <w:name w:val="_ Single Txt_G"/>
    <w:basedOn w:val="Normal"/>
    <w:link w:val="SingleTxtGChar"/>
    <w:qFormat/>
    <w:rsid w:val="000A4B49"/>
    <w:pPr>
      <w:suppressAutoHyphens/>
      <w:spacing w:before="0" w:line="240" w:lineRule="atLeast"/>
      <w:ind w:left="1134" w:right="1134"/>
      <w:jc w:val="both"/>
    </w:pPr>
    <w:rPr>
      <w:sz w:val="20"/>
      <w:szCs w:val="20"/>
      <w:lang w:val="en-GB"/>
    </w:rPr>
  </w:style>
  <w:style w:type="character" w:customStyle="1" w:styleId="Carpredefinitoparagrafo1">
    <w:name w:val="Car. predefinito paragrafo1"/>
    <w:rsid w:val="00A306A6"/>
  </w:style>
  <w:style w:type="paragraph" w:styleId="NormalWeb">
    <w:name w:val="Normal (Web)"/>
    <w:basedOn w:val="Normal"/>
    <w:uiPriority w:val="99"/>
    <w:semiHidden/>
    <w:unhideWhenUsed/>
    <w:rsid w:val="00546A55"/>
  </w:style>
  <w:style w:type="character" w:styleId="UnresolvedMention">
    <w:name w:val="Unresolved Mention"/>
    <w:basedOn w:val="DefaultParagraphFont"/>
    <w:uiPriority w:val="99"/>
    <w:semiHidden/>
    <w:unhideWhenUsed/>
    <w:rsid w:val="00546A55"/>
    <w:rPr>
      <w:color w:val="605E5C"/>
      <w:shd w:val="clear" w:color="auto" w:fill="E1DFDD"/>
    </w:rPr>
  </w:style>
  <w:style w:type="paragraph" w:customStyle="1" w:styleId="Clauseheadding">
    <w:name w:val="Clause headding"/>
    <w:basedOn w:val="Normal"/>
    <w:next w:val="Normal"/>
    <w:rsid w:val="00413F4A"/>
    <w:pPr>
      <w:tabs>
        <w:tab w:val="num" w:pos="1418"/>
      </w:tabs>
      <w:spacing w:before="240"/>
      <w:ind w:left="1418" w:hanging="1418"/>
    </w:pPr>
    <w:rPr>
      <w:b/>
      <w:caps/>
    </w:rPr>
  </w:style>
  <w:style w:type="paragraph" w:customStyle="1" w:styleId="Subsubclause">
    <w:name w:val="Subsub clause"/>
    <w:basedOn w:val="Normal"/>
    <w:next w:val="Normal"/>
    <w:rsid w:val="00413F4A"/>
    <w:pPr>
      <w:tabs>
        <w:tab w:val="num" w:pos="1418"/>
      </w:tabs>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3677">
      <w:bodyDiv w:val="1"/>
      <w:marLeft w:val="0"/>
      <w:marRight w:val="0"/>
      <w:marTop w:val="0"/>
      <w:marBottom w:val="0"/>
      <w:divBdr>
        <w:top w:val="none" w:sz="0" w:space="0" w:color="auto"/>
        <w:left w:val="none" w:sz="0" w:space="0" w:color="auto"/>
        <w:bottom w:val="none" w:sz="0" w:space="0" w:color="auto"/>
        <w:right w:val="none" w:sz="0" w:space="0" w:color="auto"/>
      </w:divBdr>
    </w:div>
    <w:div w:id="26149021">
      <w:bodyDiv w:val="1"/>
      <w:marLeft w:val="0"/>
      <w:marRight w:val="0"/>
      <w:marTop w:val="0"/>
      <w:marBottom w:val="0"/>
      <w:divBdr>
        <w:top w:val="none" w:sz="0" w:space="0" w:color="auto"/>
        <w:left w:val="none" w:sz="0" w:space="0" w:color="auto"/>
        <w:bottom w:val="none" w:sz="0" w:space="0" w:color="auto"/>
        <w:right w:val="none" w:sz="0" w:space="0" w:color="auto"/>
      </w:divBdr>
    </w:div>
    <w:div w:id="331952823">
      <w:bodyDiv w:val="1"/>
      <w:marLeft w:val="0"/>
      <w:marRight w:val="0"/>
      <w:marTop w:val="0"/>
      <w:marBottom w:val="0"/>
      <w:divBdr>
        <w:top w:val="none" w:sz="0" w:space="0" w:color="auto"/>
        <w:left w:val="none" w:sz="0" w:space="0" w:color="auto"/>
        <w:bottom w:val="none" w:sz="0" w:space="0" w:color="auto"/>
        <w:right w:val="none" w:sz="0" w:space="0" w:color="auto"/>
      </w:divBdr>
    </w:div>
    <w:div w:id="423494475">
      <w:bodyDiv w:val="1"/>
      <w:marLeft w:val="0"/>
      <w:marRight w:val="0"/>
      <w:marTop w:val="0"/>
      <w:marBottom w:val="0"/>
      <w:divBdr>
        <w:top w:val="none" w:sz="0" w:space="0" w:color="auto"/>
        <w:left w:val="none" w:sz="0" w:space="0" w:color="auto"/>
        <w:bottom w:val="none" w:sz="0" w:space="0" w:color="auto"/>
        <w:right w:val="none" w:sz="0" w:space="0" w:color="auto"/>
      </w:divBdr>
    </w:div>
    <w:div w:id="492717399">
      <w:bodyDiv w:val="1"/>
      <w:marLeft w:val="0"/>
      <w:marRight w:val="0"/>
      <w:marTop w:val="0"/>
      <w:marBottom w:val="0"/>
      <w:divBdr>
        <w:top w:val="none" w:sz="0" w:space="0" w:color="auto"/>
        <w:left w:val="none" w:sz="0" w:space="0" w:color="auto"/>
        <w:bottom w:val="none" w:sz="0" w:space="0" w:color="auto"/>
        <w:right w:val="none" w:sz="0" w:space="0" w:color="auto"/>
      </w:divBdr>
    </w:div>
    <w:div w:id="535000787">
      <w:bodyDiv w:val="1"/>
      <w:marLeft w:val="0"/>
      <w:marRight w:val="0"/>
      <w:marTop w:val="0"/>
      <w:marBottom w:val="0"/>
      <w:divBdr>
        <w:top w:val="none" w:sz="0" w:space="0" w:color="auto"/>
        <w:left w:val="none" w:sz="0" w:space="0" w:color="auto"/>
        <w:bottom w:val="none" w:sz="0" w:space="0" w:color="auto"/>
        <w:right w:val="none" w:sz="0" w:space="0" w:color="auto"/>
      </w:divBdr>
    </w:div>
    <w:div w:id="604923051">
      <w:bodyDiv w:val="1"/>
      <w:marLeft w:val="0"/>
      <w:marRight w:val="0"/>
      <w:marTop w:val="0"/>
      <w:marBottom w:val="0"/>
      <w:divBdr>
        <w:top w:val="none" w:sz="0" w:space="0" w:color="auto"/>
        <w:left w:val="none" w:sz="0" w:space="0" w:color="auto"/>
        <w:bottom w:val="none" w:sz="0" w:space="0" w:color="auto"/>
        <w:right w:val="none" w:sz="0" w:space="0" w:color="auto"/>
      </w:divBdr>
    </w:div>
    <w:div w:id="696081903">
      <w:bodyDiv w:val="1"/>
      <w:marLeft w:val="0"/>
      <w:marRight w:val="0"/>
      <w:marTop w:val="0"/>
      <w:marBottom w:val="0"/>
      <w:divBdr>
        <w:top w:val="none" w:sz="0" w:space="0" w:color="auto"/>
        <w:left w:val="none" w:sz="0" w:space="0" w:color="auto"/>
        <w:bottom w:val="none" w:sz="0" w:space="0" w:color="auto"/>
        <w:right w:val="none" w:sz="0" w:space="0" w:color="auto"/>
      </w:divBdr>
    </w:div>
    <w:div w:id="754397049">
      <w:bodyDiv w:val="1"/>
      <w:marLeft w:val="0"/>
      <w:marRight w:val="0"/>
      <w:marTop w:val="0"/>
      <w:marBottom w:val="0"/>
      <w:divBdr>
        <w:top w:val="none" w:sz="0" w:space="0" w:color="auto"/>
        <w:left w:val="none" w:sz="0" w:space="0" w:color="auto"/>
        <w:bottom w:val="none" w:sz="0" w:space="0" w:color="auto"/>
        <w:right w:val="none" w:sz="0" w:space="0" w:color="auto"/>
      </w:divBdr>
    </w:div>
    <w:div w:id="955601080">
      <w:bodyDiv w:val="1"/>
      <w:marLeft w:val="0"/>
      <w:marRight w:val="0"/>
      <w:marTop w:val="0"/>
      <w:marBottom w:val="0"/>
      <w:divBdr>
        <w:top w:val="none" w:sz="0" w:space="0" w:color="auto"/>
        <w:left w:val="none" w:sz="0" w:space="0" w:color="auto"/>
        <w:bottom w:val="none" w:sz="0" w:space="0" w:color="auto"/>
        <w:right w:val="none" w:sz="0" w:space="0" w:color="auto"/>
      </w:divBdr>
    </w:div>
    <w:div w:id="1021979774">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 w:id="1032681799">
      <w:bodyDiv w:val="1"/>
      <w:marLeft w:val="0"/>
      <w:marRight w:val="0"/>
      <w:marTop w:val="0"/>
      <w:marBottom w:val="0"/>
      <w:divBdr>
        <w:top w:val="none" w:sz="0" w:space="0" w:color="auto"/>
        <w:left w:val="none" w:sz="0" w:space="0" w:color="auto"/>
        <w:bottom w:val="none" w:sz="0" w:space="0" w:color="auto"/>
        <w:right w:val="none" w:sz="0" w:space="0" w:color="auto"/>
      </w:divBdr>
    </w:div>
    <w:div w:id="1131551961">
      <w:bodyDiv w:val="1"/>
      <w:marLeft w:val="0"/>
      <w:marRight w:val="0"/>
      <w:marTop w:val="0"/>
      <w:marBottom w:val="0"/>
      <w:divBdr>
        <w:top w:val="none" w:sz="0" w:space="0" w:color="auto"/>
        <w:left w:val="none" w:sz="0" w:space="0" w:color="auto"/>
        <w:bottom w:val="none" w:sz="0" w:space="0" w:color="auto"/>
        <w:right w:val="none" w:sz="0" w:space="0" w:color="auto"/>
      </w:divBdr>
    </w:div>
    <w:div w:id="1243561760">
      <w:bodyDiv w:val="1"/>
      <w:marLeft w:val="0"/>
      <w:marRight w:val="0"/>
      <w:marTop w:val="0"/>
      <w:marBottom w:val="0"/>
      <w:divBdr>
        <w:top w:val="none" w:sz="0" w:space="0" w:color="auto"/>
        <w:left w:val="none" w:sz="0" w:space="0" w:color="auto"/>
        <w:bottom w:val="none" w:sz="0" w:space="0" w:color="auto"/>
        <w:right w:val="none" w:sz="0" w:space="0" w:color="auto"/>
      </w:divBdr>
    </w:div>
    <w:div w:id="1643536560">
      <w:bodyDiv w:val="1"/>
      <w:marLeft w:val="0"/>
      <w:marRight w:val="0"/>
      <w:marTop w:val="0"/>
      <w:marBottom w:val="0"/>
      <w:divBdr>
        <w:top w:val="none" w:sz="0" w:space="0" w:color="auto"/>
        <w:left w:val="none" w:sz="0" w:space="0" w:color="auto"/>
        <w:bottom w:val="none" w:sz="0" w:space="0" w:color="auto"/>
        <w:right w:val="none" w:sz="0" w:space="0" w:color="auto"/>
      </w:divBdr>
    </w:div>
    <w:div w:id="1759909084">
      <w:bodyDiv w:val="1"/>
      <w:marLeft w:val="0"/>
      <w:marRight w:val="0"/>
      <w:marTop w:val="0"/>
      <w:marBottom w:val="0"/>
      <w:divBdr>
        <w:top w:val="none" w:sz="0" w:space="0" w:color="auto"/>
        <w:left w:val="none" w:sz="0" w:space="0" w:color="auto"/>
        <w:bottom w:val="none" w:sz="0" w:space="0" w:color="auto"/>
        <w:right w:val="none" w:sz="0" w:space="0" w:color="auto"/>
      </w:divBdr>
    </w:div>
    <w:div w:id="20061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store.iec.ch/en/publication/4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2.xml><?xml version="1.0" encoding="utf-8"?>
<ds:datastoreItem xmlns:ds="http://schemas.openxmlformats.org/officeDocument/2006/customXml" ds:itemID="{5ADE357B-C577-449F-903F-74EA274E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F7493-564C-4428-8F1D-920B700D2C94}">
  <ds:schemaRefs>
    <ds:schemaRef ds:uri="http://schemas.microsoft.com/office/infopath/2007/PartnerControls"/>
    <ds:schemaRef ds:uri="http://purl.org/dc/elements/1.1/"/>
    <ds:schemaRef ds:uri="http://schemas.microsoft.com/office/2006/metadata/properties"/>
    <ds:schemaRef ds:uri="http://purl.org/dc/terms/"/>
    <ds:schemaRef ds:uri="6576d91f-c9e9-4947-a3d7-a61f7222049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904AAA-A57A-4B4E-A367-9E173D6A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4912</Words>
  <Characters>27235</Characters>
  <Application>Microsoft Office Word</Application>
  <DocSecurity>0</DocSecurity>
  <Lines>1089</Lines>
  <Paragraphs>824</Paragraphs>
  <ScaleCrop>false</ScaleCrop>
  <HeadingPairs>
    <vt:vector size="2" baseType="variant">
      <vt:variant>
        <vt:lpstr>Title</vt:lpstr>
      </vt:variant>
      <vt:variant>
        <vt:i4>1</vt:i4>
      </vt:variant>
    </vt:vector>
  </HeadingPairs>
  <TitlesOfParts>
    <vt:vector size="1" baseType="lpstr">
      <vt:lpstr>Draft ADR—August 2025—Vehicle Standard (Australian Design Rule 102/00—Light Signalling Devices) 2025</vt:lpstr>
    </vt:vector>
  </TitlesOfParts>
  <Manager/>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statement—August 2025—Vehicle Standard (Australian Design Rule 102/00—Light Signalling Devices) 2025</dc:title>
  <dc:subject/>
  <dc:creator/>
  <cp:keywords/>
  <cp:lastModifiedBy/>
  <cp:revision>1</cp:revision>
  <dcterms:created xsi:type="dcterms:W3CDTF">2025-08-19T02:53:00Z</dcterms:created>
  <dcterms:modified xsi:type="dcterms:W3CDTF">2025-08-19T03:32:00Z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