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6D621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0BC59C9" wp14:editId="74CD285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DA19EF5" w14:textId="77777777" w:rsidR="00715914" w:rsidRPr="00E500D4" w:rsidRDefault="00715914" w:rsidP="00715914">
      <w:pPr>
        <w:rPr>
          <w:sz w:val="19"/>
        </w:rPr>
      </w:pPr>
    </w:p>
    <w:p w14:paraId="4C5BF74B" w14:textId="77777777" w:rsidR="00554826" w:rsidRPr="00E500D4" w:rsidRDefault="00DE496D" w:rsidP="00554826">
      <w:pPr>
        <w:pStyle w:val="ShortT"/>
      </w:pPr>
      <w:r w:rsidRPr="00B8667A">
        <w:t>Telecommunications</w:t>
      </w:r>
      <w:r w:rsidR="00554826" w:rsidRPr="00B8667A">
        <w:t xml:space="preserve"> (</w:t>
      </w:r>
      <w:r w:rsidRPr="00B8667A">
        <w:t>Consumer Protection and Service Standards</w:t>
      </w:r>
      <w:r w:rsidR="00554826" w:rsidRPr="00B8667A">
        <w:t xml:space="preserve">) </w:t>
      </w:r>
      <w:r w:rsidRPr="00B8667A">
        <w:t>(</w:t>
      </w:r>
      <w:r w:rsidR="00CD2529">
        <w:t>Non-</w:t>
      </w:r>
      <w:r w:rsidRPr="00B8667A">
        <w:t xml:space="preserve">Participating </w:t>
      </w:r>
      <w:r w:rsidR="00B8667A" w:rsidRPr="00B8667A">
        <w:t>Person</w:t>
      </w:r>
      <w:r w:rsidR="00FD6951">
        <w:t>s</w:t>
      </w:r>
      <w:r w:rsidR="00B8667A" w:rsidRPr="00B8667A">
        <w:t>) Determination 2025</w:t>
      </w:r>
    </w:p>
    <w:p w14:paraId="7F2ACD5C" w14:textId="77777777" w:rsidR="00554826" w:rsidRPr="00A4565C" w:rsidRDefault="00554826" w:rsidP="00554826">
      <w:pPr>
        <w:pStyle w:val="SignCoverPageStart"/>
        <w:spacing w:before="240"/>
        <w:ind w:right="91"/>
        <w:rPr>
          <w:szCs w:val="22"/>
        </w:rPr>
      </w:pPr>
      <w:r w:rsidRPr="00A4565C">
        <w:rPr>
          <w:szCs w:val="22"/>
        </w:rPr>
        <w:t xml:space="preserve">I, </w:t>
      </w:r>
      <w:r w:rsidR="00EF602C" w:rsidRPr="00A4565C">
        <w:rPr>
          <w:szCs w:val="22"/>
        </w:rPr>
        <w:t xml:space="preserve">Anika </w:t>
      </w:r>
      <w:r w:rsidR="00A4565C" w:rsidRPr="00A4565C">
        <w:rPr>
          <w:szCs w:val="22"/>
        </w:rPr>
        <w:t>Wells</w:t>
      </w:r>
      <w:r w:rsidRPr="00A4565C">
        <w:rPr>
          <w:szCs w:val="22"/>
        </w:rPr>
        <w:t xml:space="preserve">, </w:t>
      </w:r>
      <w:r w:rsidR="00A4565C" w:rsidRPr="00A4565C">
        <w:rPr>
          <w:szCs w:val="22"/>
        </w:rPr>
        <w:t>Minister for Communications</w:t>
      </w:r>
      <w:r w:rsidRPr="00A4565C">
        <w:rPr>
          <w:szCs w:val="22"/>
        </w:rPr>
        <w:t xml:space="preserve">, make the following </w:t>
      </w:r>
      <w:r w:rsidR="00A4565C" w:rsidRPr="00A4565C">
        <w:rPr>
          <w:szCs w:val="22"/>
        </w:rPr>
        <w:t>determination</w:t>
      </w:r>
      <w:r w:rsidRPr="00A4565C">
        <w:rPr>
          <w:szCs w:val="22"/>
        </w:rPr>
        <w:t>.</w:t>
      </w:r>
    </w:p>
    <w:p w14:paraId="28154FD0" w14:textId="77777777" w:rsidR="00554826" w:rsidRPr="00A4565C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A4565C">
        <w:rPr>
          <w:szCs w:val="22"/>
        </w:rPr>
        <w:t>Dated</w:t>
      </w:r>
      <w:r w:rsidRPr="00A4565C">
        <w:rPr>
          <w:szCs w:val="22"/>
        </w:rPr>
        <w:tab/>
      </w:r>
      <w:r w:rsidRPr="00A4565C">
        <w:rPr>
          <w:szCs w:val="22"/>
        </w:rPr>
        <w:tab/>
      </w:r>
      <w:r w:rsidRPr="00A4565C">
        <w:rPr>
          <w:szCs w:val="22"/>
        </w:rPr>
        <w:tab/>
      </w:r>
      <w:r w:rsidRPr="00A4565C">
        <w:rPr>
          <w:szCs w:val="22"/>
        </w:rPr>
        <w:tab/>
      </w:r>
    </w:p>
    <w:p w14:paraId="54A3AF1C" w14:textId="77777777" w:rsidR="00554826" w:rsidRPr="00A4565C" w:rsidRDefault="00A4565C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A4565C">
        <w:rPr>
          <w:szCs w:val="22"/>
        </w:rPr>
        <w:t>Anika Wells</w:t>
      </w:r>
      <w:r w:rsidR="00554826" w:rsidRPr="00A4565C">
        <w:rPr>
          <w:szCs w:val="22"/>
        </w:rPr>
        <w:t xml:space="preserve"> </w:t>
      </w:r>
      <w:r w:rsidR="00554826" w:rsidRPr="00A4565C">
        <w:rPr>
          <w:b/>
          <w:szCs w:val="22"/>
        </w:rPr>
        <w:t>DRAFT ONLY—NOT FOR SIGNATURE</w:t>
      </w:r>
    </w:p>
    <w:p w14:paraId="2681A921" w14:textId="77777777" w:rsidR="00554826" w:rsidRPr="008E0027" w:rsidRDefault="00A4565C" w:rsidP="00554826">
      <w:pPr>
        <w:pStyle w:val="SignCoverPageEnd"/>
        <w:ind w:right="91"/>
        <w:rPr>
          <w:sz w:val="22"/>
        </w:rPr>
      </w:pPr>
      <w:r w:rsidRPr="00A4565C">
        <w:rPr>
          <w:sz w:val="22"/>
        </w:rPr>
        <w:t>Minister for Communications</w:t>
      </w:r>
    </w:p>
    <w:p w14:paraId="5742164D" w14:textId="77777777" w:rsidR="00554826" w:rsidRDefault="00554826" w:rsidP="00554826"/>
    <w:p w14:paraId="1D5E7479" w14:textId="77777777" w:rsidR="00554826" w:rsidRPr="00ED79B6" w:rsidRDefault="00554826" w:rsidP="00554826"/>
    <w:p w14:paraId="4BA6FA08" w14:textId="77777777" w:rsidR="00F6696E" w:rsidRDefault="00F6696E" w:rsidP="00F6696E"/>
    <w:p w14:paraId="5FD2E7F6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919A727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82E5464" w14:textId="77777777" w:rsidR="00F30274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F30274">
        <w:rPr>
          <w:noProof/>
        </w:rPr>
        <w:t>1  Name</w:t>
      </w:r>
      <w:r w:rsidR="00F30274">
        <w:rPr>
          <w:noProof/>
        </w:rPr>
        <w:tab/>
      </w:r>
      <w:r w:rsidR="00F30274">
        <w:rPr>
          <w:noProof/>
        </w:rPr>
        <w:fldChar w:fldCharType="begin"/>
      </w:r>
      <w:r w:rsidR="00F30274">
        <w:rPr>
          <w:noProof/>
        </w:rPr>
        <w:instrText xml:space="preserve"> PAGEREF _Toc204264403 \h </w:instrText>
      </w:r>
      <w:r w:rsidR="00F30274">
        <w:rPr>
          <w:noProof/>
        </w:rPr>
      </w:r>
      <w:r w:rsidR="00F30274">
        <w:rPr>
          <w:noProof/>
        </w:rPr>
        <w:fldChar w:fldCharType="separate"/>
      </w:r>
      <w:r w:rsidR="00F30274">
        <w:rPr>
          <w:noProof/>
        </w:rPr>
        <w:t>1</w:t>
      </w:r>
      <w:r w:rsidR="00F30274">
        <w:rPr>
          <w:noProof/>
        </w:rPr>
        <w:fldChar w:fldCharType="end"/>
      </w:r>
    </w:p>
    <w:p w14:paraId="14685646" w14:textId="77777777" w:rsidR="00F30274" w:rsidRDefault="00F302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_Toc204264404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1C27C06" w14:textId="77777777" w:rsidR="00F30274" w:rsidRDefault="00F302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_Toc204264405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D1C9553" w14:textId="77777777" w:rsidR="00F30274" w:rsidRDefault="00F302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_Toc204264406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C994BE5" w14:textId="77777777" w:rsidR="00F30274" w:rsidRDefault="00F302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_Toc204264407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001909E" w14:textId="77777777" w:rsidR="00F30274" w:rsidRDefault="00F302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Persons who are not participating persons for an eligible revenue period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_Toc204264408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715E420" w14:textId="77777777" w:rsidR="00F30274" w:rsidRDefault="00F302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Application and savings provisions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_Toc204264409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DDD7A96" w14:textId="77777777" w:rsidR="00F30274" w:rsidRDefault="00F3027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_Toc204264410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4B4B9F6" w14:textId="77777777" w:rsidR="00F30274" w:rsidRDefault="00F3027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(Participating Persons) Determination 2015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_Toc204264411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44EFAAA" w14:textId="77777777" w:rsidR="00F6696E" w:rsidRDefault="00B418CB" w:rsidP="00F6696E">
      <w:pPr>
        <w:outlineLvl w:val="0"/>
      </w:pPr>
      <w:r>
        <w:fldChar w:fldCharType="end"/>
      </w:r>
    </w:p>
    <w:p w14:paraId="44F345F7" w14:textId="77777777" w:rsidR="00F6696E" w:rsidRPr="00A802BC" w:rsidRDefault="00F6696E" w:rsidP="00F6696E">
      <w:pPr>
        <w:outlineLvl w:val="0"/>
        <w:rPr>
          <w:sz w:val="20"/>
        </w:rPr>
      </w:pPr>
    </w:p>
    <w:p w14:paraId="43CFF863" w14:textId="77777777" w:rsidR="00F6696E" w:rsidRDefault="00F6696E" w:rsidP="00F6696E">
      <w:pPr>
        <w:sectPr w:rsidR="00F6696E" w:rsidSect="008D0C8E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C78B7C6" w14:textId="77777777" w:rsidR="00554826" w:rsidRPr="00554826" w:rsidRDefault="00554826" w:rsidP="00554826">
      <w:pPr>
        <w:pStyle w:val="ActHead5"/>
      </w:pPr>
      <w:bookmarkStart w:id="1" w:name="_Toc204264403"/>
      <w:proofErr w:type="gramStart"/>
      <w:r w:rsidRPr="00554826">
        <w:lastRenderedPageBreak/>
        <w:t>1  Name</w:t>
      </w:r>
      <w:bookmarkEnd w:id="1"/>
      <w:proofErr w:type="gramEnd"/>
    </w:p>
    <w:p w14:paraId="5E2ED72F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A4565C" w:rsidRPr="00A4565C">
        <w:rPr>
          <w:i/>
        </w:rPr>
        <w:t>Telecommunications (Consumer Protection and Service Standards) (</w:t>
      </w:r>
      <w:r w:rsidR="00CD2529">
        <w:rPr>
          <w:i/>
        </w:rPr>
        <w:t>Non-</w:t>
      </w:r>
      <w:r w:rsidR="00A4565C" w:rsidRPr="00A4565C">
        <w:rPr>
          <w:i/>
        </w:rPr>
        <w:t>Participating Person</w:t>
      </w:r>
      <w:r w:rsidR="00A34585">
        <w:rPr>
          <w:i/>
        </w:rPr>
        <w:t>s</w:t>
      </w:r>
      <w:r w:rsidR="00A4565C" w:rsidRPr="00A4565C">
        <w:rPr>
          <w:i/>
        </w:rPr>
        <w:t>) Determination 2025</w:t>
      </w:r>
      <w:r w:rsidRPr="00A4565C">
        <w:t>.</w:t>
      </w:r>
    </w:p>
    <w:p w14:paraId="4601FF04" w14:textId="77777777" w:rsidR="00F16D80" w:rsidRDefault="00554826" w:rsidP="00A97AE0">
      <w:pPr>
        <w:pStyle w:val="ActHead5"/>
      </w:pPr>
      <w:bookmarkStart w:id="3" w:name="_Toc204264404"/>
      <w:proofErr w:type="gramStart"/>
      <w:r w:rsidRPr="00554826">
        <w:t>2  Commencement</w:t>
      </w:r>
      <w:bookmarkEnd w:id="3"/>
      <w:proofErr w:type="gramEnd"/>
    </w:p>
    <w:p w14:paraId="55A1073B" w14:textId="77777777" w:rsidR="00A97AE0" w:rsidRDefault="00A97AE0" w:rsidP="00A97AE0">
      <w:pPr>
        <w:pStyle w:val="subsection"/>
      </w:pPr>
      <w:r>
        <w:tab/>
        <w:t xml:space="preserve">(1) </w:t>
      </w:r>
      <w:r>
        <w:tab/>
      </w:r>
      <w:r w:rsidRPr="00A97AE0">
        <w:t>Each</w:t>
      </w:r>
      <w:r>
        <w:t xml:space="preserve"> provision of this instrument specified in column 1 of the table commences, or is taken to have commenced, in accordance with column 2 of the table. Any other statement in column 2 has effect according to its terms.</w:t>
      </w:r>
    </w:p>
    <w:p w14:paraId="1D9F46EA" w14:textId="77777777" w:rsidR="00A97AE0" w:rsidRDefault="00A97AE0" w:rsidP="00A97AE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97AE0" w14:paraId="28A34A50" w14:textId="77777777" w:rsidTr="008D0C8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27048BE" w14:textId="77777777" w:rsidR="00A97AE0" w:rsidRPr="00416235" w:rsidRDefault="00A97AE0" w:rsidP="008D0C8E">
            <w:pPr>
              <w:pStyle w:val="TableHeading"/>
            </w:pPr>
            <w:r w:rsidRPr="00416235">
              <w:t>Commencement information</w:t>
            </w:r>
          </w:p>
        </w:tc>
      </w:tr>
      <w:tr w:rsidR="00A97AE0" w:rsidRPr="00416235" w14:paraId="0DAA5D74" w14:textId="77777777" w:rsidTr="008D0C8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6695C4" w14:textId="77777777" w:rsidR="00A97AE0" w:rsidRPr="00416235" w:rsidRDefault="00A97AE0" w:rsidP="008D0C8E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98C3B3F" w14:textId="77777777" w:rsidR="00A97AE0" w:rsidRPr="00416235" w:rsidRDefault="00A97AE0" w:rsidP="008D0C8E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3C9BED3" w14:textId="77777777" w:rsidR="00A97AE0" w:rsidRPr="00416235" w:rsidRDefault="00A97AE0" w:rsidP="008D0C8E">
            <w:pPr>
              <w:pStyle w:val="TableHeading"/>
            </w:pPr>
            <w:r w:rsidRPr="00416235">
              <w:t>Column 3</w:t>
            </w:r>
          </w:p>
        </w:tc>
      </w:tr>
      <w:tr w:rsidR="00A97AE0" w14:paraId="551743D6" w14:textId="77777777" w:rsidTr="008D0C8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BCFD27A" w14:textId="77777777" w:rsidR="00A97AE0" w:rsidRPr="00416235" w:rsidRDefault="00A97AE0" w:rsidP="008D0C8E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CA7A05" w14:textId="77777777" w:rsidR="00A97AE0" w:rsidRPr="00416235" w:rsidRDefault="00A97AE0" w:rsidP="008D0C8E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B7FAA4" w14:textId="77777777" w:rsidR="00A97AE0" w:rsidRPr="00416235" w:rsidRDefault="00A97AE0" w:rsidP="008D0C8E">
            <w:pPr>
              <w:pStyle w:val="TableHeading"/>
            </w:pPr>
            <w:r w:rsidRPr="00416235">
              <w:t>Date/Details</w:t>
            </w:r>
          </w:p>
        </w:tc>
      </w:tr>
      <w:tr w:rsidR="00A97AE0" w14:paraId="24C4C4D3" w14:textId="77777777" w:rsidTr="008D0C8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89255E9" w14:textId="77777777" w:rsidR="00A97AE0" w:rsidRPr="00141414" w:rsidRDefault="00141414" w:rsidP="00141414">
            <w:pPr>
              <w:pStyle w:val="Tabletext"/>
            </w:pPr>
            <w:r w:rsidRPr="00141414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0F6BE70" w14:textId="77777777" w:rsidR="00A97AE0" w:rsidRPr="00141414" w:rsidRDefault="00141414" w:rsidP="008D0C8E">
            <w:pPr>
              <w:pStyle w:val="Tabletext"/>
              <w:rPr>
                <w:b/>
                <w:bCs/>
              </w:rPr>
            </w:pPr>
            <w:r w:rsidRPr="00141414">
              <w:t>The day after this instrument is registered</w:t>
            </w:r>
            <w:r w:rsidR="00A97AE0" w:rsidRPr="00141414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F48CA7" w14:textId="77777777" w:rsidR="00A97AE0" w:rsidRDefault="00A97AE0" w:rsidP="008D0C8E">
            <w:pPr>
              <w:pStyle w:val="Tabletext"/>
            </w:pPr>
          </w:p>
        </w:tc>
      </w:tr>
    </w:tbl>
    <w:p w14:paraId="2BBFAA8B" w14:textId="77777777" w:rsidR="00A97AE0" w:rsidRPr="001E6DD6" w:rsidRDefault="00A97AE0" w:rsidP="00A97AE0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72FE72CE" w14:textId="77777777" w:rsidR="00F16D80" w:rsidRDefault="00A97AE0" w:rsidP="00F16D80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>
        <w:t>this instrument</w:t>
      </w:r>
      <w:r w:rsidRPr="005F477A">
        <w:t xml:space="preserve">. Information may be inserted in this column, or information in it may be edited, in any published version of </w:t>
      </w:r>
      <w:r>
        <w:t>this instrument</w:t>
      </w:r>
      <w:r w:rsidRPr="005F477A">
        <w:t>.</w:t>
      </w:r>
    </w:p>
    <w:p w14:paraId="268740A6" w14:textId="77777777" w:rsidR="00554826" w:rsidRPr="00554826" w:rsidRDefault="00554826" w:rsidP="00554826">
      <w:pPr>
        <w:pStyle w:val="ActHead5"/>
      </w:pPr>
      <w:bookmarkStart w:id="4" w:name="_Toc204264405"/>
      <w:proofErr w:type="gramStart"/>
      <w:r w:rsidRPr="00554826">
        <w:t>3  Authority</w:t>
      </w:r>
      <w:bookmarkEnd w:id="4"/>
      <w:proofErr w:type="gramEnd"/>
    </w:p>
    <w:p w14:paraId="2DC7E4DE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</w:t>
      </w:r>
      <w:r w:rsidRPr="00141414">
        <w:t xml:space="preserve">under </w:t>
      </w:r>
      <w:r w:rsidR="00141414" w:rsidRPr="00141414">
        <w:t xml:space="preserve">subsection 44(2) of the </w:t>
      </w:r>
      <w:r w:rsidR="00141414" w:rsidRPr="00141414">
        <w:rPr>
          <w:i/>
        </w:rPr>
        <w:t>Telecommunications (Consumer Protection and Service Standards) Act 1999</w:t>
      </w:r>
      <w:r w:rsidRPr="00141414">
        <w:t>.</w:t>
      </w:r>
    </w:p>
    <w:p w14:paraId="68A3D3D7" w14:textId="77777777" w:rsidR="00554826" w:rsidRPr="00554826" w:rsidRDefault="00554826" w:rsidP="00554826">
      <w:pPr>
        <w:pStyle w:val="ActHead5"/>
      </w:pPr>
      <w:bookmarkStart w:id="5" w:name="_Toc204264406"/>
      <w:proofErr w:type="gramStart"/>
      <w:r w:rsidRPr="00554826">
        <w:t>4  Definitions</w:t>
      </w:r>
      <w:bookmarkEnd w:id="5"/>
      <w:proofErr w:type="gramEnd"/>
    </w:p>
    <w:p w14:paraId="7002CBF9" w14:textId="77777777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141414" w:rsidRPr="00141414">
        <w:t>section 5</w:t>
      </w:r>
      <w:r w:rsidRPr="00141414">
        <w:t xml:space="preserve"> of</w:t>
      </w:r>
      <w:r>
        <w:t xml:space="preserve"> the Act</w:t>
      </w:r>
      <w:r w:rsidRPr="009C2562">
        <w:t>, including the following:</w:t>
      </w:r>
    </w:p>
    <w:p w14:paraId="36580CBD" w14:textId="77777777" w:rsidR="000758C8" w:rsidRDefault="00554826" w:rsidP="00554826">
      <w:pPr>
        <w:pStyle w:val="notepara"/>
      </w:pPr>
      <w:r w:rsidRPr="008D0C8E">
        <w:t>(</w:t>
      </w:r>
      <w:r w:rsidR="003C2832">
        <w:t>a</w:t>
      </w:r>
      <w:r w:rsidRPr="008D0C8E">
        <w:t>)</w:t>
      </w:r>
      <w:r w:rsidRPr="008D0C8E">
        <w:tab/>
      </w:r>
      <w:r w:rsidR="000758C8">
        <w:t>eligible revenue;</w:t>
      </w:r>
    </w:p>
    <w:p w14:paraId="6AED7D1C" w14:textId="77777777" w:rsidR="00141414" w:rsidRPr="008D0C8E" w:rsidRDefault="000758C8" w:rsidP="00554826">
      <w:pPr>
        <w:pStyle w:val="notepara"/>
      </w:pPr>
      <w:r>
        <w:t>(b)</w:t>
      </w:r>
      <w:r>
        <w:tab/>
      </w:r>
      <w:r w:rsidR="00141414" w:rsidRPr="008D0C8E">
        <w:t>eligible revenue period;</w:t>
      </w:r>
      <w:r w:rsidR="00492FDE">
        <w:t xml:space="preserve"> </w:t>
      </w:r>
    </w:p>
    <w:p w14:paraId="33E57BD5" w14:textId="77777777" w:rsidR="00554826" w:rsidRPr="009C2562" w:rsidRDefault="00141414" w:rsidP="00554826">
      <w:pPr>
        <w:pStyle w:val="notepara"/>
      </w:pPr>
      <w:r>
        <w:t>(</w:t>
      </w:r>
      <w:r w:rsidR="000758C8">
        <w:t>c</w:t>
      </w:r>
      <w:r>
        <w:t>)</w:t>
      </w:r>
      <w:r>
        <w:tab/>
        <w:t>participating person</w:t>
      </w:r>
      <w:r w:rsidR="00554826">
        <w:t>.</w:t>
      </w:r>
    </w:p>
    <w:p w14:paraId="05CC5A26" w14:textId="77777777" w:rsidR="00554826" w:rsidRPr="009C2562" w:rsidRDefault="00DE6224" w:rsidP="00554826">
      <w:pPr>
        <w:pStyle w:val="subsection"/>
      </w:pPr>
      <w:r w:rsidRPr="009C2562">
        <w:tab/>
      </w:r>
      <w:r w:rsidRPr="009C2562">
        <w:tab/>
      </w:r>
      <w:r w:rsidR="00554826" w:rsidRPr="009C2562">
        <w:t>In this instrument:</w:t>
      </w:r>
    </w:p>
    <w:p w14:paraId="0BAB0706" w14:textId="77777777" w:rsidR="001112A2" w:rsidRPr="001112A2" w:rsidRDefault="001112A2" w:rsidP="00554826">
      <w:pPr>
        <w:pStyle w:val="Definition"/>
      </w:pPr>
      <w:r>
        <w:rPr>
          <w:b/>
          <w:i/>
        </w:rPr>
        <w:t xml:space="preserve">ACMA </w:t>
      </w:r>
      <w:r>
        <w:t>means the Australian Communications and Media Authority.</w:t>
      </w:r>
    </w:p>
    <w:p w14:paraId="3B3932E4" w14:textId="77777777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141414" w:rsidRPr="00141414">
        <w:rPr>
          <w:i/>
        </w:rPr>
        <w:t>Telecommunications (Consumer Protection and Service Standards) Act 1999</w:t>
      </w:r>
      <w:r w:rsidRPr="00141414">
        <w:t>.</w:t>
      </w:r>
    </w:p>
    <w:p w14:paraId="1C623A22" w14:textId="77777777" w:rsidR="00554826" w:rsidRDefault="00C348D6" w:rsidP="00554826">
      <w:pPr>
        <w:pStyle w:val="Definition"/>
      </w:pPr>
      <w:r w:rsidRPr="00F9788F">
        <w:rPr>
          <w:b/>
          <w:i/>
        </w:rPr>
        <w:t>company secretary</w:t>
      </w:r>
      <w:r w:rsidR="00554826" w:rsidRPr="00F9788F">
        <w:rPr>
          <w:b/>
          <w:i/>
        </w:rPr>
        <w:t xml:space="preserve"> </w:t>
      </w:r>
      <w:r w:rsidR="00F9788F" w:rsidRPr="00F9788F">
        <w:t xml:space="preserve">has the same meaning as in the </w:t>
      </w:r>
      <w:r w:rsidR="00F9788F" w:rsidRPr="00F9788F">
        <w:rPr>
          <w:i/>
        </w:rPr>
        <w:t>Corporations Act 2001</w:t>
      </w:r>
      <w:r w:rsidR="00554826" w:rsidRPr="00F9788F">
        <w:t>.</w:t>
      </w:r>
    </w:p>
    <w:p w14:paraId="7F5CF401" w14:textId="77777777" w:rsidR="00554826" w:rsidRDefault="00C348D6" w:rsidP="00554826">
      <w:pPr>
        <w:pStyle w:val="Definition"/>
      </w:pPr>
      <w:r w:rsidRPr="00F9788F">
        <w:rPr>
          <w:b/>
          <w:i/>
        </w:rPr>
        <w:t>director</w:t>
      </w:r>
      <w:r w:rsidR="00554826" w:rsidRPr="00F9788F">
        <w:rPr>
          <w:b/>
          <w:i/>
        </w:rPr>
        <w:t xml:space="preserve"> </w:t>
      </w:r>
      <w:r w:rsidR="00F9788F" w:rsidRPr="00F9788F">
        <w:t>has the same</w:t>
      </w:r>
      <w:r w:rsidR="00F9788F">
        <w:t xml:space="preserve"> meaning as in </w:t>
      </w:r>
      <w:r w:rsidR="00B14846">
        <w:t>sub</w:t>
      </w:r>
      <w:r w:rsidR="00F9788F">
        <w:t>section 9</w:t>
      </w:r>
      <w:proofErr w:type="gramStart"/>
      <w:r w:rsidR="00F9788F">
        <w:t>AC</w:t>
      </w:r>
      <w:r w:rsidR="00B14846">
        <w:t>(</w:t>
      </w:r>
      <w:proofErr w:type="gramEnd"/>
      <w:r w:rsidR="00B14846">
        <w:t>1)</w:t>
      </w:r>
      <w:r w:rsidR="00F9788F">
        <w:t xml:space="preserve"> of the </w:t>
      </w:r>
      <w:r w:rsidR="00F9788F">
        <w:rPr>
          <w:i/>
        </w:rPr>
        <w:t>Corporations Act 2001</w:t>
      </w:r>
      <w:r w:rsidR="00554826">
        <w:t>.</w:t>
      </w:r>
    </w:p>
    <w:p w14:paraId="2C09B969" w14:textId="77777777" w:rsidR="00C348D6" w:rsidRPr="00F9788F" w:rsidRDefault="00C348D6" w:rsidP="00554826">
      <w:pPr>
        <w:pStyle w:val="Definition"/>
        <w:rPr>
          <w:i/>
        </w:rPr>
      </w:pPr>
      <w:r w:rsidRPr="00F9788F">
        <w:rPr>
          <w:b/>
          <w:i/>
        </w:rPr>
        <w:t>Eligible Revenue Determination</w:t>
      </w:r>
      <w:r w:rsidR="00F9788F" w:rsidRPr="00F9788F">
        <w:rPr>
          <w:b/>
          <w:i/>
        </w:rPr>
        <w:t xml:space="preserve"> </w:t>
      </w:r>
      <w:r w:rsidR="00F9788F" w:rsidRPr="00F9788F">
        <w:t xml:space="preserve">means the </w:t>
      </w:r>
      <w:r w:rsidR="00F9788F" w:rsidRPr="00F9788F">
        <w:rPr>
          <w:i/>
        </w:rPr>
        <w:t>Telecommunications (Eligible Revenue) Determination 2025</w:t>
      </w:r>
      <w:r w:rsidR="00A95D54">
        <w:t>, as in force from time to time</w:t>
      </w:r>
      <w:r w:rsidR="00F9788F" w:rsidRPr="00F9788F">
        <w:rPr>
          <w:i/>
        </w:rPr>
        <w:t>.</w:t>
      </w:r>
    </w:p>
    <w:p w14:paraId="0C1AAC1E" w14:textId="77777777" w:rsidR="00C348D6" w:rsidRDefault="00C348D6" w:rsidP="00554826">
      <w:pPr>
        <w:pStyle w:val="Definition"/>
      </w:pPr>
      <w:r>
        <w:rPr>
          <w:b/>
          <w:i/>
        </w:rPr>
        <w:lastRenderedPageBreak/>
        <w:t>eligible statutory declaration</w:t>
      </w:r>
      <w:r w:rsidR="00BA1026">
        <w:t>, by a person,</w:t>
      </w:r>
      <w:r w:rsidR="00F9788F">
        <w:rPr>
          <w:b/>
          <w:i/>
        </w:rPr>
        <w:t xml:space="preserve"> </w:t>
      </w:r>
      <w:r w:rsidR="00BA1026">
        <w:t xml:space="preserve">means a declaration made in accordance with the </w:t>
      </w:r>
      <w:r w:rsidR="00BA1026">
        <w:rPr>
          <w:i/>
        </w:rPr>
        <w:t xml:space="preserve">Statutory Declarations Act 1959 </w:t>
      </w:r>
      <w:r w:rsidR="00BA1026">
        <w:t>by:</w:t>
      </w:r>
    </w:p>
    <w:p w14:paraId="7649AC7F" w14:textId="77777777" w:rsidR="00BA1026" w:rsidRDefault="00BA1026" w:rsidP="00BA1026">
      <w:pPr>
        <w:pStyle w:val="Definition"/>
        <w:numPr>
          <w:ilvl w:val="0"/>
          <w:numId w:val="15"/>
        </w:numPr>
      </w:pPr>
      <w:r>
        <w:t>if the person is a company—a director or company secretary of the company, or any person authorised in writing by the company to make the declaration; or</w:t>
      </w:r>
    </w:p>
    <w:p w14:paraId="036B8DC9" w14:textId="77777777" w:rsidR="00BA1026" w:rsidRPr="00BA1026" w:rsidRDefault="00BA1026" w:rsidP="00BA1026">
      <w:pPr>
        <w:pStyle w:val="Definition"/>
        <w:numPr>
          <w:ilvl w:val="0"/>
          <w:numId w:val="15"/>
        </w:numPr>
      </w:pPr>
      <w:r>
        <w:t>if the person is a natural person—the person.</w:t>
      </w:r>
    </w:p>
    <w:p w14:paraId="502AFF0E" w14:textId="77777777" w:rsidR="00C348D6" w:rsidRPr="00BA1026" w:rsidRDefault="00C348D6" w:rsidP="00554826">
      <w:pPr>
        <w:pStyle w:val="Definition"/>
      </w:pPr>
      <w:r>
        <w:rPr>
          <w:b/>
          <w:i/>
        </w:rPr>
        <w:t>gross telecommunications sales revenue</w:t>
      </w:r>
      <w:r w:rsidR="00E12BEC">
        <w:t xml:space="preserve">, of a person for an eligible revenue period, means the amount that would be the person’s gross telecommunications sales revenue for the period under the </w:t>
      </w:r>
      <w:r w:rsidR="00BA1026">
        <w:t>Eligible Revenue Determination</w:t>
      </w:r>
      <w:r w:rsidR="00E12BEC">
        <w:t xml:space="preserve"> if the person were a participating person</w:t>
      </w:r>
      <w:r w:rsidR="00BA1026">
        <w:t>.</w:t>
      </w:r>
    </w:p>
    <w:p w14:paraId="1C87AE47" w14:textId="77777777" w:rsidR="00314BC9" w:rsidRPr="00314BC9" w:rsidRDefault="00C348D6" w:rsidP="00554826">
      <w:pPr>
        <w:pStyle w:val="Definition"/>
      </w:pPr>
      <w:r>
        <w:rPr>
          <w:b/>
          <w:i/>
        </w:rPr>
        <w:t>initial sales revenue</w:t>
      </w:r>
      <w:r w:rsidR="00E12BEC">
        <w:t>, of a person for an eligible revenue period, means the amount that would be the person’s initial sales revenue for the period under the</w:t>
      </w:r>
      <w:r w:rsidR="00BA1026">
        <w:t xml:space="preserve"> Eligible Revenue Determination</w:t>
      </w:r>
      <w:r w:rsidR="00E12BEC">
        <w:t xml:space="preserve"> if the person were a participating person.</w:t>
      </w:r>
    </w:p>
    <w:p w14:paraId="1C35ACBE" w14:textId="77777777" w:rsidR="00C348D6" w:rsidRPr="00BA1026" w:rsidRDefault="00C348D6" w:rsidP="00554826">
      <w:pPr>
        <w:pStyle w:val="Definition"/>
      </w:pPr>
      <w:r>
        <w:rPr>
          <w:b/>
          <w:i/>
        </w:rPr>
        <w:t>specified timeframe</w:t>
      </w:r>
      <w:r w:rsidR="00BA1026">
        <w:t xml:space="preserve">, for an eligible revenue period, means the period of time within which a participating person is required to </w:t>
      </w:r>
      <w:r w:rsidR="00CD2529">
        <w:t>give the ACMA a written return of the person’s eligible revenue for the period, as specified by the ACMA for the purposes of paragraph 43(1)(b) of the Act.</w:t>
      </w:r>
    </w:p>
    <w:p w14:paraId="5230AB6C" w14:textId="77777777" w:rsidR="00C348D6" w:rsidRPr="00CD2529" w:rsidRDefault="00C348D6" w:rsidP="00554826">
      <w:pPr>
        <w:pStyle w:val="Definition"/>
      </w:pPr>
      <w:r>
        <w:rPr>
          <w:b/>
          <w:i/>
        </w:rPr>
        <w:t>ultimate Australian parent entity</w:t>
      </w:r>
      <w:r w:rsidR="00CD2529">
        <w:rPr>
          <w:b/>
          <w:i/>
        </w:rPr>
        <w:t xml:space="preserve"> </w:t>
      </w:r>
      <w:r w:rsidR="00CD2529">
        <w:t>has the same meaning as in the Eligible Revenue Determination.</w:t>
      </w:r>
    </w:p>
    <w:p w14:paraId="302D2321" w14:textId="77777777" w:rsidR="00C348D6" w:rsidRDefault="00C348D6" w:rsidP="00C348D6">
      <w:pPr>
        <w:pStyle w:val="ActHead5"/>
      </w:pPr>
      <w:bookmarkStart w:id="6" w:name="_Toc454781205"/>
      <w:bookmarkStart w:id="7" w:name="_Toc204264407"/>
      <w:proofErr w:type="gramStart"/>
      <w:r>
        <w:t>5  Schedules</w:t>
      </w:r>
      <w:bookmarkEnd w:id="6"/>
      <w:bookmarkEnd w:id="7"/>
      <w:proofErr w:type="gramEnd"/>
    </w:p>
    <w:p w14:paraId="4EA97B1C" w14:textId="77777777" w:rsidR="00C348D6" w:rsidRDefault="00C348D6" w:rsidP="00C348D6">
      <w:pPr>
        <w:pStyle w:val="subsection"/>
      </w:pPr>
      <w:r>
        <w:tab/>
      </w:r>
      <w: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6E4BE02" w14:textId="77777777" w:rsidR="00554826" w:rsidRDefault="00373CF8" w:rsidP="00554826">
      <w:pPr>
        <w:pStyle w:val="ActHead5"/>
      </w:pPr>
      <w:bookmarkStart w:id="8" w:name="_Toc204264408"/>
      <w:proofErr w:type="gramStart"/>
      <w:r>
        <w:t>6</w:t>
      </w:r>
      <w:r w:rsidR="00554826" w:rsidRPr="006C1D50">
        <w:t xml:space="preserve">  </w:t>
      </w:r>
      <w:r w:rsidR="008D0C8E" w:rsidRPr="006C1D50">
        <w:t>Persons</w:t>
      </w:r>
      <w:proofErr w:type="gramEnd"/>
      <w:r w:rsidR="008D0C8E" w:rsidRPr="006C1D50">
        <w:t xml:space="preserve"> who are </w:t>
      </w:r>
      <w:r w:rsidR="00CE5F84">
        <w:t xml:space="preserve">not </w:t>
      </w:r>
      <w:r w:rsidR="008D0C8E" w:rsidRPr="006C1D50">
        <w:t>participating persons for an eligible revenue period</w:t>
      </w:r>
      <w:bookmarkEnd w:id="8"/>
    </w:p>
    <w:p w14:paraId="205A2E97" w14:textId="77777777" w:rsidR="00373CF8" w:rsidRDefault="00554826" w:rsidP="00554826">
      <w:pPr>
        <w:pStyle w:val="subsection"/>
      </w:pPr>
      <w:r w:rsidRPr="006C1D50">
        <w:tab/>
        <w:t>(1)</w:t>
      </w:r>
      <w:r w:rsidRPr="006C1D50">
        <w:tab/>
      </w:r>
      <w:r w:rsidR="00373CF8">
        <w:t xml:space="preserve">Subject to </w:t>
      </w:r>
      <w:r w:rsidR="00575973">
        <w:t>subsection (5) of this section</w:t>
      </w:r>
      <w:r w:rsidR="00373CF8">
        <w:t>, a</w:t>
      </w:r>
      <w:r w:rsidR="00F51CCC" w:rsidRPr="00E750CE">
        <w:t xml:space="preserve"> </w:t>
      </w:r>
      <w:r w:rsidR="00CD5E25" w:rsidRPr="00E750CE">
        <w:t>person is exempt from</w:t>
      </w:r>
      <w:r w:rsidR="008D0C8E" w:rsidRPr="00E750CE">
        <w:t xml:space="preserve"> section 44 of the Act</w:t>
      </w:r>
      <w:r w:rsidR="00CD5E25" w:rsidRPr="00E750CE">
        <w:t xml:space="preserve"> </w:t>
      </w:r>
      <w:r w:rsidR="0059522C" w:rsidRPr="00E750CE">
        <w:t xml:space="preserve">for an eligible revenue period </w:t>
      </w:r>
      <w:r w:rsidR="00CD5E25" w:rsidRPr="00E750CE">
        <w:t>if</w:t>
      </w:r>
      <w:r w:rsidR="006469CC" w:rsidRPr="00E750CE">
        <w:t xml:space="preserve"> </w:t>
      </w:r>
      <w:r w:rsidR="00373CF8">
        <w:t xml:space="preserve">any of subsections (2), (3) </w:t>
      </w:r>
      <w:r w:rsidR="001A0C9F">
        <w:t>and</w:t>
      </w:r>
      <w:r w:rsidR="00373CF8">
        <w:t xml:space="preserve"> (4) of this section applies to the person for the period.</w:t>
      </w:r>
    </w:p>
    <w:p w14:paraId="3EBA24DB" w14:textId="77777777" w:rsidR="00C81F3A" w:rsidRPr="00D35349" w:rsidRDefault="00C81F3A" w:rsidP="00227BE5">
      <w:pPr>
        <w:pStyle w:val="notetext"/>
      </w:pPr>
      <w:r w:rsidRPr="009C2562">
        <w:t>Note:</w:t>
      </w:r>
      <w:r w:rsidRPr="009C2562">
        <w:tab/>
      </w:r>
      <w:r w:rsidR="00D35349">
        <w:t xml:space="preserve">A person who is exempt from section 44 </w:t>
      </w:r>
      <w:r w:rsidR="00AE6B78">
        <w:t xml:space="preserve">of the Act for an eligible revenue period </w:t>
      </w:r>
      <w:r w:rsidR="00D35349">
        <w:t xml:space="preserve">is not a </w:t>
      </w:r>
      <w:r w:rsidR="00D35349" w:rsidRPr="00D35349">
        <w:rPr>
          <w:b/>
          <w:i/>
        </w:rPr>
        <w:t>participating person</w:t>
      </w:r>
      <w:r w:rsidR="00D35349">
        <w:t xml:space="preserve"> for </w:t>
      </w:r>
      <w:r w:rsidR="00AE6B78">
        <w:t>the period</w:t>
      </w:r>
      <w:r w:rsidR="00D35349">
        <w:t>.</w:t>
      </w:r>
    </w:p>
    <w:p w14:paraId="0624C2C6" w14:textId="77777777" w:rsidR="00373CF8" w:rsidRDefault="00373CF8" w:rsidP="00554826">
      <w:pPr>
        <w:pStyle w:val="subsection"/>
      </w:pPr>
      <w:r>
        <w:tab/>
        <w:t>(2)</w:t>
      </w:r>
      <w:r>
        <w:tab/>
        <w:t xml:space="preserve">This subsection applies to a person </w:t>
      </w:r>
      <w:r w:rsidR="00575973">
        <w:t xml:space="preserve">for an eligible revenue period </w:t>
      </w:r>
      <w:r>
        <w:t>if:</w:t>
      </w:r>
    </w:p>
    <w:p w14:paraId="4B50D7E8" w14:textId="77777777" w:rsidR="00373CF8" w:rsidRDefault="00373CF8" w:rsidP="00373CF8">
      <w:pPr>
        <w:pStyle w:val="paragraph"/>
      </w:pPr>
      <w:r>
        <w:tab/>
        <w:t>(a)</w:t>
      </w:r>
      <w:r>
        <w:tab/>
        <w:t xml:space="preserve">the person’s initial sales revenue for the period </w:t>
      </w:r>
      <w:r w:rsidR="000E4F63">
        <w:t>is</w:t>
      </w:r>
      <w:r>
        <w:t xml:space="preserve"> less than $25 million; and</w:t>
      </w:r>
    </w:p>
    <w:p w14:paraId="7777BF09" w14:textId="77777777" w:rsidR="00373CF8" w:rsidRDefault="00373CF8" w:rsidP="00373CF8">
      <w:pPr>
        <w:pStyle w:val="paragraph"/>
      </w:pPr>
      <w:r>
        <w:tab/>
        <w:t>(b)</w:t>
      </w:r>
      <w:r>
        <w:tab/>
        <w:t>either:</w:t>
      </w:r>
    </w:p>
    <w:p w14:paraId="47E8C1B7" w14:textId="77777777" w:rsidR="00A0176F" w:rsidRPr="00A0176F" w:rsidRDefault="00A0176F" w:rsidP="00A0176F">
      <w:pPr>
        <w:pStyle w:val="paragraphsub"/>
      </w:pPr>
      <w:r w:rsidRPr="00A0176F">
        <w:tab/>
        <w:t>(</w:t>
      </w:r>
      <w:proofErr w:type="spellStart"/>
      <w:r w:rsidRPr="00A0176F">
        <w:t>i</w:t>
      </w:r>
      <w:proofErr w:type="spellEnd"/>
      <w:r w:rsidRPr="00A0176F">
        <w:t>)</w:t>
      </w:r>
      <w:r w:rsidRPr="00A0176F">
        <w:tab/>
        <w:t xml:space="preserve">the person provides to the ACMA an eligible statutory declaration, within the specified timeframe for the period, stating that the person’s initial sales revenue for the period </w:t>
      </w:r>
      <w:r w:rsidR="000E4F63">
        <w:t>is</w:t>
      </w:r>
      <w:r w:rsidRPr="00A0176F">
        <w:t xml:space="preserve"> less than $25 million; or</w:t>
      </w:r>
    </w:p>
    <w:p w14:paraId="475C76A7" w14:textId="77777777" w:rsidR="00A0176F" w:rsidRPr="00A0176F" w:rsidRDefault="00A0176F" w:rsidP="00A0176F">
      <w:pPr>
        <w:pStyle w:val="paragraphsub"/>
      </w:pPr>
      <w:r w:rsidRPr="00A0176F">
        <w:tab/>
        <w:t>(ii)</w:t>
      </w:r>
      <w:r w:rsidRPr="00A0176F">
        <w:tab/>
        <w:t xml:space="preserve">the ACMA is otherwise reasonably satisfied that the person’s initial sales revenue for the period </w:t>
      </w:r>
      <w:r w:rsidR="000E4F63">
        <w:t>is</w:t>
      </w:r>
      <w:r w:rsidRPr="00A0176F">
        <w:t xml:space="preserve"> less than $25 million.</w:t>
      </w:r>
    </w:p>
    <w:p w14:paraId="4140B118" w14:textId="77777777" w:rsidR="00A0176F" w:rsidRDefault="00A0176F" w:rsidP="00A0176F">
      <w:pPr>
        <w:pStyle w:val="subsection"/>
      </w:pPr>
      <w:r>
        <w:tab/>
        <w:t>(3)</w:t>
      </w:r>
      <w:r>
        <w:tab/>
        <w:t xml:space="preserve">This subsection applies to a person </w:t>
      </w:r>
      <w:r w:rsidR="00575973">
        <w:t xml:space="preserve">for an eligible revenue period </w:t>
      </w:r>
      <w:r>
        <w:t>if:</w:t>
      </w:r>
    </w:p>
    <w:p w14:paraId="69D6CA0C" w14:textId="77777777" w:rsidR="00A0176F" w:rsidRDefault="00A0176F" w:rsidP="00A0176F">
      <w:pPr>
        <w:pStyle w:val="paragraph"/>
      </w:pPr>
      <w:r>
        <w:lastRenderedPageBreak/>
        <w:tab/>
        <w:t>(a)</w:t>
      </w:r>
      <w:r>
        <w:tab/>
        <w:t xml:space="preserve">the person’s gross telecommunications sales revenue for the period </w:t>
      </w:r>
      <w:r w:rsidR="000E4F63">
        <w:t>is</w:t>
      </w:r>
      <w:r>
        <w:t xml:space="preserve"> less than $25 million; and</w:t>
      </w:r>
    </w:p>
    <w:p w14:paraId="70121083" w14:textId="77777777" w:rsidR="00A0176F" w:rsidRDefault="00A0176F" w:rsidP="00A0176F">
      <w:pPr>
        <w:pStyle w:val="paragraph"/>
      </w:pPr>
      <w:r>
        <w:tab/>
        <w:t>(b)</w:t>
      </w:r>
      <w:r>
        <w:tab/>
        <w:t>either:</w:t>
      </w:r>
    </w:p>
    <w:p w14:paraId="00106FD9" w14:textId="77777777" w:rsidR="00A0176F" w:rsidRPr="00A0176F" w:rsidRDefault="00A0176F" w:rsidP="00A0176F">
      <w:pPr>
        <w:pStyle w:val="paragraphsub"/>
      </w:pPr>
      <w:r w:rsidRPr="00A0176F">
        <w:tab/>
        <w:t>(</w:t>
      </w:r>
      <w:proofErr w:type="spellStart"/>
      <w:r w:rsidRPr="00A0176F">
        <w:t>i</w:t>
      </w:r>
      <w:proofErr w:type="spellEnd"/>
      <w:r w:rsidRPr="00A0176F">
        <w:t>)</w:t>
      </w:r>
      <w:r w:rsidRPr="00A0176F">
        <w:tab/>
        <w:t xml:space="preserve">the person provides to the ACMA an eligible statutory declaration, within the specified timeframe for the period, stating that the person’s </w:t>
      </w:r>
      <w:r>
        <w:t xml:space="preserve">gross telecommunications sales </w:t>
      </w:r>
      <w:r w:rsidRPr="00A0176F">
        <w:t xml:space="preserve">revenue for the period </w:t>
      </w:r>
      <w:r w:rsidR="000E4F63">
        <w:t>is</w:t>
      </w:r>
      <w:r w:rsidRPr="00A0176F">
        <w:t xml:space="preserve"> less than $25 million; or</w:t>
      </w:r>
    </w:p>
    <w:p w14:paraId="119F8DDC" w14:textId="77777777" w:rsidR="00A0176F" w:rsidRPr="00A0176F" w:rsidRDefault="00A0176F" w:rsidP="00A0176F">
      <w:pPr>
        <w:pStyle w:val="paragraphsub"/>
      </w:pPr>
      <w:r w:rsidRPr="00A0176F">
        <w:tab/>
        <w:t>(ii)</w:t>
      </w:r>
      <w:r w:rsidRPr="00A0176F">
        <w:tab/>
        <w:t xml:space="preserve">the ACMA is otherwise reasonably satisfied that the person’s </w:t>
      </w:r>
      <w:r>
        <w:t>gross telecommunications sales</w:t>
      </w:r>
      <w:r w:rsidRPr="00A0176F">
        <w:t xml:space="preserve"> revenue for the period </w:t>
      </w:r>
      <w:r w:rsidR="000E4F63">
        <w:t>is</w:t>
      </w:r>
      <w:r w:rsidRPr="00A0176F">
        <w:t xml:space="preserve"> less than $25 million.</w:t>
      </w:r>
    </w:p>
    <w:p w14:paraId="3111E2FA" w14:textId="77777777" w:rsidR="00A0176F" w:rsidRDefault="00A0176F" w:rsidP="00A0176F">
      <w:pPr>
        <w:pStyle w:val="subsection"/>
      </w:pPr>
      <w:r>
        <w:tab/>
        <w:t>(4)</w:t>
      </w:r>
      <w:r>
        <w:tab/>
        <w:t xml:space="preserve">This subsection applies to a person </w:t>
      </w:r>
      <w:r w:rsidR="00575973">
        <w:t xml:space="preserve">for an eligible revenue period </w:t>
      </w:r>
      <w:r>
        <w:t>if:</w:t>
      </w:r>
    </w:p>
    <w:p w14:paraId="163D5ED8" w14:textId="77777777" w:rsidR="00A0176F" w:rsidRDefault="00A0176F" w:rsidP="00A0176F">
      <w:pPr>
        <w:pStyle w:val="paragraph"/>
      </w:pPr>
      <w:r>
        <w:tab/>
        <w:t>(a)</w:t>
      </w:r>
      <w:r>
        <w:tab/>
        <w:t>were the person a participating person for the period, the person’s eligible revenue for the period would be less than $25 million; and</w:t>
      </w:r>
    </w:p>
    <w:p w14:paraId="4B6C3373" w14:textId="77777777" w:rsidR="00A0176F" w:rsidRDefault="00A0176F" w:rsidP="00A0176F">
      <w:pPr>
        <w:pStyle w:val="paragraph"/>
      </w:pPr>
      <w:r>
        <w:tab/>
        <w:t>(b)</w:t>
      </w:r>
      <w:r>
        <w:tab/>
        <w:t>either:</w:t>
      </w:r>
    </w:p>
    <w:p w14:paraId="10FE9859" w14:textId="77777777" w:rsidR="00A0176F" w:rsidRPr="00A0176F" w:rsidRDefault="00A0176F" w:rsidP="00A0176F">
      <w:pPr>
        <w:pStyle w:val="paragraphsub"/>
      </w:pPr>
      <w:r w:rsidRPr="00A0176F">
        <w:tab/>
        <w:t>(</w:t>
      </w:r>
      <w:proofErr w:type="spellStart"/>
      <w:r w:rsidRPr="00A0176F">
        <w:t>i</w:t>
      </w:r>
      <w:proofErr w:type="spellEnd"/>
      <w:r w:rsidRPr="00A0176F">
        <w:t>)</w:t>
      </w:r>
      <w:r w:rsidRPr="00A0176F">
        <w:tab/>
        <w:t>the person provides to the ACMA an eligible statutory declaration, within the specified timeframe for the period, stating that</w:t>
      </w:r>
      <w:r w:rsidR="000E4F63">
        <w:t>, if the person were a participating person for the period,</w:t>
      </w:r>
      <w:r w:rsidRPr="00A0176F">
        <w:t xml:space="preserve"> the person’s </w:t>
      </w:r>
      <w:r>
        <w:t xml:space="preserve">eligible </w:t>
      </w:r>
      <w:r w:rsidRPr="00A0176F">
        <w:t>revenue for the period would be less than $25 million; or</w:t>
      </w:r>
    </w:p>
    <w:p w14:paraId="12275272" w14:textId="77777777" w:rsidR="00A0176F" w:rsidRDefault="00A0176F" w:rsidP="00A0176F">
      <w:pPr>
        <w:pStyle w:val="paragraphsub"/>
      </w:pPr>
      <w:r w:rsidRPr="00A0176F">
        <w:tab/>
        <w:t>(ii)</w:t>
      </w:r>
      <w:r w:rsidRPr="00A0176F">
        <w:tab/>
        <w:t>the ACMA is otherwise reasonably satisfied that</w:t>
      </w:r>
      <w:r w:rsidR="000E4F63">
        <w:t>, if the person were a participating person for the period,</w:t>
      </w:r>
      <w:r w:rsidRPr="00A0176F">
        <w:t xml:space="preserve"> the person’s </w:t>
      </w:r>
      <w:r>
        <w:t xml:space="preserve">eligible </w:t>
      </w:r>
      <w:r w:rsidRPr="00A0176F">
        <w:t>revenue for the period would be less than $25 million.</w:t>
      </w:r>
    </w:p>
    <w:p w14:paraId="0992972A" w14:textId="77777777" w:rsidR="008B7912" w:rsidRDefault="00A95D54" w:rsidP="00A95D54">
      <w:pPr>
        <w:pStyle w:val="subsection"/>
      </w:pPr>
      <w:r>
        <w:tab/>
        <w:t>(5)</w:t>
      </w:r>
      <w:r>
        <w:tab/>
        <w:t>If a person has the same ultimate Australian parent entity as one or more other</w:t>
      </w:r>
      <w:r w:rsidR="008B7912">
        <w:t>:</w:t>
      </w:r>
    </w:p>
    <w:p w14:paraId="57BDDF21" w14:textId="6A8C7021" w:rsidR="008B7912" w:rsidRDefault="008B7912" w:rsidP="008850FA">
      <w:pPr>
        <w:pStyle w:val="paragraph"/>
      </w:pPr>
      <w:r>
        <w:tab/>
        <w:t>(a)</w:t>
      </w:r>
      <w:r>
        <w:tab/>
      </w:r>
      <w:r w:rsidR="00A95D54">
        <w:t>carriers</w:t>
      </w:r>
      <w:r>
        <w:t>; or</w:t>
      </w:r>
    </w:p>
    <w:p w14:paraId="2A25C9A9" w14:textId="7E34891A" w:rsidR="008B7912" w:rsidRDefault="008B7912" w:rsidP="008850FA">
      <w:pPr>
        <w:pStyle w:val="paragraph"/>
      </w:pPr>
      <w:r>
        <w:tab/>
        <w:t>(b)</w:t>
      </w:r>
      <w:r>
        <w:tab/>
      </w:r>
      <w:r w:rsidR="00A95D54">
        <w:t>carriage service providers</w:t>
      </w:r>
      <w:r w:rsidR="00696953">
        <w:t xml:space="preserve">, if </w:t>
      </w:r>
      <w:r w:rsidR="00A95D54">
        <w:t xml:space="preserve">a determination </w:t>
      </w:r>
      <w:r w:rsidR="00696953">
        <w:t>is</w:t>
      </w:r>
      <w:r>
        <w:t xml:space="preserve"> </w:t>
      </w:r>
      <w:r w:rsidR="00314BC9">
        <w:t xml:space="preserve">in force </w:t>
      </w:r>
      <w:r w:rsidR="00A95D54">
        <w:t>under paragraph 44(1)(b) of the Act</w:t>
      </w:r>
      <w:r>
        <w:t xml:space="preserve">; or </w:t>
      </w:r>
    </w:p>
    <w:p w14:paraId="06B6159D" w14:textId="6C28DE5F" w:rsidR="008B7912" w:rsidRDefault="008B7912" w:rsidP="008850FA">
      <w:pPr>
        <w:pStyle w:val="paragraph"/>
      </w:pPr>
      <w:r>
        <w:tab/>
        <w:t>(c)</w:t>
      </w:r>
      <w:r>
        <w:tab/>
        <w:t>persons specified in regulations in force under paragraph 44(1)(c) of the Act;</w:t>
      </w:r>
      <w:r w:rsidR="00A95D54">
        <w:t xml:space="preserve"> </w:t>
      </w:r>
    </w:p>
    <w:p w14:paraId="1267EAE0" w14:textId="77777777" w:rsidR="00A95D54" w:rsidRDefault="008B7912" w:rsidP="008850FA">
      <w:pPr>
        <w:pStyle w:val="subsection"/>
        <w:spacing w:before="40"/>
      </w:pPr>
      <w:r>
        <w:tab/>
      </w:r>
      <w:r>
        <w:tab/>
      </w:r>
      <w:r w:rsidR="00A95D54">
        <w:t>then, for the purposes of calculating:</w:t>
      </w:r>
    </w:p>
    <w:p w14:paraId="37AA47C0" w14:textId="76E7E27C" w:rsidR="00A95D54" w:rsidRDefault="00A95D54" w:rsidP="00A95D54">
      <w:pPr>
        <w:pStyle w:val="paragraph"/>
      </w:pPr>
      <w:r>
        <w:tab/>
        <w:t>(</w:t>
      </w:r>
      <w:r w:rsidR="008B7912">
        <w:t>d</w:t>
      </w:r>
      <w:r>
        <w:t>)</w:t>
      </w:r>
      <w:r>
        <w:tab/>
        <w:t xml:space="preserve">initial sales revenue for the purposes of </w:t>
      </w:r>
      <w:r w:rsidR="00211E21">
        <w:t>paragraph</w:t>
      </w:r>
      <w:r>
        <w:t xml:space="preserve"> (2)</w:t>
      </w:r>
      <w:r w:rsidR="00211E21">
        <w:t>(a)</w:t>
      </w:r>
      <w:r>
        <w:t>;</w:t>
      </w:r>
      <w:r w:rsidR="00F47F98">
        <w:t xml:space="preserve"> or</w:t>
      </w:r>
    </w:p>
    <w:p w14:paraId="1A8F6951" w14:textId="38E8B88B" w:rsidR="00A95D54" w:rsidRDefault="00A95D54" w:rsidP="00A95D54">
      <w:pPr>
        <w:pStyle w:val="paragraph"/>
      </w:pPr>
      <w:r>
        <w:tab/>
        <w:t>(</w:t>
      </w:r>
      <w:r w:rsidR="008B7912">
        <w:t>e</w:t>
      </w:r>
      <w:r>
        <w:t>)</w:t>
      </w:r>
      <w:r>
        <w:tab/>
        <w:t xml:space="preserve">gross telecommunications sales revenue for the purposes of </w:t>
      </w:r>
      <w:r w:rsidR="00211E21">
        <w:t>paragraph</w:t>
      </w:r>
      <w:r>
        <w:t xml:space="preserve"> (3)</w:t>
      </w:r>
      <w:r w:rsidR="00211E21">
        <w:t>(a)</w:t>
      </w:r>
      <w:r>
        <w:t>;</w:t>
      </w:r>
      <w:r w:rsidR="00F47F98">
        <w:t xml:space="preserve"> or</w:t>
      </w:r>
    </w:p>
    <w:p w14:paraId="0AC816BB" w14:textId="52FC6BF6" w:rsidR="00A95D54" w:rsidRDefault="00AB2629" w:rsidP="00A95D54">
      <w:pPr>
        <w:pStyle w:val="paragraph"/>
      </w:pPr>
      <w:r>
        <w:tab/>
        <w:t>(</w:t>
      </w:r>
      <w:r w:rsidR="008B7912">
        <w:t>f</w:t>
      </w:r>
      <w:r>
        <w:t>)</w:t>
      </w:r>
      <w:r>
        <w:tab/>
        <w:t xml:space="preserve">eligible revenue for the purposes of </w:t>
      </w:r>
      <w:r w:rsidR="00211E21">
        <w:t>paragraph</w:t>
      </w:r>
      <w:r>
        <w:t xml:space="preserve"> (4)</w:t>
      </w:r>
      <w:r w:rsidR="00211E21">
        <w:t>(a)</w:t>
      </w:r>
      <w:r>
        <w:t>;</w:t>
      </w:r>
    </w:p>
    <w:p w14:paraId="391CB04B" w14:textId="3BA37BA1" w:rsidR="00AB2629" w:rsidRDefault="00AB2629" w:rsidP="00F47F98">
      <w:pPr>
        <w:pStyle w:val="subsection"/>
        <w:spacing w:before="40"/>
      </w:pPr>
      <w:r>
        <w:tab/>
      </w:r>
      <w:r>
        <w:tab/>
      </w:r>
      <w:r w:rsidR="00F47F98">
        <w:t xml:space="preserve">the person and </w:t>
      </w:r>
      <w:r>
        <w:t xml:space="preserve">each </w:t>
      </w:r>
      <w:r w:rsidR="00211E21">
        <w:t xml:space="preserve">of those </w:t>
      </w:r>
      <w:r>
        <w:t>carrier</w:t>
      </w:r>
      <w:r w:rsidR="00211E21">
        <w:t>s</w:t>
      </w:r>
      <w:r w:rsidR="00696953">
        <w:t>, carriage service providers</w:t>
      </w:r>
      <w:r>
        <w:t xml:space="preserve"> or </w:t>
      </w:r>
      <w:r w:rsidR="00314BC9">
        <w:t>other persons</w:t>
      </w:r>
      <w:r>
        <w:t xml:space="preserve"> must make the relevant calculations on a group basis</w:t>
      </w:r>
      <w:r w:rsidR="00BD3983">
        <w:t>,</w:t>
      </w:r>
      <w:r w:rsidR="00211E21">
        <w:t xml:space="preserve"> identifying and</w:t>
      </w:r>
      <w:r w:rsidR="00BD3983">
        <w:t xml:space="preserve"> accounting for revenue and deductions as a whole</w:t>
      </w:r>
      <w:r>
        <w:t>.</w:t>
      </w:r>
    </w:p>
    <w:p w14:paraId="1CA3F51B" w14:textId="77777777" w:rsidR="00373CF8" w:rsidRDefault="00AB2629" w:rsidP="00373CF8">
      <w:pPr>
        <w:pStyle w:val="ActHead5"/>
      </w:pPr>
      <w:bookmarkStart w:id="9" w:name="_Toc204264409"/>
      <w:proofErr w:type="gramStart"/>
      <w:r>
        <w:t>7</w:t>
      </w:r>
      <w:r w:rsidR="00373CF8">
        <w:t xml:space="preserve">  Application</w:t>
      </w:r>
      <w:proofErr w:type="gramEnd"/>
      <w:r w:rsidR="00373CF8">
        <w:t xml:space="preserve"> and savings provisions</w:t>
      </w:r>
      <w:bookmarkEnd w:id="9"/>
    </w:p>
    <w:p w14:paraId="58FEC7B3" w14:textId="77777777" w:rsidR="00373CF8" w:rsidRDefault="00373CF8" w:rsidP="00373CF8">
      <w:pPr>
        <w:pStyle w:val="subsection"/>
      </w:pPr>
      <w:r>
        <w:tab/>
        <w:t>(1)</w:t>
      </w:r>
      <w:r>
        <w:tab/>
        <w:t>This instrument applies to the 2025-26 eligible revenue period and each later eligible revenue period.</w:t>
      </w:r>
    </w:p>
    <w:p w14:paraId="41401563" w14:textId="51AA27E0" w:rsidR="00373CF8" w:rsidRPr="00B86DD9" w:rsidRDefault="00373CF8" w:rsidP="00373CF8">
      <w:pPr>
        <w:pStyle w:val="subsection"/>
      </w:pPr>
      <w:r>
        <w:tab/>
        <w:t>(2)</w:t>
      </w:r>
      <w:r>
        <w:tab/>
        <w:t xml:space="preserve">Despite its repeal by this instrument, the </w:t>
      </w:r>
      <w:r>
        <w:rPr>
          <w:i/>
        </w:rPr>
        <w:t>Telecommunications (Participating Persons) Determination 2015</w:t>
      </w:r>
      <w:r>
        <w:t>,</w:t>
      </w:r>
      <w:r>
        <w:rPr>
          <w:i/>
        </w:rPr>
        <w:t xml:space="preserve"> </w:t>
      </w:r>
      <w:r>
        <w:t xml:space="preserve">as in force immediately before the commencement of this instrument, </w:t>
      </w:r>
      <w:bookmarkStart w:id="10" w:name="_Hlk205283234"/>
      <w:r>
        <w:t xml:space="preserve">continues to apply in relation to </w:t>
      </w:r>
      <w:r w:rsidR="00E45657">
        <w:t xml:space="preserve">an </w:t>
      </w:r>
      <w:r>
        <w:t>eligible revenue period starting on</w:t>
      </w:r>
      <w:r w:rsidR="00E45657">
        <w:t xml:space="preserve"> or after</w:t>
      </w:r>
      <w:r>
        <w:t xml:space="preserve"> 1 July </w:t>
      </w:r>
      <w:r w:rsidR="00C07C3B">
        <w:t>201</w:t>
      </w:r>
      <w:r w:rsidR="00F8372C">
        <w:t>5</w:t>
      </w:r>
      <w:r w:rsidR="00C07C3B">
        <w:t xml:space="preserve"> </w:t>
      </w:r>
      <w:r>
        <w:t>and ending on</w:t>
      </w:r>
      <w:r w:rsidR="00E45657">
        <w:t xml:space="preserve"> or before</w:t>
      </w:r>
      <w:r>
        <w:t xml:space="preserve"> 30 June 2025.</w:t>
      </w:r>
    </w:p>
    <w:bookmarkEnd w:id="10"/>
    <w:p w14:paraId="52815E5D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lastRenderedPageBreak/>
        <w:br w:type="page"/>
      </w:r>
    </w:p>
    <w:p w14:paraId="480E091A" w14:textId="77777777" w:rsidR="00D6537E" w:rsidRPr="004E1307" w:rsidRDefault="004E1307" w:rsidP="00D6537E">
      <w:pPr>
        <w:pStyle w:val="ActHead6"/>
      </w:pPr>
      <w:bookmarkStart w:id="11" w:name="_Toc204264410"/>
      <w:r>
        <w:lastRenderedPageBreak/>
        <w:t xml:space="preserve">Schedule </w:t>
      </w:r>
      <w:r w:rsidR="00D6537E" w:rsidRPr="004E1307">
        <w:t>1—Repeals</w:t>
      </w:r>
      <w:bookmarkEnd w:id="11"/>
    </w:p>
    <w:p w14:paraId="5D7FF2D3" w14:textId="77777777" w:rsidR="00D6537E" w:rsidRPr="00D6537E" w:rsidRDefault="00C348D6" w:rsidP="00D6537E">
      <w:pPr>
        <w:pStyle w:val="ActHead9"/>
      </w:pPr>
      <w:bookmarkStart w:id="12" w:name="_Toc204264411"/>
      <w:r w:rsidRPr="00C348D6">
        <w:t>Telecommunications (Participating Persons) Determination 2015</w:t>
      </w:r>
      <w:bookmarkEnd w:id="12"/>
    </w:p>
    <w:p w14:paraId="10937454" w14:textId="77777777" w:rsidR="00D6537E" w:rsidRDefault="00D6537E" w:rsidP="00D6537E">
      <w:pPr>
        <w:pStyle w:val="ItemHead"/>
      </w:pPr>
      <w:proofErr w:type="gramStart"/>
      <w:r w:rsidRPr="00B1728A">
        <w:t xml:space="preserve">1  </w:t>
      </w:r>
      <w:r w:rsidR="00BB1533">
        <w:t>The</w:t>
      </w:r>
      <w:proofErr w:type="gramEnd"/>
      <w:r w:rsidR="00BB1533">
        <w:t xml:space="preserve"> w</w:t>
      </w:r>
      <w:r>
        <w:t>hole of the instrument</w:t>
      </w:r>
    </w:p>
    <w:p w14:paraId="03E26EAB" w14:textId="77777777" w:rsidR="00A75FE9" w:rsidRDefault="00D6537E" w:rsidP="003E0DCB">
      <w:pPr>
        <w:pStyle w:val="Item"/>
      </w:pPr>
      <w:r>
        <w:t>Repeal the instrument</w:t>
      </w:r>
      <w:r w:rsidR="003E0DCB">
        <w:t>.</w:t>
      </w:r>
    </w:p>
    <w:sectPr w:rsidR="00A75FE9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D76BC" w14:textId="77777777" w:rsidR="006E053C" w:rsidRDefault="006E053C" w:rsidP="00715914">
      <w:pPr>
        <w:spacing w:line="240" w:lineRule="auto"/>
      </w:pPr>
      <w:r>
        <w:separator/>
      </w:r>
    </w:p>
  </w:endnote>
  <w:endnote w:type="continuationSeparator" w:id="0">
    <w:p w14:paraId="613BE13A" w14:textId="77777777" w:rsidR="006E053C" w:rsidRDefault="006E053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0F6D" w14:textId="77777777" w:rsidR="00E45657" w:rsidRPr="00E33C1C" w:rsidRDefault="00E45657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45657" w14:paraId="7A1C9FA8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D69986" w14:textId="77777777" w:rsidR="00E45657" w:rsidRDefault="00E45657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CC63BF" w14:textId="77777777" w:rsidR="00E45657" w:rsidRPr="004E1307" w:rsidRDefault="00E4565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Telecommunications (Consumer Protection and Service Standards) (Non-Participating Persons)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61B8DD2" w14:textId="77777777" w:rsidR="00E45657" w:rsidRDefault="00E45657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E45657" w14:paraId="42F17CD3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25DF3A" w14:textId="77777777" w:rsidR="00E45657" w:rsidRDefault="00E45657" w:rsidP="00A369E3">
          <w:pPr>
            <w:jc w:val="right"/>
            <w:rPr>
              <w:sz w:val="18"/>
            </w:rPr>
          </w:pPr>
        </w:p>
      </w:tc>
    </w:tr>
  </w:tbl>
  <w:p w14:paraId="454E92CD" w14:textId="77777777" w:rsidR="00E45657" w:rsidRPr="00ED79B6" w:rsidRDefault="00E45657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69AEB" w14:textId="77777777" w:rsidR="00E45657" w:rsidRPr="00E33C1C" w:rsidRDefault="00E45657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E45657" w14:paraId="4E15B60D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0218CB" w14:textId="77777777" w:rsidR="00E45657" w:rsidRDefault="00E45657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7DDB0B" w14:textId="77777777" w:rsidR="00E45657" w:rsidRDefault="00E4565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Telecommunications (Consumer Protection and Service Standards) (Non-Participating Persons)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4910C9" w14:textId="77777777" w:rsidR="00E45657" w:rsidRDefault="00E45657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45657" w14:paraId="4353DB0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1F5F20E" w14:textId="77777777" w:rsidR="00E45657" w:rsidRDefault="00E45657" w:rsidP="00A369E3">
          <w:pPr>
            <w:rPr>
              <w:sz w:val="18"/>
            </w:rPr>
          </w:pPr>
        </w:p>
      </w:tc>
    </w:tr>
  </w:tbl>
  <w:p w14:paraId="03076502" w14:textId="77777777" w:rsidR="00E45657" w:rsidRPr="00ED79B6" w:rsidRDefault="00E45657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9780E" w14:textId="77777777" w:rsidR="00E45657" w:rsidRPr="00E33C1C" w:rsidRDefault="00E45657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E45657" w14:paraId="205830C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0F63F6" w14:textId="77777777" w:rsidR="00E45657" w:rsidRDefault="00E45657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7ABB05" w14:textId="77777777" w:rsidR="00E45657" w:rsidRDefault="00E45657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6582D0" w14:textId="77777777" w:rsidR="00E45657" w:rsidRDefault="00E45657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2549D4E" w14:textId="77777777" w:rsidR="00E45657" w:rsidRPr="00ED79B6" w:rsidRDefault="00E45657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BF45F" w14:textId="77777777" w:rsidR="00E45657" w:rsidRPr="002B0EA5" w:rsidRDefault="00E45657" w:rsidP="008D0C8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E45657" w14:paraId="3EB5CD46" w14:textId="77777777" w:rsidTr="008D0C8E">
      <w:tc>
        <w:tcPr>
          <w:tcW w:w="365" w:type="pct"/>
        </w:tcPr>
        <w:p w14:paraId="477AA7D8" w14:textId="77777777" w:rsidR="00E45657" w:rsidRDefault="00E45657" w:rsidP="008D0C8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785E04F" w14:textId="77777777" w:rsidR="00E45657" w:rsidRDefault="00E45657" w:rsidP="008D0C8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Telecommunications (Consumer Protection and Service Standards) (Non-Participating Persons)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5FB248B" w14:textId="77777777" w:rsidR="00E45657" w:rsidRDefault="00E45657" w:rsidP="008D0C8E">
          <w:pPr>
            <w:spacing w:line="0" w:lineRule="atLeast"/>
            <w:jc w:val="right"/>
            <w:rPr>
              <w:sz w:val="18"/>
            </w:rPr>
          </w:pPr>
        </w:p>
      </w:tc>
    </w:tr>
    <w:tr w:rsidR="00E45657" w14:paraId="5358E44E" w14:textId="77777777" w:rsidTr="008D0C8E">
      <w:tc>
        <w:tcPr>
          <w:tcW w:w="5000" w:type="pct"/>
          <w:gridSpan w:val="3"/>
        </w:tcPr>
        <w:p w14:paraId="5F90DC1B" w14:textId="77777777" w:rsidR="00E45657" w:rsidRDefault="00E45657" w:rsidP="008D0C8E">
          <w:pPr>
            <w:jc w:val="right"/>
            <w:rPr>
              <w:sz w:val="18"/>
            </w:rPr>
          </w:pPr>
        </w:p>
      </w:tc>
    </w:tr>
  </w:tbl>
  <w:p w14:paraId="143B5EC7" w14:textId="77777777" w:rsidR="00E45657" w:rsidRPr="00ED79B6" w:rsidRDefault="00E45657" w:rsidP="008D0C8E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F0655" w14:textId="77777777" w:rsidR="00E45657" w:rsidRPr="002B0EA5" w:rsidRDefault="00E45657" w:rsidP="008D0C8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E45657" w14:paraId="042DABC0" w14:textId="77777777" w:rsidTr="008D0C8E">
      <w:tc>
        <w:tcPr>
          <w:tcW w:w="947" w:type="pct"/>
        </w:tcPr>
        <w:p w14:paraId="7262BC19" w14:textId="77777777" w:rsidR="00E45657" w:rsidRDefault="00E45657" w:rsidP="008D0C8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0D70763" w14:textId="48066C47" w:rsidR="00E45657" w:rsidRDefault="00E45657" w:rsidP="008D0C8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518F5">
            <w:rPr>
              <w:i/>
              <w:noProof/>
              <w:sz w:val="18"/>
            </w:rPr>
            <w:t>Telecommunications (Consumer Protection and Service Standards) (Non-Participating Persons)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44347FD" w14:textId="77777777" w:rsidR="00E45657" w:rsidRDefault="00E45657" w:rsidP="008D0C8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45657" w14:paraId="35AF7550" w14:textId="77777777" w:rsidTr="008D0C8E">
      <w:tc>
        <w:tcPr>
          <w:tcW w:w="5000" w:type="pct"/>
          <w:gridSpan w:val="3"/>
        </w:tcPr>
        <w:p w14:paraId="67229B5F" w14:textId="77777777" w:rsidR="00E45657" w:rsidRDefault="00E45657" w:rsidP="008D0C8E">
          <w:pPr>
            <w:rPr>
              <w:sz w:val="18"/>
            </w:rPr>
          </w:pPr>
        </w:p>
      </w:tc>
    </w:tr>
  </w:tbl>
  <w:p w14:paraId="273443D3" w14:textId="77777777" w:rsidR="00E45657" w:rsidRPr="00ED79B6" w:rsidRDefault="00E45657" w:rsidP="008D0C8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31DAA" w14:textId="77777777" w:rsidR="00E45657" w:rsidRPr="002B0EA5" w:rsidRDefault="00E45657" w:rsidP="008D0C8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E45657" w14:paraId="660CF7F3" w14:textId="77777777" w:rsidTr="008D0C8E">
      <w:tc>
        <w:tcPr>
          <w:tcW w:w="365" w:type="pct"/>
        </w:tcPr>
        <w:p w14:paraId="3695FC24" w14:textId="77777777" w:rsidR="00E45657" w:rsidRDefault="00E45657" w:rsidP="008D0C8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2F6D4CF" w14:textId="77D56D2E" w:rsidR="00E45657" w:rsidRDefault="00E45657" w:rsidP="008D0C8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518F5">
            <w:rPr>
              <w:i/>
              <w:noProof/>
              <w:sz w:val="18"/>
            </w:rPr>
            <w:t>Telecommunications (Consumer Protection and Service Standards) (Non-Participating Persons)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24ED9F9" w14:textId="77777777" w:rsidR="00E45657" w:rsidRDefault="00E45657" w:rsidP="008D0C8E">
          <w:pPr>
            <w:spacing w:line="0" w:lineRule="atLeast"/>
            <w:jc w:val="right"/>
            <w:rPr>
              <w:sz w:val="18"/>
            </w:rPr>
          </w:pPr>
        </w:p>
      </w:tc>
    </w:tr>
    <w:tr w:rsidR="00E45657" w14:paraId="4D439243" w14:textId="77777777" w:rsidTr="008D0C8E">
      <w:tc>
        <w:tcPr>
          <w:tcW w:w="5000" w:type="pct"/>
          <w:gridSpan w:val="3"/>
        </w:tcPr>
        <w:p w14:paraId="1A9124F5" w14:textId="77777777" w:rsidR="00E45657" w:rsidRDefault="00E45657" w:rsidP="008D0C8E">
          <w:pPr>
            <w:jc w:val="right"/>
            <w:rPr>
              <w:sz w:val="18"/>
            </w:rPr>
          </w:pPr>
        </w:p>
      </w:tc>
    </w:tr>
  </w:tbl>
  <w:p w14:paraId="344EE437" w14:textId="77777777" w:rsidR="00E45657" w:rsidRPr="00ED79B6" w:rsidRDefault="00E45657" w:rsidP="008D0C8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28188" w14:textId="77777777" w:rsidR="00E45657" w:rsidRPr="002B0EA5" w:rsidRDefault="00E45657" w:rsidP="008D0C8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E45657" w14:paraId="4B724016" w14:textId="77777777" w:rsidTr="008D0C8E">
      <w:tc>
        <w:tcPr>
          <w:tcW w:w="947" w:type="pct"/>
        </w:tcPr>
        <w:p w14:paraId="47102788" w14:textId="77777777" w:rsidR="00E45657" w:rsidRDefault="00E45657" w:rsidP="008D0C8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1C96040" w14:textId="5C64F8C2" w:rsidR="00E45657" w:rsidRDefault="00E45657" w:rsidP="008D0C8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518F5">
            <w:rPr>
              <w:i/>
              <w:noProof/>
              <w:sz w:val="18"/>
            </w:rPr>
            <w:t>Telecommunications (Consumer Protection and Service Standards) (Non-Participating Persons)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57E5AE8" w14:textId="77777777" w:rsidR="00E45657" w:rsidRDefault="00E45657" w:rsidP="008D0C8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45657" w14:paraId="2B00D39D" w14:textId="77777777" w:rsidTr="008D0C8E">
      <w:tc>
        <w:tcPr>
          <w:tcW w:w="5000" w:type="pct"/>
          <w:gridSpan w:val="3"/>
        </w:tcPr>
        <w:p w14:paraId="7911629B" w14:textId="77777777" w:rsidR="00E45657" w:rsidRDefault="00E45657" w:rsidP="008D0C8E">
          <w:pPr>
            <w:rPr>
              <w:sz w:val="18"/>
            </w:rPr>
          </w:pPr>
        </w:p>
      </w:tc>
    </w:tr>
  </w:tbl>
  <w:p w14:paraId="59C2F8E3" w14:textId="77777777" w:rsidR="00E45657" w:rsidRPr="00ED79B6" w:rsidRDefault="00E45657" w:rsidP="008D0C8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343B2" w14:textId="77777777" w:rsidR="006E053C" w:rsidRDefault="006E053C" w:rsidP="00715914">
      <w:pPr>
        <w:spacing w:line="240" w:lineRule="auto"/>
      </w:pPr>
      <w:r>
        <w:separator/>
      </w:r>
    </w:p>
  </w:footnote>
  <w:footnote w:type="continuationSeparator" w:id="0">
    <w:p w14:paraId="0E93C595" w14:textId="77777777" w:rsidR="006E053C" w:rsidRDefault="006E053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C2B12" w14:textId="77777777" w:rsidR="00E45657" w:rsidRPr="005F1388" w:rsidRDefault="00E45657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E9545" w14:textId="77777777" w:rsidR="00E45657" w:rsidRPr="005F1388" w:rsidRDefault="00E45657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2134790"/>
      <w:docPartObj>
        <w:docPartGallery w:val="Watermarks"/>
        <w:docPartUnique/>
      </w:docPartObj>
    </w:sdtPr>
    <w:sdtEndPr/>
    <w:sdtContent>
      <w:p w14:paraId="0C4CDF2A" w14:textId="77777777" w:rsidR="00E45657" w:rsidRDefault="005518F5">
        <w:pPr>
          <w:pStyle w:val="Header"/>
        </w:pPr>
        <w:r>
          <w:rPr>
            <w:noProof/>
          </w:rPr>
          <w:pict w14:anchorId="5F24BA6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2D938" w14:textId="77777777" w:rsidR="00E45657" w:rsidRPr="00ED79B6" w:rsidRDefault="00E45657" w:rsidP="008D0C8E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8288A" w14:textId="77777777" w:rsidR="00E45657" w:rsidRPr="00ED79B6" w:rsidRDefault="00E45657" w:rsidP="008D0C8E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5418C" w14:textId="77777777" w:rsidR="00E45657" w:rsidRPr="00ED79B6" w:rsidRDefault="00E45657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C8C65" w14:textId="77777777" w:rsidR="00E45657" w:rsidRDefault="00E45657" w:rsidP="00715914">
    <w:pPr>
      <w:rPr>
        <w:sz w:val="20"/>
      </w:rPr>
    </w:pPr>
  </w:p>
  <w:p w14:paraId="3452EEEF" w14:textId="77777777" w:rsidR="00E45657" w:rsidRDefault="00E45657" w:rsidP="00715914">
    <w:pPr>
      <w:rPr>
        <w:sz w:val="20"/>
      </w:rPr>
    </w:pPr>
  </w:p>
  <w:p w14:paraId="6CA52468" w14:textId="77777777" w:rsidR="00E45657" w:rsidRPr="007A1328" w:rsidRDefault="00E45657" w:rsidP="00715914">
    <w:pPr>
      <w:rPr>
        <w:sz w:val="20"/>
      </w:rPr>
    </w:pPr>
  </w:p>
  <w:p w14:paraId="1672A4F7" w14:textId="77777777" w:rsidR="00E45657" w:rsidRPr="007A1328" w:rsidRDefault="00E45657" w:rsidP="00715914">
    <w:pPr>
      <w:rPr>
        <w:b/>
        <w:sz w:val="24"/>
      </w:rPr>
    </w:pPr>
  </w:p>
  <w:p w14:paraId="472F62E2" w14:textId="77777777" w:rsidR="00E45657" w:rsidRPr="007A1328" w:rsidRDefault="00E4565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26FEF" w14:textId="77777777" w:rsidR="00E45657" w:rsidRPr="007A1328" w:rsidRDefault="00E45657" w:rsidP="00715914">
    <w:pPr>
      <w:jc w:val="right"/>
      <w:rPr>
        <w:sz w:val="20"/>
      </w:rPr>
    </w:pPr>
  </w:p>
  <w:p w14:paraId="37BD1BC9" w14:textId="77777777" w:rsidR="00E45657" w:rsidRPr="007A1328" w:rsidRDefault="00E45657" w:rsidP="00715914">
    <w:pPr>
      <w:jc w:val="right"/>
      <w:rPr>
        <w:sz w:val="20"/>
      </w:rPr>
    </w:pPr>
  </w:p>
  <w:p w14:paraId="6CDFC070" w14:textId="77777777" w:rsidR="00E45657" w:rsidRPr="007A1328" w:rsidRDefault="00E45657" w:rsidP="00715914">
    <w:pPr>
      <w:jc w:val="right"/>
      <w:rPr>
        <w:sz w:val="20"/>
      </w:rPr>
    </w:pPr>
  </w:p>
  <w:p w14:paraId="5EE68165" w14:textId="77777777" w:rsidR="00E45657" w:rsidRPr="007A1328" w:rsidRDefault="00E45657" w:rsidP="00715914">
    <w:pPr>
      <w:jc w:val="right"/>
      <w:rPr>
        <w:b/>
        <w:sz w:val="24"/>
      </w:rPr>
    </w:pPr>
  </w:p>
  <w:p w14:paraId="4BFEF182" w14:textId="77777777" w:rsidR="00E45657" w:rsidRPr="007A1328" w:rsidRDefault="00E4565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0A1718E"/>
    <w:multiLevelType w:val="hybridMultilevel"/>
    <w:tmpl w:val="190C54FA"/>
    <w:lvl w:ilvl="0" w:tplc="719E2EC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6E6024A"/>
    <w:multiLevelType w:val="hybridMultilevel"/>
    <w:tmpl w:val="78EE9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01592"/>
    <w:multiLevelType w:val="hybridMultilevel"/>
    <w:tmpl w:val="B4CEEEFE"/>
    <w:lvl w:ilvl="0" w:tplc="0DEC6C9A">
      <w:start w:val="1"/>
      <w:numFmt w:val="lowerLetter"/>
      <w:lvlText w:val="(%1)"/>
      <w:lvlJc w:val="left"/>
      <w:pPr>
        <w:ind w:left="1494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2853CE3"/>
    <w:multiLevelType w:val="hybridMultilevel"/>
    <w:tmpl w:val="190C54FA"/>
    <w:lvl w:ilvl="0" w:tplc="719E2EC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43D03C3A"/>
    <w:multiLevelType w:val="hybridMultilevel"/>
    <w:tmpl w:val="190C54FA"/>
    <w:lvl w:ilvl="0" w:tplc="719E2EC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5427FC0"/>
    <w:multiLevelType w:val="hybridMultilevel"/>
    <w:tmpl w:val="FE46491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3"/>
  </w:num>
  <w:num w:numId="15">
    <w:abstractNumId w:val="17"/>
  </w:num>
  <w:num w:numId="16">
    <w:abstractNumId w:val="14"/>
  </w:num>
  <w:num w:numId="17">
    <w:abstractNumId w:val="12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0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48C6"/>
    <w:rsid w:val="0006709C"/>
    <w:rsid w:val="00070AAD"/>
    <w:rsid w:val="00074376"/>
    <w:rsid w:val="000758C8"/>
    <w:rsid w:val="000978F5"/>
    <w:rsid w:val="000B15CD"/>
    <w:rsid w:val="000B35EB"/>
    <w:rsid w:val="000C06A2"/>
    <w:rsid w:val="000C314F"/>
    <w:rsid w:val="000D05EF"/>
    <w:rsid w:val="000D1266"/>
    <w:rsid w:val="000D2A53"/>
    <w:rsid w:val="000E2261"/>
    <w:rsid w:val="000E3E0B"/>
    <w:rsid w:val="000E4F63"/>
    <w:rsid w:val="000E78B7"/>
    <w:rsid w:val="000F21C1"/>
    <w:rsid w:val="0010745C"/>
    <w:rsid w:val="001112A2"/>
    <w:rsid w:val="00123BE5"/>
    <w:rsid w:val="00131425"/>
    <w:rsid w:val="00131E8B"/>
    <w:rsid w:val="00132CEB"/>
    <w:rsid w:val="001339B0"/>
    <w:rsid w:val="001341CE"/>
    <w:rsid w:val="00141414"/>
    <w:rsid w:val="00141844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A0C9F"/>
    <w:rsid w:val="001A5B66"/>
    <w:rsid w:val="001B0AE8"/>
    <w:rsid w:val="001B2CB6"/>
    <w:rsid w:val="001B6490"/>
    <w:rsid w:val="001C42EE"/>
    <w:rsid w:val="001C61C5"/>
    <w:rsid w:val="001C69C4"/>
    <w:rsid w:val="001D37EF"/>
    <w:rsid w:val="001E3590"/>
    <w:rsid w:val="001E7407"/>
    <w:rsid w:val="001F5D5E"/>
    <w:rsid w:val="001F6219"/>
    <w:rsid w:val="001F68FE"/>
    <w:rsid w:val="001F6CD4"/>
    <w:rsid w:val="00206C4D"/>
    <w:rsid w:val="00211E21"/>
    <w:rsid w:val="00215AF1"/>
    <w:rsid w:val="00223CE0"/>
    <w:rsid w:val="00227BE5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5E8A"/>
    <w:rsid w:val="002A7BCF"/>
    <w:rsid w:val="002C05BF"/>
    <w:rsid w:val="002C3FD1"/>
    <w:rsid w:val="002D043A"/>
    <w:rsid w:val="002D266B"/>
    <w:rsid w:val="002D6224"/>
    <w:rsid w:val="00304F8B"/>
    <w:rsid w:val="00314BC9"/>
    <w:rsid w:val="003251C4"/>
    <w:rsid w:val="00335BC6"/>
    <w:rsid w:val="0033784D"/>
    <w:rsid w:val="003415D3"/>
    <w:rsid w:val="00344338"/>
    <w:rsid w:val="00344599"/>
    <w:rsid w:val="00344701"/>
    <w:rsid w:val="00352B0F"/>
    <w:rsid w:val="00360459"/>
    <w:rsid w:val="00360511"/>
    <w:rsid w:val="00373CF8"/>
    <w:rsid w:val="00374ABF"/>
    <w:rsid w:val="0038049F"/>
    <w:rsid w:val="00382113"/>
    <w:rsid w:val="003875D1"/>
    <w:rsid w:val="003C0B86"/>
    <w:rsid w:val="003C2832"/>
    <w:rsid w:val="003C6231"/>
    <w:rsid w:val="003C6AF5"/>
    <w:rsid w:val="003D031A"/>
    <w:rsid w:val="003D0BFE"/>
    <w:rsid w:val="003D5700"/>
    <w:rsid w:val="003E0DCB"/>
    <w:rsid w:val="003E1A4E"/>
    <w:rsid w:val="003E341B"/>
    <w:rsid w:val="003E4D00"/>
    <w:rsid w:val="004116CD"/>
    <w:rsid w:val="00417EB9"/>
    <w:rsid w:val="00424CA9"/>
    <w:rsid w:val="004276DF"/>
    <w:rsid w:val="0043098E"/>
    <w:rsid w:val="00431E9B"/>
    <w:rsid w:val="004379E3"/>
    <w:rsid w:val="0044015E"/>
    <w:rsid w:val="0044291A"/>
    <w:rsid w:val="0044451D"/>
    <w:rsid w:val="00467661"/>
    <w:rsid w:val="004707CF"/>
    <w:rsid w:val="00472DBE"/>
    <w:rsid w:val="00474A19"/>
    <w:rsid w:val="00477830"/>
    <w:rsid w:val="00487764"/>
    <w:rsid w:val="00492FDE"/>
    <w:rsid w:val="0049612A"/>
    <w:rsid w:val="00496F97"/>
    <w:rsid w:val="004A40DC"/>
    <w:rsid w:val="004B5982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16F49"/>
    <w:rsid w:val="00524653"/>
    <w:rsid w:val="005263D2"/>
    <w:rsid w:val="005303C8"/>
    <w:rsid w:val="00537FBC"/>
    <w:rsid w:val="005518F5"/>
    <w:rsid w:val="00554826"/>
    <w:rsid w:val="00554C9F"/>
    <w:rsid w:val="00562877"/>
    <w:rsid w:val="00575973"/>
    <w:rsid w:val="00584811"/>
    <w:rsid w:val="00585784"/>
    <w:rsid w:val="00593AA6"/>
    <w:rsid w:val="00594161"/>
    <w:rsid w:val="00594749"/>
    <w:rsid w:val="0059522C"/>
    <w:rsid w:val="005A65D5"/>
    <w:rsid w:val="005B4067"/>
    <w:rsid w:val="005C3F41"/>
    <w:rsid w:val="005D1D92"/>
    <w:rsid w:val="005D2D09"/>
    <w:rsid w:val="00600219"/>
    <w:rsid w:val="00604F2A"/>
    <w:rsid w:val="00607C8C"/>
    <w:rsid w:val="00613F63"/>
    <w:rsid w:val="00620076"/>
    <w:rsid w:val="00627E0A"/>
    <w:rsid w:val="00643FC0"/>
    <w:rsid w:val="006469CC"/>
    <w:rsid w:val="00651AD4"/>
    <w:rsid w:val="0065488B"/>
    <w:rsid w:val="006641B2"/>
    <w:rsid w:val="00670EA1"/>
    <w:rsid w:val="006724F9"/>
    <w:rsid w:val="00677CC2"/>
    <w:rsid w:val="0068744B"/>
    <w:rsid w:val="006905DE"/>
    <w:rsid w:val="0069207B"/>
    <w:rsid w:val="00696953"/>
    <w:rsid w:val="006A1159"/>
    <w:rsid w:val="006A154F"/>
    <w:rsid w:val="006A437B"/>
    <w:rsid w:val="006B0303"/>
    <w:rsid w:val="006B4F05"/>
    <w:rsid w:val="006B5789"/>
    <w:rsid w:val="006C1D50"/>
    <w:rsid w:val="006C30C5"/>
    <w:rsid w:val="006C7F8C"/>
    <w:rsid w:val="006D19A9"/>
    <w:rsid w:val="006E053C"/>
    <w:rsid w:val="006E2E1C"/>
    <w:rsid w:val="006E6246"/>
    <w:rsid w:val="006E69C2"/>
    <w:rsid w:val="006E6DCC"/>
    <w:rsid w:val="006F318F"/>
    <w:rsid w:val="006F31D9"/>
    <w:rsid w:val="0070017E"/>
    <w:rsid w:val="00700A01"/>
    <w:rsid w:val="00700B2C"/>
    <w:rsid w:val="007050A2"/>
    <w:rsid w:val="00713084"/>
    <w:rsid w:val="00714F20"/>
    <w:rsid w:val="0071590F"/>
    <w:rsid w:val="00715914"/>
    <w:rsid w:val="00720DCE"/>
    <w:rsid w:val="0072147A"/>
    <w:rsid w:val="00723791"/>
    <w:rsid w:val="00731915"/>
    <w:rsid w:val="00731E00"/>
    <w:rsid w:val="00732F9E"/>
    <w:rsid w:val="0073385E"/>
    <w:rsid w:val="007403E8"/>
    <w:rsid w:val="007440B7"/>
    <w:rsid w:val="00744FAA"/>
    <w:rsid w:val="007500C8"/>
    <w:rsid w:val="00756272"/>
    <w:rsid w:val="00756909"/>
    <w:rsid w:val="00762D38"/>
    <w:rsid w:val="007715C9"/>
    <w:rsid w:val="00771613"/>
    <w:rsid w:val="00773FBB"/>
    <w:rsid w:val="00774EDD"/>
    <w:rsid w:val="007757EC"/>
    <w:rsid w:val="00783E89"/>
    <w:rsid w:val="00790DE1"/>
    <w:rsid w:val="00793915"/>
    <w:rsid w:val="007958D2"/>
    <w:rsid w:val="007C2253"/>
    <w:rsid w:val="007C2332"/>
    <w:rsid w:val="007C429F"/>
    <w:rsid w:val="007D537A"/>
    <w:rsid w:val="007D73C3"/>
    <w:rsid w:val="007D7911"/>
    <w:rsid w:val="007E163D"/>
    <w:rsid w:val="007E667A"/>
    <w:rsid w:val="007F0E2C"/>
    <w:rsid w:val="007F28C9"/>
    <w:rsid w:val="007F51B2"/>
    <w:rsid w:val="008040DD"/>
    <w:rsid w:val="008117E9"/>
    <w:rsid w:val="00824498"/>
    <w:rsid w:val="00825598"/>
    <w:rsid w:val="00826BD1"/>
    <w:rsid w:val="00854D0B"/>
    <w:rsid w:val="00856A31"/>
    <w:rsid w:val="00860B4E"/>
    <w:rsid w:val="00867B37"/>
    <w:rsid w:val="008754D0"/>
    <w:rsid w:val="00875D13"/>
    <w:rsid w:val="00881977"/>
    <w:rsid w:val="008850FA"/>
    <w:rsid w:val="008855C9"/>
    <w:rsid w:val="00886456"/>
    <w:rsid w:val="008872D6"/>
    <w:rsid w:val="00896176"/>
    <w:rsid w:val="008A46E1"/>
    <w:rsid w:val="008A4F43"/>
    <w:rsid w:val="008B2706"/>
    <w:rsid w:val="008B2A07"/>
    <w:rsid w:val="008B7912"/>
    <w:rsid w:val="008B7D77"/>
    <w:rsid w:val="008C1684"/>
    <w:rsid w:val="008C2EAC"/>
    <w:rsid w:val="008D0C8E"/>
    <w:rsid w:val="008D0EE0"/>
    <w:rsid w:val="008E0027"/>
    <w:rsid w:val="008E6067"/>
    <w:rsid w:val="008F54E7"/>
    <w:rsid w:val="00903422"/>
    <w:rsid w:val="00913B06"/>
    <w:rsid w:val="009254C3"/>
    <w:rsid w:val="00932377"/>
    <w:rsid w:val="00941236"/>
    <w:rsid w:val="00943FD5"/>
    <w:rsid w:val="009467ED"/>
    <w:rsid w:val="00947D5A"/>
    <w:rsid w:val="009532A5"/>
    <w:rsid w:val="009545BD"/>
    <w:rsid w:val="00964CF0"/>
    <w:rsid w:val="00977806"/>
    <w:rsid w:val="00982242"/>
    <w:rsid w:val="009868E9"/>
    <w:rsid w:val="009900A3"/>
    <w:rsid w:val="0099349C"/>
    <w:rsid w:val="009B479A"/>
    <w:rsid w:val="009B50A2"/>
    <w:rsid w:val="009B6586"/>
    <w:rsid w:val="009C3413"/>
    <w:rsid w:val="009D4B15"/>
    <w:rsid w:val="009D7059"/>
    <w:rsid w:val="009F7763"/>
    <w:rsid w:val="00A0176F"/>
    <w:rsid w:val="00A0441E"/>
    <w:rsid w:val="00A12128"/>
    <w:rsid w:val="00A22C98"/>
    <w:rsid w:val="00A231E2"/>
    <w:rsid w:val="00A34585"/>
    <w:rsid w:val="00A369E3"/>
    <w:rsid w:val="00A4565C"/>
    <w:rsid w:val="00A50F48"/>
    <w:rsid w:val="00A57600"/>
    <w:rsid w:val="00A64912"/>
    <w:rsid w:val="00A70A74"/>
    <w:rsid w:val="00A75FE9"/>
    <w:rsid w:val="00A77D28"/>
    <w:rsid w:val="00A84F4E"/>
    <w:rsid w:val="00A86DE6"/>
    <w:rsid w:val="00A94A8F"/>
    <w:rsid w:val="00A95D54"/>
    <w:rsid w:val="00A97AE0"/>
    <w:rsid w:val="00AA1A65"/>
    <w:rsid w:val="00AA2623"/>
    <w:rsid w:val="00AB2629"/>
    <w:rsid w:val="00AD53CC"/>
    <w:rsid w:val="00AD5641"/>
    <w:rsid w:val="00AE6B78"/>
    <w:rsid w:val="00AF06CF"/>
    <w:rsid w:val="00B07CDB"/>
    <w:rsid w:val="00B14846"/>
    <w:rsid w:val="00B16A31"/>
    <w:rsid w:val="00B17DFD"/>
    <w:rsid w:val="00B25306"/>
    <w:rsid w:val="00B27831"/>
    <w:rsid w:val="00B308FE"/>
    <w:rsid w:val="00B33709"/>
    <w:rsid w:val="00B33B3C"/>
    <w:rsid w:val="00B3415E"/>
    <w:rsid w:val="00B36392"/>
    <w:rsid w:val="00B418CB"/>
    <w:rsid w:val="00B47444"/>
    <w:rsid w:val="00B50ADC"/>
    <w:rsid w:val="00B566B1"/>
    <w:rsid w:val="00B63834"/>
    <w:rsid w:val="00B661C1"/>
    <w:rsid w:val="00B67567"/>
    <w:rsid w:val="00B80199"/>
    <w:rsid w:val="00B80BE2"/>
    <w:rsid w:val="00B83204"/>
    <w:rsid w:val="00B856E7"/>
    <w:rsid w:val="00B8667A"/>
    <w:rsid w:val="00B86DD9"/>
    <w:rsid w:val="00B9626D"/>
    <w:rsid w:val="00BA1026"/>
    <w:rsid w:val="00BA220B"/>
    <w:rsid w:val="00BA3A57"/>
    <w:rsid w:val="00BA426F"/>
    <w:rsid w:val="00BB1533"/>
    <w:rsid w:val="00BB4E1A"/>
    <w:rsid w:val="00BC015E"/>
    <w:rsid w:val="00BC5139"/>
    <w:rsid w:val="00BC76AC"/>
    <w:rsid w:val="00BD0ECB"/>
    <w:rsid w:val="00BD3983"/>
    <w:rsid w:val="00BE2155"/>
    <w:rsid w:val="00BE719A"/>
    <w:rsid w:val="00BE720A"/>
    <w:rsid w:val="00BF0D73"/>
    <w:rsid w:val="00BF2465"/>
    <w:rsid w:val="00BF314B"/>
    <w:rsid w:val="00BF42A5"/>
    <w:rsid w:val="00BF6C73"/>
    <w:rsid w:val="00BF6DC8"/>
    <w:rsid w:val="00C07C3B"/>
    <w:rsid w:val="00C16619"/>
    <w:rsid w:val="00C177C9"/>
    <w:rsid w:val="00C25E7F"/>
    <w:rsid w:val="00C27274"/>
    <w:rsid w:val="00C2746F"/>
    <w:rsid w:val="00C31085"/>
    <w:rsid w:val="00C323D6"/>
    <w:rsid w:val="00C324A0"/>
    <w:rsid w:val="00C348D6"/>
    <w:rsid w:val="00C37CCE"/>
    <w:rsid w:val="00C414B8"/>
    <w:rsid w:val="00C42BF8"/>
    <w:rsid w:val="00C441D9"/>
    <w:rsid w:val="00C50043"/>
    <w:rsid w:val="00C7573B"/>
    <w:rsid w:val="00C81AC6"/>
    <w:rsid w:val="00C81F3A"/>
    <w:rsid w:val="00C97A54"/>
    <w:rsid w:val="00CA5B23"/>
    <w:rsid w:val="00CB602E"/>
    <w:rsid w:val="00CB7E90"/>
    <w:rsid w:val="00CD2529"/>
    <w:rsid w:val="00CD5E25"/>
    <w:rsid w:val="00CE051D"/>
    <w:rsid w:val="00CE103C"/>
    <w:rsid w:val="00CE1335"/>
    <w:rsid w:val="00CE493D"/>
    <w:rsid w:val="00CE5493"/>
    <w:rsid w:val="00CE5F84"/>
    <w:rsid w:val="00CF07FA"/>
    <w:rsid w:val="00CF0BB2"/>
    <w:rsid w:val="00CF3EE8"/>
    <w:rsid w:val="00CF757A"/>
    <w:rsid w:val="00D02971"/>
    <w:rsid w:val="00D05C78"/>
    <w:rsid w:val="00D06F7C"/>
    <w:rsid w:val="00D13441"/>
    <w:rsid w:val="00D150E7"/>
    <w:rsid w:val="00D330A2"/>
    <w:rsid w:val="00D335A1"/>
    <w:rsid w:val="00D34D5C"/>
    <w:rsid w:val="00D35349"/>
    <w:rsid w:val="00D44825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A797E"/>
    <w:rsid w:val="00DB251C"/>
    <w:rsid w:val="00DB4630"/>
    <w:rsid w:val="00DC4F88"/>
    <w:rsid w:val="00DD23A8"/>
    <w:rsid w:val="00DD3A54"/>
    <w:rsid w:val="00DE107C"/>
    <w:rsid w:val="00DE2F64"/>
    <w:rsid w:val="00DE496D"/>
    <w:rsid w:val="00DE611C"/>
    <w:rsid w:val="00DE6224"/>
    <w:rsid w:val="00DF2388"/>
    <w:rsid w:val="00E01FF7"/>
    <w:rsid w:val="00E05704"/>
    <w:rsid w:val="00E12BEC"/>
    <w:rsid w:val="00E30F5B"/>
    <w:rsid w:val="00E338EF"/>
    <w:rsid w:val="00E355E3"/>
    <w:rsid w:val="00E378C7"/>
    <w:rsid w:val="00E45657"/>
    <w:rsid w:val="00E51E5A"/>
    <w:rsid w:val="00E544BB"/>
    <w:rsid w:val="00E613F3"/>
    <w:rsid w:val="00E74DC7"/>
    <w:rsid w:val="00E750CE"/>
    <w:rsid w:val="00E8075A"/>
    <w:rsid w:val="00E9280E"/>
    <w:rsid w:val="00E940D8"/>
    <w:rsid w:val="00E94D5E"/>
    <w:rsid w:val="00EA7100"/>
    <w:rsid w:val="00EA7F9F"/>
    <w:rsid w:val="00EB1274"/>
    <w:rsid w:val="00EB5288"/>
    <w:rsid w:val="00EC3143"/>
    <w:rsid w:val="00ED021D"/>
    <w:rsid w:val="00ED2BB6"/>
    <w:rsid w:val="00ED34E1"/>
    <w:rsid w:val="00ED3B8D"/>
    <w:rsid w:val="00ED7A9F"/>
    <w:rsid w:val="00EE5E36"/>
    <w:rsid w:val="00EF2E3A"/>
    <w:rsid w:val="00EF602C"/>
    <w:rsid w:val="00EF68AE"/>
    <w:rsid w:val="00F02C7C"/>
    <w:rsid w:val="00F072A7"/>
    <w:rsid w:val="00F078DC"/>
    <w:rsid w:val="00F16D80"/>
    <w:rsid w:val="00F30274"/>
    <w:rsid w:val="00F32BA8"/>
    <w:rsid w:val="00F32EE0"/>
    <w:rsid w:val="00F349F1"/>
    <w:rsid w:val="00F4350D"/>
    <w:rsid w:val="00F479C4"/>
    <w:rsid w:val="00F47F98"/>
    <w:rsid w:val="00F50987"/>
    <w:rsid w:val="00F51CCC"/>
    <w:rsid w:val="00F567F7"/>
    <w:rsid w:val="00F6696E"/>
    <w:rsid w:val="00F723A1"/>
    <w:rsid w:val="00F73BD6"/>
    <w:rsid w:val="00F8372C"/>
    <w:rsid w:val="00F83989"/>
    <w:rsid w:val="00F84B04"/>
    <w:rsid w:val="00F85099"/>
    <w:rsid w:val="00F9379C"/>
    <w:rsid w:val="00F9500D"/>
    <w:rsid w:val="00F9632C"/>
    <w:rsid w:val="00F9788F"/>
    <w:rsid w:val="00FA1E52"/>
    <w:rsid w:val="00FB5A08"/>
    <w:rsid w:val="00FC6A80"/>
    <w:rsid w:val="00FD695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5A677C9"/>
  <w15:docId w15:val="{C9BEDF7C-D49F-456E-9DFC-E8751CD5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F51CC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335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35A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35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5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5A1"/>
    <w:rPr>
      <w:b/>
      <w:bCs/>
    </w:rPr>
  </w:style>
  <w:style w:type="character" w:styleId="Hyperlink">
    <w:name w:val="Hyperlink"/>
    <w:basedOn w:val="DefaultParagraphFont"/>
    <w:uiPriority w:val="99"/>
    <w:unhideWhenUsed/>
    <w:rsid w:val="00AA26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6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0F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ccoy.INTERNAL\Downloads\template_-_principal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0DBD3B3F14F408BD24DB151985CE3" ma:contentTypeVersion="8" ma:contentTypeDescription="Create a new document." ma:contentTypeScope="" ma:versionID="11e24c3cea9bf44b7e024ffcefca4227">
  <xsd:schema xmlns:xsd="http://www.w3.org/2001/XMLSchema" xmlns:xs="http://www.w3.org/2001/XMLSchema" xmlns:p="http://schemas.microsoft.com/office/2006/metadata/properties" xmlns:ns3="6576d91f-c9e9-4947-a3d7-a61f72220494" targetNamespace="http://schemas.microsoft.com/office/2006/metadata/properties" ma:root="true" ma:fieldsID="a1e0b20ce0196b14f759d0b9c2f69bc8" ns3:_="">
    <xsd:import namespace="6576d91f-c9e9-4947-a3d7-a61f7222049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6d91f-c9e9-4947-a3d7-a61f7222049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BF5F3-6FBE-428A-B7A1-285D5F689A7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6576d91f-c9e9-4947-a3d7-a61f7222049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7161C3-C38C-4ABF-A430-7F7EE705E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79A15F-EB54-420F-9B55-DF1D1F32B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6d91f-c9e9-4947-a3d7-a61f72220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36D28F-7A09-43F2-83DF-F0D9711D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template_-_principal_instrument.dotx</Template>
  <TotalTime>3</TotalTime>
  <Pages>9</Pages>
  <Words>1116</Words>
  <Characters>6479</Characters>
  <Application>Microsoft Office Word</Application>
  <DocSecurity>4</DocSecurity>
  <Lines>122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Telecommunications (Consumer Protection and Service Standards) (Non-Participating Persons) Determination 2025</vt:lpstr>
    </vt:vector>
  </TitlesOfParts>
  <Company>Australian Government, Department of Infrastructure, Transport, Regional Development, Communications, Sport and the Arts</Company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Telecommunications (Consumer Protection and Service Standards) (Non-Participating Persons) Determination 2025</dc:title>
  <dc:creator>Australian Government, Department of Infrastructure, Transport, Regional Development, Communications, Sport and the Arts</dc:creator>
  <cp:lastModifiedBy>Hall, Theresa</cp:lastModifiedBy>
  <cp:revision>2</cp:revision>
  <dcterms:created xsi:type="dcterms:W3CDTF">2025-08-26T07:33:00Z</dcterms:created>
  <dcterms:modified xsi:type="dcterms:W3CDTF">2025-08-26T07:33:00Z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0x0101002E40DBD3B3F14F408BD24DB151985CE3</vt:lpwstr>
  </property>
</Properties>
</file>