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3556B" w14:textId="77777777" w:rsidR="00615E4D" w:rsidRDefault="00615E4D" w:rsidP="00615E4D">
      <w:pPr>
        <w:pStyle w:val="NormalBold"/>
        <w:jc w:val="center"/>
        <w:rPr>
          <w:rFonts w:ascii="Times New Roman" w:hAnsi="Times New Roman" w:cs="Times New Roman"/>
          <w:sz w:val="28"/>
          <w:szCs w:val="28"/>
          <w:u w:val="single"/>
        </w:rPr>
      </w:pPr>
      <w:r>
        <w:rPr>
          <w:rFonts w:ascii="Times New Roman" w:hAnsi="Times New Roman" w:cs="Times New Roman"/>
          <w:sz w:val="28"/>
          <w:szCs w:val="28"/>
          <w:u w:val="single"/>
        </w:rPr>
        <w:t>DRAFT EXPLANATORY STATEMENT</w:t>
      </w:r>
    </w:p>
    <w:p w14:paraId="0DCC0FF8" w14:textId="77777777" w:rsidR="00827C0F" w:rsidRPr="00827C0F" w:rsidRDefault="00827C0F" w:rsidP="00FA355E">
      <w:pPr>
        <w:shd w:val="clear" w:color="auto" w:fill="FFFFFF"/>
        <w:spacing w:after="0"/>
        <w:jc w:val="center"/>
        <w:outlineLvl w:val="1"/>
        <w:rPr>
          <w:rFonts w:ascii="Times New Roman" w:hAnsi="Times New Roman"/>
          <w:bCs/>
          <w:color w:val="000000"/>
        </w:rPr>
      </w:pPr>
      <w:r w:rsidRPr="00827C0F">
        <w:rPr>
          <w:rFonts w:ascii="Times New Roman" w:hAnsi="Times New Roman"/>
          <w:bCs/>
          <w:color w:val="000000"/>
        </w:rPr>
        <w:t>Issued by the Authority of the Minister for Communications</w:t>
      </w:r>
    </w:p>
    <w:p w14:paraId="73C2A8A1" w14:textId="77777777" w:rsidR="00827C0F" w:rsidRDefault="00827C0F" w:rsidP="00FA355E">
      <w:pPr>
        <w:shd w:val="clear" w:color="auto" w:fill="FFFFFF"/>
        <w:spacing w:after="0"/>
        <w:jc w:val="center"/>
        <w:rPr>
          <w:rFonts w:ascii="Times New Roman" w:hAnsi="Times New Roman"/>
          <w:i/>
          <w:iCs/>
          <w:color w:val="000000"/>
        </w:rPr>
      </w:pPr>
    </w:p>
    <w:p w14:paraId="23E0D1A6" w14:textId="4D1431D3" w:rsidR="00615E4D" w:rsidRDefault="00615E4D" w:rsidP="00FA355E">
      <w:pPr>
        <w:shd w:val="clear" w:color="auto" w:fill="FFFFFF"/>
        <w:spacing w:after="0"/>
        <w:jc w:val="center"/>
        <w:rPr>
          <w:rFonts w:ascii="Times New Roman" w:hAnsi="Times New Roman"/>
          <w:color w:val="000000"/>
        </w:rPr>
      </w:pPr>
      <w:r>
        <w:rPr>
          <w:rFonts w:ascii="Times New Roman" w:hAnsi="Times New Roman"/>
          <w:i/>
          <w:iCs/>
          <w:color w:val="000000"/>
        </w:rPr>
        <w:t>Telecommunications (Consumer Protection and Service Standards) Act 1999</w:t>
      </w:r>
    </w:p>
    <w:p w14:paraId="02D7A234" w14:textId="77777777" w:rsidR="00615E4D" w:rsidRDefault="00615E4D" w:rsidP="00FA355E">
      <w:pPr>
        <w:shd w:val="clear" w:color="auto" w:fill="FFFFFF"/>
        <w:spacing w:after="0"/>
        <w:jc w:val="center"/>
        <w:rPr>
          <w:rFonts w:ascii="Times New Roman" w:hAnsi="Times New Roman"/>
          <w:color w:val="000000"/>
        </w:rPr>
      </w:pPr>
      <w:r>
        <w:rPr>
          <w:rFonts w:ascii="Times New Roman" w:hAnsi="Times New Roman"/>
          <w:color w:val="000000"/>
        </w:rPr>
        <w:t> </w:t>
      </w:r>
    </w:p>
    <w:p w14:paraId="257650A7" w14:textId="19EB22C0" w:rsidR="00615E4D" w:rsidRDefault="00827C0F" w:rsidP="00FA355E">
      <w:pPr>
        <w:shd w:val="clear" w:color="auto" w:fill="FFFFFF"/>
        <w:spacing w:after="0"/>
        <w:jc w:val="center"/>
        <w:rPr>
          <w:rFonts w:ascii="Times New Roman" w:hAnsi="Times New Roman"/>
          <w:color w:val="000000"/>
        </w:rPr>
      </w:pPr>
      <w:r w:rsidRPr="00827C0F">
        <w:rPr>
          <w:rFonts w:ascii="Times New Roman" w:hAnsi="Times New Roman"/>
          <w:b/>
          <w:bCs/>
          <w:color w:val="000000"/>
        </w:rPr>
        <w:t>Telecommunications Universal Service Obligation (Standard Telephone Service—Requirements and Circumstances) Determination 2022</w:t>
      </w:r>
    </w:p>
    <w:p w14:paraId="73BE98D8" w14:textId="2AB70F0F" w:rsidR="00615E4D" w:rsidRPr="005875F7" w:rsidRDefault="005875F7" w:rsidP="009A367A">
      <w:pPr>
        <w:spacing w:before="100" w:beforeAutospacing="1" w:after="100" w:afterAutospacing="1" w:line="276" w:lineRule="auto"/>
        <w:jc w:val="center"/>
        <w:rPr>
          <w:rFonts w:ascii="Times New Roman" w:hAnsi="Times New Roman"/>
          <w:i/>
          <w:highlight w:val="lightGray"/>
        </w:rPr>
      </w:pPr>
      <w:r w:rsidRPr="005875F7">
        <w:rPr>
          <w:rFonts w:ascii="Times New Roman" w:hAnsi="Times New Roman"/>
          <w:i/>
          <w:shd w:val="clear" w:color="auto" w:fill="D9D9D9" w:themeFill="background1" w:themeFillShade="D9"/>
        </w:rPr>
        <w:t>Note: This draft explanatory statement is provided to assist stakeholders comment on a draft of the Telecommunications Universal Service Obligation (Standard Telephone Service—Requirements and Circumstances) Determination 2022. It has no formal status and it should not be considered definitive.</w:t>
      </w:r>
    </w:p>
    <w:p w14:paraId="71FA9ADD" w14:textId="77777777" w:rsidR="00615E4D" w:rsidRDefault="00615E4D" w:rsidP="00615E4D">
      <w:pPr>
        <w:spacing w:before="100" w:beforeAutospacing="1" w:after="100" w:afterAutospacing="1" w:line="276" w:lineRule="auto"/>
        <w:rPr>
          <w:rFonts w:ascii="Times New Roman" w:hAnsi="Times New Roman"/>
          <w:u w:val="single"/>
        </w:rPr>
      </w:pPr>
      <w:r>
        <w:rPr>
          <w:rFonts w:ascii="Times New Roman" w:hAnsi="Times New Roman"/>
          <w:u w:val="single"/>
        </w:rPr>
        <w:t>Purpose</w:t>
      </w:r>
    </w:p>
    <w:p w14:paraId="36140EFD" w14:textId="16F0B6A6" w:rsidR="00615E4D" w:rsidRDefault="00615E4D" w:rsidP="00615E4D">
      <w:pPr>
        <w:shd w:val="clear" w:color="auto" w:fill="FFFFFF"/>
        <w:spacing w:after="0"/>
        <w:rPr>
          <w:rFonts w:ascii="Times New Roman" w:hAnsi="Times New Roman"/>
          <w:color w:val="000000"/>
        </w:rPr>
      </w:pPr>
      <w:r>
        <w:rPr>
          <w:rFonts w:ascii="Times New Roman" w:hAnsi="Times New Roman"/>
          <w:iCs/>
          <w:color w:val="000000"/>
        </w:rPr>
        <w:t xml:space="preserve">The </w:t>
      </w:r>
      <w:r>
        <w:rPr>
          <w:rFonts w:ascii="Times New Roman" w:hAnsi="Times New Roman"/>
          <w:i/>
          <w:iCs/>
          <w:color w:val="000000"/>
        </w:rPr>
        <w:t>Telecommunications Universal Service Obligation (Standard Telephone Service—Requirements and Circumstances) Determination 2022</w:t>
      </w:r>
      <w:r>
        <w:rPr>
          <w:rFonts w:ascii="Times New Roman" w:hAnsi="Times New Roman"/>
          <w:color w:val="000000"/>
        </w:rPr>
        <w:t xml:space="preserve"> (the Determination) is made by the Minister for Communications (the Minister) </w:t>
      </w:r>
      <w:r w:rsidR="004F1A12">
        <w:rPr>
          <w:rFonts w:ascii="Times New Roman" w:hAnsi="Times New Roman"/>
          <w:color w:val="000000"/>
        </w:rPr>
        <w:t>under</w:t>
      </w:r>
      <w:r>
        <w:rPr>
          <w:rFonts w:ascii="Times New Roman" w:hAnsi="Times New Roman"/>
          <w:color w:val="000000"/>
        </w:rPr>
        <w:t xml:space="preserve"> subsections 9(2D) and 9(3) of the </w:t>
      </w:r>
      <w:r>
        <w:rPr>
          <w:rFonts w:ascii="Times New Roman" w:hAnsi="Times New Roman"/>
          <w:i/>
          <w:iCs/>
          <w:color w:val="000000"/>
        </w:rPr>
        <w:t>Telecommunications (Consumer Protection and Service Standards) Act 1999</w:t>
      </w:r>
      <w:r>
        <w:rPr>
          <w:rFonts w:ascii="Times New Roman" w:hAnsi="Times New Roman"/>
          <w:color w:val="000000"/>
        </w:rPr>
        <w:t> (the Act).</w:t>
      </w:r>
    </w:p>
    <w:p w14:paraId="3A8FDFBE" w14:textId="77777777" w:rsidR="00615E4D" w:rsidRDefault="00615E4D" w:rsidP="00615E4D">
      <w:pPr>
        <w:shd w:val="clear" w:color="auto" w:fill="FFFFFF"/>
        <w:spacing w:after="0"/>
        <w:rPr>
          <w:rFonts w:ascii="Times New Roman" w:hAnsi="Times New Roman"/>
          <w:color w:val="000000"/>
        </w:rPr>
      </w:pPr>
      <w:r>
        <w:rPr>
          <w:rFonts w:ascii="Times New Roman" w:hAnsi="Times New Roman"/>
          <w:color w:val="000000"/>
        </w:rPr>
        <w:t> </w:t>
      </w:r>
    </w:p>
    <w:p w14:paraId="3C876214" w14:textId="2DE9C25B" w:rsidR="00615E4D" w:rsidRDefault="00615E4D" w:rsidP="00615E4D">
      <w:pPr>
        <w:shd w:val="clear" w:color="auto" w:fill="FFFFFF"/>
        <w:spacing w:after="0"/>
        <w:rPr>
          <w:rFonts w:ascii="Times New Roman" w:hAnsi="Times New Roman"/>
          <w:color w:val="000000"/>
        </w:rPr>
      </w:pPr>
      <w:r>
        <w:rPr>
          <w:rFonts w:ascii="Times New Roman" w:hAnsi="Times New Roman"/>
          <w:color w:val="000000"/>
        </w:rPr>
        <w:t xml:space="preserve">The Determination sets out </w:t>
      </w:r>
      <w:r w:rsidR="00693061">
        <w:rPr>
          <w:rFonts w:ascii="Times New Roman" w:hAnsi="Times New Roman"/>
          <w:color w:val="000000"/>
        </w:rPr>
        <w:t xml:space="preserve">limited </w:t>
      </w:r>
      <w:r>
        <w:rPr>
          <w:rFonts w:ascii="Times New Roman" w:hAnsi="Times New Roman"/>
          <w:color w:val="000000"/>
        </w:rPr>
        <w:t xml:space="preserve">circumstances in which </w:t>
      </w:r>
      <w:r w:rsidR="00693061">
        <w:rPr>
          <w:rFonts w:ascii="Times New Roman" w:hAnsi="Times New Roman"/>
          <w:color w:val="000000"/>
        </w:rPr>
        <w:t>it is not considered reasonable for a</w:t>
      </w:r>
      <w:r>
        <w:rPr>
          <w:rFonts w:ascii="Times New Roman" w:hAnsi="Times New Roman"/>
          <w:color w:val="000000"/>
        </w:rPr>
        <w:t xml:space="preserve"> primary universal service provider to provide a standard telephone service under the Universal Service Obligation (USO) and requirements for a valid request.</w:t>
      </w:r>
    </w:p>
    <w:p w14:paraId="30CA5BE1" w14:textId="77777777" w:rsidR="00615E4D" w:rsidRDefault="00615E4D" w:rsidP="00615E4D">
      <w:pPr>
        <w:shd w:val="clear" w:color="auto" w:fill="FFFFFF"/>
        <w:spacing w:after="0"/>
        <w:rPr>
          <w:rFonts w:ascii="Times New Roman" w:hAnsi="Times New Roman"/>
          <w:color w:val="000000"/>
        </w:rPr>
      </w:pPr>
    </w:p>
    <w:p w14:paraId="5E338C92" w14:textId="131D8FE4" w:rsidR="00615E4D" w:rsidRDefault="00615E4D" w:rsidP="00615E4D">
      <w:pPr>
        <w:shd w:val="clear" w:color="auto" w:fill="FFFFFF"/>
        <w:spacing w:after="0"/>
        <w:rPr>
          <w:rFonts w:ascii="Times New Roman" w:hAnsi="Times New Roman"/>
          <w:color w:val="000000"/>
        </w:rPr>
      </w:pPr>
      <w:r>
        <w:rPr>
          <w:rFonts w:ascii="Times New Roman" w:hAnsi="Times New Roman"/>
          <w:color w:val="000000"/>
          <w:shd w:val="clear" w:color="auto" w:fill="FFFFFF"/>
        </w:rPr>
        <w:t xml:space="preserve">This Determination is a </w:t>
      </w:r>
      <w:r w:rsidR="001D4488">
        <w:rPr>
          <w:rFonts w:ascii="Times New Roman" w:hAnsi="Times New Roman"/>
          <w:color w:val="000000"/>
          <w:shd w:val="clear" w:color="auto" w:fill="FFFFFF"/>
        </w:rPr>
        <w:t xml:space="preserve">disallowable </w:t>
      </w:r>
      <w:r>
        <w:rPr>
          <w:rFonts w:ascii="Times New Roman" w:hAnsi="Times New Roman"/>
          <w:color w:val="000000"/>
          <w:shd w:val="clear" w:color="auto" w:fill="FFFFFF"/>
        </w:rPr>
        <w:t>legislative instrument for the purposes of the </w:t>
      </w:r>
      <w:r>
        <w:rPr>
          <w:rFonts w:ascii="Times New Roman" w:hAnsi="Times New Roman"/>
          <w:i/>
          <w:iCs/>
          <w:color w:val="000000"/>
          <w:shd w:val="clear" w:color="auto" w:fill="FFFFFF"/>
        </w:rPr>
        <w:t>Legislation Act 2003</w:t>
      </w:r>
      <w:r>
        <w:rPr>
          <w:rFonts w:ascii="Times New Roman" w:hAnsi="Times New Roman"/>
          <w:color w:val="000000"/>
          <w:shd w:val="clear" w:color="auto" w:fill="FFFFFF"/>
        </w:rPr>
        <w:t> and will be repealed automatically (or ‘sunset’) approximately 10 years after being registered. This provides certainty for stakeholders. As is the case with all legislative instruments, this Determination may be further amended or otherwise repealed in the future if further consideration of issues raised shows that is desirable, noting that this would necessarily involve further stakeholder consultation.</w:t>
      </w:r>
    </w:p>
    <w:p w14:paraId="7AA4A1F7" w14:textId="77777777" w:rsidR="00615E4D" w:rsidRDefault="00615E4D" w:rsidP="00615E4D">
      <w:pPr>
        <w:shd w:val="clear" w:color="auto" w:fill="FFFFFF"/>
        <w:spacing w:before="240"/>
        <w:rPr>
          <w:rFonts w:ascii="Times New Roman" w:hAnsi="Times New Roman"/>
          <w:color w:val="000000"/>
        </w:rPr>
      </w:pPr>
      <w:r>
        <w:rPr>
          <w:rFonts w:ascii="Times New Roman" w:hAnsi="Times New Roman"/>
          <w:color w:val="000000"/>
          <w:u w:val="single"/>
        </w:rPr>
        <w:t>Background</w:t>
      </w:r>
    </w:p>
    <w:p w14:paraId="20DB13BF" w14:textId="33925744" w:rsidR="00615E4D" w:rsidRDefault="00615E4D" w:rsidP="00615E4D">
      <w:pPr>
        <w:shd w:val="clear" w:color="auto" w:fill="FFFFFF"/>
        <w:spacing w:after="0"/>
        <w:rPr>
          <w:rFonts w:ascii="Times New Roman" w:hAnsi="Times New Roman"/>
          <w:color w:val="000000"/>
        </w:rPr>
      </w:pPr>
      <w:r>
        <w:rPr>
          <w:rFonts w:ascii="Times New Roman" w:hAnsi="Times New Roman"/>
          <w:color w:val="000000"/>
        </w:rPr>
        <w:t xml:space="preserve">Subsection 9(1)(a) of the Act provides that part of the USO is to ensure that </w:t>
      </w:r>
      <w:r w:rsidR="00343DC1">
        <w:rPr>
          <w:rFonts w:ascii="Times New Roman" w:hAnsi="Times New Roman"/>
          <w:color w:val="000000"/>
        </w:rPr>
        <w:t xml:space="preserve">a </w:t>
      </w:r>
      <w:r>
        <w:rPr>
          <w:rFonts w:ascii="Times New Roman" w:hAnsi="Times New Roman"/>
          <w:color w:val="000000"/>
        </w:rPr>
        <w:t xml:space="preserve">standard telephone service </w:t>
      </w:r>
      <w:r w:rsidR="00343DC1">
        <w:rPr>
          <w:rFonts w:ascii="Times New Roman" w:hAnsi="Times New Roman"/>
          <w:color w:val="000000"/>
        </w:rPr>
        <w:t xml:space="preserve">is </w:t>
      </w:r>
      <w:r>
        <w:rPr>
          <w:rFonts w:ascii="Times New Roman" w:hAnsi="Times New Roman"/>
          <w:color w:val="000000"/>
        </w:rPr>
        <w:t>reasonably accessible to all people in Australia on an equitable basis, wherever they reside or carry on business.</w:t>
      </w:r>
      <w:r w:rsidR="00693061">
        <w:rPr>
          <w:rFonts w:ascii="Times New Roman" w:hAnsi="Times New Roman"/>
          <w:color w:val="000000"/>
        </w:rPr>
        <w:t xml:space="preserve"> </w:t>
      </w:r>
      <w:r>
        <w:rPr>
          <w:rFonts w:ascii="Times New Roman" w:hAnsi="Times New Roman"/>
          <w:color w:val="000000"/>
        </w:rPr>
        <w:t xml:space="preserve">Subsection 9(2) of the Act requires the primary universal service provider to supply </w:t>
      </w:r>
      <w:r w:rsidR="00343DC1">
        <w:rPr>
          <w:rFonts w:ascii="Times New Roman" w:hAnsi="Times New Roman"/>
          <w:color w:val="000000"/>
        </w:rPr>
        <w:t xml:space="preserve">a </w:t>
      </w:r>
      <w:r>
        <w:rPr>
          <w:rFonts w:ascii="Times New Roman" w:hAnsi="Times New Roman"/>
          <w:color w:val="000000"/>
        </w:rPr>
        <w:t>standard telephone servic</w:t>
      </w:r>
      <w:r w:rsidR="00343DC1">
        <w:rPr>
          <w:rFonts w:ascii="Times New Roman" w:hAnsi="Times New Roman"/>
          <w:color w:val="000000"/>
        </w:rPr>
        <w:t>e</w:t>
      </w:r>
      <w:r>
        <w:rPr>
          <w:rFonts w:ascii="Times New Roman" w:hAnsi="Times New Roman"/>
          <w:color w:val="000000"/>
        </w:rPr>
        <w:t xml:space="preserve"> to people on request.</w:t>
      </w:r>
    </w:p>
    <w:p w14:paraId="0F9159C9" w14:textId="77777777" w:rsidR="00615E4D" w:rsidRDefault="00615E4D" w:rsidP="00615E4D">
      <w:pPr>
        <w:shd w:val="clear" w:color="auto" w:fill="FFFFFF"/>
        <w:spacing w:after="0"/>
        <w:rPr>
          <w:rFonts w:ascii="Times New Roman" w:hAnsi="Times New Roman"/>
          <w:color w:val="000000"/>
        </w:rPr>
      </w:pPr>
      <w:r>
        <w:rPr>
          <w:rFonts w:ascii="Times New Roman" w:hAnsi="Times New Roman"/>
          <w:color w:val="000000"/>
        </w:rPr>
        <w:t> </w:t>
      </w:r>
    </w:p>
    <w:p w14:paraId="235C7B4C" w14:textId="2A2DA09F" w:rsidR="00615E4D" w:rsidRDefault="00615E4D" w:rsidP="00615E4D">
      <w:pPr>
        <w:shd w:val="clear" w:color="auto" w:fill="FFFFFF"/>
        <w:spacing w:after="0"/>
        <w:rPr>
          <w:rFonts w:ascii="Times New Roman" w:hAnsi="Times New Roman"/>
          <w:color w:val="000000"/>
        </w:rPr>
      </w:pPr>
      <w:r>
        <w:rPr>
          <w:rFonts w:ascii="Times New Roman" w:hAnsi="Times New Roman"/>
          <w:color w:val="000000"/>
        </w:rPr>
        <w:t>Subsection 9(2D) of the Act enables the Minister, by legislative instrument to determine requirements for requests for a standard telephone service such as the form of the request or information to be provided in a request.</w:t>
      </w:r>
      <w:r w:rsidR="00693061">
        <w:rPr>
          <w:rFonts w:ascii="Times New Roman" w:hAnsi="Times New Roman"/>
          <w:color w:val="000000"/>
        </w:rPr>
        <w:t xml:space="preserve"> </w:t>
      </w:r>
      <w:r>
        <w:rPr>
          <w:rFonts w:ascii="Times New Roman" w:hAnsi="Times New Roman"/>
          <w:color w:val="000000"/>
        </w:rPr>
        <w:t>Subsection 9(3) of the Act enables the Minister to determine circumstances under which an obligation to supply a standard telephone service under the USO does not arise.</w:t>
      </w:r>
    </w:p>
    <w:p w14:paraId="37461FD9" w14:textId="77777777" w:rsidR="001D4488" w:rsidRDefault="001D4488" w:rsidP="00615E4D">
      <w:pPr>
        <w:shd w:val="clear" w:color="auto" w:fill="FFFFFF"/>
        <w:spacing w:after="0"/>
        <w:rPr>
          <w:rFonts w:ascii="Times New Roman" w:hAnsi="Times New Roman"/>
          <w:color w:val="000000"/>
        </w:rPr>
      </w:pPr>
    </w:p>
    <w:p w14:paraId="006403EB" w14:textId="77777777" w:rsidR="00693061" w:rsidRDefault="00615E4D" w:rsidP="004F1A12">
      <w:pPr>
        <w:shd w:val="clear" w:color="auto" w:fill="FFFFFF"/>
        <w:spacing w:after="0"/>
        <w:rPr>
          <w:rFonts w:ascii="Times New Roman" w:hAnsi="Times New Roman"/>
          <w:color w:val="000000"/>
        </w:rPr>
      </w:pPr>
      <w:r>
        <w:rPr>
          <w:rFonts w:ascii="Times New Roman" w:hAnsi="Times New Roman"/>
        </w:rPr>
        <w:t xml:space="preserve">The </w:t>
      </w:r>
      <w:r w:rsidR="004F1A12">
        <w:rPr>
          <w:rFonts w:ascii="Times New Roman" w:hAnsi="Times New Roman"/>
        </w:rPr>
        <w:t xml:space="preserve">Determination replaces the </w:t>
      </w:r>
      <w:r>
        <w:rPr>
          <w:rFonts w:ascii="Times New Roman" w:hAnsi="Times New Roman"/>
          <w:i/>
        </w:rPr>
        <w:t xml:space="preserve">Telecommunications Universal Obligation (Standard Telephone Service – Requirements and Circumstances) Determination (No. 1) 2011 </w:t>
      </w:r>
      <w:r w:rsidR="004F1A12">
        <w:rPr>
          <w:rFonts w:ascii="Times New Roman" w:hAnsi="Times New Roman"/>
        </w:rPr>
        <w:t>(the 2011 Determination)</w:t>
      </w:r>
      <w:r w:rsidR="00693061">
        <w:rPr>
          <w:rFonts w:ascii="Times New Roman" w:hAnsi="Times New Roman"/>
        </w:rPr>
        <w:t xml:space="preserve"> that was made under </w:t>
      </w:r>
      <w:r w:rsidR="00693061">
        <w:rPr>
          <w:rFonts w:ascii="Times New Roman" w:hAnsi="Times New Roman"/>
          <w:color w:val="000000"/>
        </w:rPr>
        <w:t>subsections 9(2D) and 9(3) of the Act</w:t>
      </w:r>
      <w:r>
        <w:rPr>
          <w:rFonts w:ascii="Times New Roman" w:hAnsi="Times New Roman"/>
        </w:rPr>
        <w:t xml:space="preserve">. </w:t>
      </w:r>
      <w:r w:rsidR="004F1A12">
        <w:rPr>
          <w:rFonts w:ascii="Times New Roman" w:hAnsi="Times New Roman"/>
        </w:rPr>
        <w:t xml:space="preserve">The 2011 Determination </w:t>
      </w:r>
      <w:r>
        <w:rPr>
          <w:rFonts w:ascii="Times New Roman" w:hAnsi="Times New Roman"/>
        </w:rPr>
        <w:t xml:space="preserve">was due to sunset on 1 April 2021, but its sunsetting was deferred to 1 April </w:t>
      </w:r>
      <w:r>
        <w:rPr>
          <w:rFonts w:ascii="Times New Roman" w:hAnsi="Times New Roman"/>
        </w:rPr>
        <w:lastRenderedPageBreak/>
        <w:t>2023</w:t>
      </w:r>
      <w:r>
        <w:rPr>
          <w:rStyle w:val="FootnoteReference"/>
          <w:rFonts w:ascii="Times New Roman" w:hAnsi="Times New Roman"/>
        </w:rPr>
        <w:footnoteReference w:id="2"/>
      </w:r>
      <w:r>
        <w:rPr>
          <w:rFonts w:ascii="Times New Roman" w:hAnsi="Times New Roman"/>
        </w:rPr>
        <w:t>.</w:t>
      </w:r>
      <w:r w:rsidR="004F1A12">
        <w:rPr>
          <w:rFonts w:ascii="Times New Roman" w:hAnsi="Times New Roman"/>
        </w:rPr>
        <w:t xml:space="preserve"> This </w:t>
      </w:r>
      <w:r>
        <w:rPr>
          <w:rFonts w:ascii="Times New Roman" w:hAnsi="Times New Roman"/>
          <w:color w:val="000000"/>
        </w:rPr>
        <w:t xml:space="preserve">Determination </w:t>
      </w:r>
      <w:r w:rsidR="00693061">
        <w:rPr>
          <w:rFonts w:ascii="Times New Roman" w:hAnsi="Times New Roman"/>
          <w:color w:val="000000"/>
        </w:rPr>
        <w:t xml:space="preserve">continues to </w:t>
      </w:r>
      <w:r>
        <w:rPr>
          <w:rFonts w:ascii="Times New Roman" w:hAnsi="Times New Roman"/>
          <w:color w:val="000000"/>
        </w:rPr>
        <w:t>reflect</w:t>
      </w:r>
      <w:r w:rsidR="004F1A12">
        <w:rPr>
          <w:rFonts w:ascii="Times New Roman" w:hAnsi="Times New Roman"/>
          <w:color w:val="000000"/>
        </w:rPr>
        <w:t>s</w:t>
      </w:r>
      <w:r>
        <w:rPr>
          <w:rFonts w:ascii="Times New Roman" w:hAnsi="Times New Roman"/>
          <w:color w:val="000000"/>
        </w:rPr>
        <w:t xml:space="preserve"> the arrangements set out in the 2011 Determination with minor changes</w:t>
      </w:r>
      <w:r w:rsidR="004F1A12">
        <w:rPr>
          <w:rFonts w:ascii="Times New Roman" w:hAnsi="Times New Roman"/>
          <w:color w:val="000000"/>
        </w:rPr>
        <w:t xml:space="preserve">. </w:t>
      </w:r>
    </w:p>
    <w:p w14:paraId="7AACCC64" w14:textId="77777777" w:rsidR="00693061" w:rsidRDefault="00693061" w:rsidP="004F1A12">
      <w:pPr>
        <w:shd w:val="clear" w:color="auto" w:fill="FFFFFF"/>
        <w:spacing w:after="0"/>
        <w:rPr>
          <w:rFonts w:ascii="Times New Roman" w:hAnsi="Times New Roman"/>
        </w:rPr>
      </w:pPr>
    </w:p>
    <w:p w14:paraId="2D4AE0C7" w14:textId="17F705F8" w:rsidR="00615E4D" w:rsidRDefault="004F1A12" w:rsidP="004F1A12">
      <w:pPr>
        <w:shd w:val="clear" w:color="auto" w:fill="FFFFFF"/>
        <w:spacing w:after="0"/>
        <w:rPr>
          <w:rFonts w:ascii="Times New Roman" w:hAnsi="Times New Roman"/>
          <w:color w:val="000000"/>
        </w:rPr>
      </w:pPr>
      <w:r w:rsidRPr="004F1A12">
        <w:rPr>
          <w:rFonts w:ascii="Times New Roman" w:hAnsi="Times New Roman"/>
        </w:rPr>
        <w:t>The 2011 Determination was originally made as the primary universal service provider otherwise had wide discretion to make decisions on the extent and manner in which it fulfilled the USO through its Universal Service Policy document and Standard Marketing Plan. As a result</w:t>
      </w:r>
      <w:r>
        <w:rPr>
          <w:rFonts w:ascii="Times New Roman" w:hAnsi="Times New Roman"/>
        </w:rPr>
        <w:t>,</w:t>
      </w:r>
      <w:r w:rsidRPr="004F1A12">
        <w:rPr>
          <w:rFonts w:ascii="Times New Roman" w:hAnsi="Times New Roman"/>
        </w:rPr>
        <w:t xml:space="preserve"> the universal service provider was only required to make reasonable endeavours to supply a service and had discretion in decision making on a case by case basis. The business practices embedded in the practical operation of these policies were not transparent and consumers had difficulty in understanding what the universal service provider was required to do.</w:t>
      </w:r>
      <w:r>
        <w:rPr>
          <w:rFonts w:ascii="Times New Roman" w:hAnsi="Times New Roman"/>
        </w:rPr>
        <w:t xml:space="preserve"> The Determination </w:t>
      </w:r>
      <w:r w:rsidR="00615E4D">
        <w:rPr>
          <w:rFonts w:ascii="Times New Roman" w:hAnsi="Times New Roman"/>
          <w:color w:val="000000"/>
        </w:rPr>
        <w:t xml:space="preserve">will </w:t>
      </w:r>
      <w:r>
        <w:rPr>
          <w:rFonts w:ascii="Times New Roman" w:hAnsi="Times New Roman"/>
          <w:color w:val="000000"/>
        </w:rPr>
        <w:t xml:space="preserve">therefore </w:t>
      </w:r>
      <w:r w:rsidR="00615E4D">
        <w:rPr>
          <w:rFonts w:ascii="Times New Roman" w:hAnsi="Times New Roman"/>
          <w:color w:val="000000"/>
        </w:rPr>
        <w:t xml:space="preserve">continue to provide important clarity for the </w:t>
      </w:r>
      <w:r w:rsidR="004A4F56">
        <w:rPr>
          <w:rFonts w:ascii="Times New Roman" w:hAnsi="Times New Roman"/>
          <w:color w:val="000000"/>
        </w:rPr>
        <w:t xml:space="preserve">community, the primary universal service provider, the </w:t>
      </w:r>
      <w:r w:rsidR="00615E4D">
        <w:rPr>
          <w:rFonts w:ascii="Times New Roman" w:hAnsi="Times New Roman"/>
          <w:color w:val="000000"/>
        </w:rPr>
        <w:t xml:space="preserve">Australian Communications and Media Authority (ACMA), </w:t>
      </w:r>
      <w:r w:rsidR="004A4F56">
        <w:rPr>
          <w:rFonts w:ascii="Times New Roman" w:hAnsi="Times New Roman"/>
          <w:color w:val="000000"/>
        </w:rPr>
        <w:t xml:space="preserve">the </w:t>
      </w:r>
      <w:r w:rsidR="00615E4D">
        <w:rPr>
          <w:rFonts w:ascii="Times New Roman" w:hAnsi="Times New Roman"/>
          <w:color w:val="000000"/>
        </w:rPr>
        <w:t>Telecommunications Industry Ombudsman</w:t>
      </w:r>
      <w:r w:rsidR="001247EA">
        <w:rPr>
          <w:rFonts w:ascii="Times New Roman" w:hAnsi="Times New Roman"/>
          <w:color w:val="000000"/>
        </w:rPr>
        <w:t xml:space="preserve"> (TIO)</w:t>
      </w:r>
      <w:r w:rsidR="00615E4D">
        <w:rPr>
          <w:rFonts w:ascii="Times New Roman" w:hAnsi="Times New Roman"/>
          <w:color w:val="000000"/>
        </w:rPr>
        <w:t xml:space="preserve"> and other stakeholders.</w:t>
      </w:r>
    </w:p>
    <w:p w14:paraId="2C9E064A" w14:textId="3FC81AB0" w:rsidR="00615E4D" w:rsidRDefault="00615E4D" w:rsidP="00615E4D">
      <w:pPr>
        <w:shd w:val="clear" w:color="auto" w:fill="FFFFFF"/>
        <w:spacing w:after="0"/>
        <w:rPr>
          <w:rFonts w:ascii="Times New Roman" w:hAnsi="Times New Roman"/>
        </w:rPr>
      </w:pPr>
      <w:r>
        <w:rPr>
          <w:rFonts w:ascii="Times New Roman" w:hAnsi="Times New Roman"/>
          <w:color w:val="000000"/>
        </w:rPr>
        <w:br/>
      </w:r>
      <w:r>
        <w:rPr>
          <w:rFonts w:ascii="Times New Roman" w:hAnsi="Times New Roman"/>
        </w:rPr>
        <w:t>While the Determination deals with requirements for requests and exceptions to the USO requirements, the USO framework as a whole is designed to promote access to the STS. As a general principle, the primary universal service provider is expected to respond positively to requests received for STS, and to take all reasonable steps to facilitate such requests. Accordingly, the Determination sets out limited and distinct circumstances where exceptions to USO obligations might arise, and sets out specific kinds of structures where the primary universal service provider is not reasonably expected to provide STS.</w:t>
      </w:r>
    </w:p>
    <w:p w14:paraId="7E0AA505" w14:textId="7969B762" w:rsidR="00EC559A" w:rsidRDefault="00EC559A" w:rsidP="00615E4D">
      <w:pPr>
        <w:shd w:val="clear" w:color="auto" w:fill="FFFFFF"/>
        <w:spacing w:after="0"/>
        <w:rPr>
          <w:rFonts w:ascii="Times New Roman" w:hAnsi="Times New Roman"/>
        </w:rPr>
      </w:pPr>
    </w:p>
    <w:p w14:paraId="67AD337E" w14:textId="49946330" w:rsidR="00EC559A" w:rsidRPr="004A4F56" w:rsidRDefault="00EC559A" w:rsidP="00615E4D">
      <w:pPr>
        <w:shd w:val="clear" w:color="auto" w:fill="FFFFFF"/>
        <w:spacing w:after="0"/>
        <w:rPr>
          <w:rFonts w:ascii="Times New Roman" w:hAnsi="Times New Roman"/>
          <w:color w:val="000000"/>
        </w:rPr>
      </w:pPr>
      <w:r>
        <w:rPr>
          <w:rFonts w:ascii="Times New Roman" w:hAnsi="Times New Roman"/>
          <w:color w:val="000000"/>
        </w:rPr>
        <w:t xml:space="preserve">When </w:t>
      </w:r>
      <w:r w:rsidRPr="00250AE0">
        <w:rPr>
          <w:rFonts w:ascii="Times New Roman" w:hAnsi="Times New Roman"/>
          <w:color w:val="000000"/>
        </w:rPr>
        <w:t xml:space="preserve">interpreting the provisions of the Determination, regard should be had to the objects of Part 2 of the Act. The objects of Part 2 are set out in section 8A of the Act and include giving effect to the policy principle that all people in Australia, wherever they reside or carry on business, should have reasonable access, on an equitable basis, to </w:t>
      </w:r>
      <w:r w:rsidR="00D8070D">
        <w:rPr>
          <w:rFonts w:ascii="Times New Roman" w:hAnsi="Times New Roman"/>
          <w:color w:val="000000"/>
        </w:rPr>
        <w:t xml:space="preserve">a </w:t>
      </w:r>
      <w:r w:rsidRPr="00250AE0">
        <w:rPr>
          <w:rFonts w:ascii="Times New Roman" w:hAnsi="Times New Roman"/>
          <w:color w:val="000000"/>
        </w:rPr>
        <w:t>standard telephone service</w:t>
      </w:r>
      <w:r w:rsidR="00343DC1">
        <w:rPr>
          <w:rFonts w:ascii="Times New Roman" w:hAnsi="Times New Roman"/>
          <w:color w:val="000000"/>
        </w:rPr>
        <w:t>.</w:t>
      </w:r>
    </w:p>
    <w:p w14:paraId="45839873" w14:textId="77777777" w:rsidR="00615E4D" w:rsidRDefault="00615E4D" w:rsidP="00615E4D">
      <w:pPr>
        <w:shd w:val="clear" w:color="auto" w:fill="FFFFFF"/>
        <w:spacing w:after="0"/>
        <w:rPr>
          <w:rFonts w:ascii="Times New Roman" w:hAnsi="Times New Roman"/>
          <w:color w:val="000000"/>
        </w:rPr>
      </w:pPr>
      <w:r>
        <w:rPr>
          <w:rFonts w:ascii="Times New Roman" w:hAnsi="Times New Roman"/>
          <w:color w:val="000000"/>
        </w:rPr>
        <w:t> </w:t>
      </w:r>
    </w:p>
    <w:p w14:paraId="647C45AC" w14:textId="77777777" w:rsidR="00615E4D" w:rsidRDefault="00615E4D" w:rsidP="00615E4D">
      <w:pPr>
        <w:keepNext/>
        <w:keepLines/>
        <w:spacing w:line="276" w:lineRule="auto"/>
        <w:rPr>
          <w:rFonts w:ascii="Times New Roman" w:hAnsi="Times New Roman"/>
          <w:u w:val="single"/>
        </w:rPr>
      </w:pPr>
      <w:r>
        <w:rPr>
          <w:rFonts w:ascii="Times New Roman" w:hAnsi="Times New Roman"/>
          <w:u w:val="single"/>
        </w:rPr>
        <w:t>Consultation</w:t>
      </w:r>
    </w:p>
    <w:p w14:paraId="0E89C5C8" w14:textId="77777777" w:rsidR="00615E4D" w:rsidRDefault="00615E4D" w:rsidP="00615E4D">
      <w:pPr>
        <w:keepNext/>
        <w:keepLines/>
        <w:spacing w:before="100" w:beforeAutospacing="1" w:after="100" w:afterAutospacing="1" w:line="276" w:lineRule="auto"/>
        <w:rPr>
          <w:rFonts w:ascii="Times New Roman" w:hAnsi="Times New Roman"/>
          <w:bCs/>
        </w:rPr>
      </w:pPr>
      <w:r>
        <w:rPr>
          <w:rFonts w:ascii="Times New Roman" w:hAnsi="Times New Roman"/>
          <w:bCs/>
          <w:highlight w:val="lightGray"/>
        </w:rPr>
        <w:t>Note: This section will be finalised subject to stakeholder views</w:t>
      </w:r>
      <w:r>
        <w:rPr>
          <w:rFonts w:ascii="Times New Roman" w:hAnsi="Times New Roman"/>
          <w:bCs/>
        </w:rPr>
        <w:t xml:space="preserve"> </w:t>
      </w:r>
    </w:p>
    <w:p w14:paraId="56754B84" w14:textId="77777777" w:rsidR="00615E4D" w:rsidRDefault="00615E4D" w:rsidP="00615E4D">
      <w:pPr>
        <w:keepNext/>
        <w:keepLines/>
        <w:spacing w:before="100" w:beforeAutospacing="1" w:after="100" w:afterAutospacing="1"/>
        <w:rPr>
          <w:rFonts w:ascii="Times New Roman" w:hAnsi="Times New Roman"/>
          <w:bCs/>
          <w:u w:val="single"/>
        </w:rPr>
      </w:pPr>
      <w:r>
        <w:rPr>
          <w:rFonts w:ascii="Times New Roman" w:hAnsi="Times New Roman"/>
          <w:bCs/>
          <w:u w:val="single"/>
        </w:rPr>
        <w:t>Regulatory Impact Statement</w:t>
      </w:r>
    </w:p>
    <w:p w14:paraId="6CDEFA31" w14:textId="37D0D5CE" w:rsidR="00615E4D" w:rsidRDefault="00615E4D" w:rsidP="00615E4D">
      <w:pPr>
        <w:keepNext/>
        <w:keepLines/>
        <w:spacing w:before="100" w:beforeAutospacing="1" w:after="100" w:afterAutospacing="1"/>
        <w:rPr>
          <w:rFonts w:ascii="Times New Roman" w:hAnsi="Times New Roman"/>
        </w:rPr>
      </w:pPr>
      <w:r>
        <w:rPr>
          <w:rFonts w:ascii="Times New Roman" w:hAnsi="Times New Roman"/>
          <w:highlight w:val="lightGray"/>
        </w:rPr>
        <w:t>Note: The need for a regulatory impact statement will be confirmed with the Office of Best Practice Regulation (OBPR) following stakeholder consultation and before any final determ</w:t>
      </w:r>
      <w:r w:rsidR="0073270D">
        <w:rPr>
          <w:rFonts w:ascii="Times New Roman" w:hAnsi="Times New Roman"/>
          <w:highlight w:val="lightGray"/>
        </w:rPr>
        <w:t>in</w:t>
      </w:r>
      <w:r>
        <w:rPr>
          <w:rFonts w:ascii="Times New Roman" w:hAnsi="Times New Roman"/>
          <w:highlight w:val="lightGray"/>
        </w:rPr>
        <w:t>ation is made.</w:t>
      </w:r>
      <w:r>
        <w:rPr>
          <w:rFonts w:ascii="Times New Roman" w:hAnsi="Times New Roman"/>
        </w:rPr>
        <w:t xml:space="preserve"> </w:t>
      </w:r>
    </w:p>
    <w:p w14:paraId="41311194" w14:textId="77777777" w:rsidR="00615E4D" w:rsidRDefault="00615E4D" w:rsidP="00615E4D">
      <w:pPr>
        <w:keepNext/>
        <w:keepLines/>
        <w:spacing w:before="100" w:beforeAutospacing="1" w:after="100" w:afterAutospacing="1"/>
        <w:rPr>
          <w:rFonts w:ascii="Times New Roman" w:hAnsi="Times New Roman"/>
          <w:bCs/>
          <w:u w:val="single"/>
        </w:rPr>
      </w:pPr>
      <w:r>
        <w:rPr>
          <w:rFonts w:ascii="Times New Roman" w:hAnsi="Times New Roman"/>
          <w:bCs/>
          <w:u w:val="single"/>
        </w:rPr>
        <w:t>Statement of compatibility with human rights</w:t>
      </w:r>
    </w:p>
    <w:p w14:paraId="19D00523" w14:textId="77777777" w:rsidR="004F1A12" w:rsidRDefault="00615E4D" w:rsidP="004F1A12">
      <w:pPr>
        <w:spacing w:before="100" w:beforeAutospacing="1" w:after="100" w:afterAutospacing="1"/>
        <w:rPr>
          <w:rFonts w:ascii="Times New Roman" w:hAnsi="Times New Roman"/>
        </w:rPr>
      </w:pPr>
      <w:r>
        <w:rPr>
          <w:rFonts w:ascii="Times New Roman" w:hAnsi="Times New Roman"/>
        </w:rPr>
        <w:t xml:space="preserve">A statement of compatibility with human rights for the purposes of Part 3 of the </w:t>
      </w:r>
      <w:r>
        <w:rPr>
          <w:rFonts w:ascii="Times New Roman" w:hAnsi="Times New Roman"/>
          <w:i/>
        </w:rPr>
        <w:t xml:space="preserve">Human Rights (Parliamentary Scrutiny) Act 2011 </w:t>
      </w:r>
      <w:r>
        <w:rPr>
          <w:rFonts w:ascii="Times New Roman" w:hAnsi="Times New Roman"/>
        </w:rPr>
        <w:t xml:space="preserve">is set out at </w:t>
      </w:r>
      <w:r>
        <w:rPr>
          <w:rFonts w:ascii="Times New Roman" w:hAnsi="Times New Roman"/>
          <w:u w:val="single"/>
        </w:rPr>
        <w:t>Attachment B</w:t>
      </w:r>
      <w:r>
        <w:rPr>
          <w:rFonts w:ascii="Times New Roman" w:hAnsi="Times New Roman"/>
        </w:rPr>
        <w:t>.</w:t>
      </w:r>
    </w:p>
    <w:p w14:paraId="323B8A6A" w14:textId="77777777" w:rsidR="004F1A12" w:rsidRDefault="004F1A12">
      <w:pPr>
        <w:spacing w:after="160" w:line="259" w:lineRule="auto"/>
        <w:rPr>
          <w:rFonts w:ascii="Times New Roman" w:hAnsi="Times New Roman"/>
        </w:rPr>
      </w:pPr>
      <w:r>
        <w:rPr>
          <w:rFonts w:ascii="Times New Roman" w:hAnsi="Times New Roman"/>
        </w:rPr>
        <w:br w:type="page"/>
      </w:r>
    </w:p>
    <w:p w14:paraId="678C6CEF" w14:textId="5C61E282" w:rsidR="00E42F3E" w:rsidRPr="00592BCC" w:rsidRDefault="00E42F3E" w:rsidP="004F1A12">
      <w:pPr>
        <w:spacing w:before="100" w:beforeAutospacing="1" w:after="100" w:afterAutospacing="1"/>
        <w:jc w:val="right"/>
        <w:rPr>
          <w:rFonts w:ascii="Times New Roman" w:hAnsi="Times New Roman"/>
          <w:b/>
          <w:sz w:val="28"/>
          <w:szCs w:val="28"/>
        </w:rPr>
      </w:pPr>
      <w:r w:rsidRPr="00592BCC">
        <w:rPr>
          <w:rFonts w:ascii="Times New Roman" w:hAnsi="Times New Roman"/>
          <w:b/>
          <w:sz w:val="28"/>
          <w:szCs w:val="28"/>
        </w:rPr>
        <w:lastRenderedPageBreak/>
        <w:t>Attachment A</w:t>
      </w:r>
    </w:p>
    <w:p w14:paraId="48833EC2" w14:textId="6347185E" w:rsidR="009A4F8A" w:rsidRPr="00250AE0" w:rsidRDefault="00E42F3E" w:rsidP="00D906CB">
      <w:pPr>
        <w:pStyle w:val="ShortT"/>
        <w:rPr>
          <w:color w:val="000000"/>
        </w:rPr>
      </w:pPr>
      <w:r w:rsidRPr="00F83487">
        <w:rPr>
          <w:i/>
          <w:sz w:val="28"/>
          <w:szCs w:val="28"/>
          <w:u w:val="single"/>
        </w:rPr>
        <w:t xml:space="preserve">Details of the Telecommunications Universal Obligation (Standard Telephone Service – Requirements and Circumstances) Determination 2022 </w:t>
      </w:r>
    </w:p>
    <w:p w14:paraId="6E0B686C" w14:textId="77777777" w:rsidR="009A4F8A" w:rsidRPr="00250AE0" w:rsidRDefault="009A4F8A" w:rsidP="009A4F8A">
      <w:pPr>
        <w:shd w:val="clear" w:color="auto" w:fill="FFFFFF"/>
        <w:spacing w:before="400" w:after="120" w:line="299" w:lineRule="atLeast"/>
        <w:ind w:left="360" w:hanging="360"/>
        <w:rPr>
          <w:rFonts w:ascii="Times" w:hAnsi="Times" w:cs="Times"/>
          <w:b/>
          <w:bCs/>
          <w:color w:val="000000"/>
          <w:sz w:val="26"/>
          <w:szCs w:val="26"/>
        </w:rPr>
      </w:pPr>
      <w:r w:rsidRPr="00250AE0">
        <w:rPr>
          <w:rFonts w:ascii="Times New Roman" w:hAnsi="Times New Roman"/>
          <w:b/>
          <w:bCs/>
          <w:color w:val="000000"/>
        </w:rPr>
        <w:t>1</w:t>
      </w:r>
      <w:r w:rsidRPr="00250AE0">
        <w:rPr>
          <w:rFonts w:ascii="Times New Roman" w:hAnsi="Times New Roman"/>
          <w:b/>
          <w:bCs/>
          <w:color w:val="000000"/>
          <w:sz w:val="14"/>
          <w:szCs w:val="14"/>
        </w:rPr>
        <w:t>        </w:t>
      </w:r>
      <w:r w:rsidRPr="00250AE0">
        <w:rPr>
          <w:rFonts w:ascii="Times New Roman" w:hAnsi="Times New Roman"/>
          <w:b/>
          <w:bCs/>
          <w:color w:val="000000"/>
        </w:rPr>
        <w:t>Name of instrument</w:t>
      </w:r>
    </w:p>
    <w:p w14:paraId="46B1F02B" w14:textId="50771063" w:rsidR="009A4F8A" w:rsidRPr="00250AE0" w:rsidRDefault="009A4F8A" w:rsidP="009A4F8A">
      <w:pPr>
        <w:shd w:val="clear" w:color="auto" w:fill="FFFFFF"/>
        <w:spacing w:before="120" w:after="120" w:line="276" w:lineRule="atLeast"/>
        <w:ind w:left="567"/>
        <w:rPr>
          <w:rFonts w:ascii="Times New Roman" w:hAnsi="Times New Roman"/>
          <w:color w:val="000000"/>
        </w:rPr>
      </w:pPr>
      <w:r w:rsidRPr="00250AE0">
        <w:rPr>
          <w:rFonts w:ascii="Times New Roman" w:hAnsi="Times New Roman"/>
          <w:color w:val="000000"/>
        </w:rPr>
        <w:t>Section 1 provides that the name of this Instrument is the </w:t>
      </w:r>
      <w:r w:rsidRPr="00250AE0">
        <w:rPr>
          <w:rFonts w:ascii="Times New Roman" w:hAnsi="Times New Roman"/>
          <w:i/>
          <w:iCs/>
          <w:color w:val="000000"/>
        </w:rPr>
        <w:t>Telecommunications Universal Service Obligation (Standard Telephone Service—Requirements and Circumstances) Determination 20</w:t>
      </w:r>
      <w:r>
        <w:rPr>
          <w:rFonts w:ascii="Times New Roman" w:hAnsi="Times New Roman"/>
          <w:i/>
          <w:iCs/>
          <w:color w:val="000000"/>
        </w:rPr>
        <w:t>22</w:t>
      </w:r>
      <w:r w:rsidR="001D4488">
        <w:rPr>
          <w:rFonts w:ascii="Times New Roman" w:hAnsi="Times New Roman"/>
          <w:i/>
          <w:iCs/>
          <w:color w:val="000000"/>
        </w:rPr>
        <w:t xml:space="preserve"> </w:t>
      </w:r>
      <w:r w:rsidR="001D4488" w:rsidRPr="001D4488">
        <w:rPr>
          <w:rFonts w:ascii="Times New Roman" w:hAnsi="Times New Roman"/>
          <w:iCs/>
          <w:color w:val="000000"/>
        </w:rPr>
        <w:t>(the Determination)</w:t>
      </w:r>
      <w:r w:rsidRPr="00250AE0">
        <w:rPr>
          <w:rFonts w:ascii="Times New Roman" w:hAnsi="Times New Roman"/>
          <w:i/>
          <w:iCs/>
          <w:color w:val="000000"/>
        </w:rPr>
        <w:t>.</w:t>
      </w:r>
    </w:p>
    <w:p w14:paraId="3357820E" w14:textId="77777777" w:rsidR="009A4F8A" w:rsidRPr="00250AE0" w:rsidRDefault="009A4F8A" w:rsidP="009A4F8A">
      <w:pPr>
        <w:shd w:val="clear" w:color="auto" w:fill="FFFFFF"/>
        <w:spacing w:before="240" w:after="120" w:line="299" w:lineRule="atLeast"/>
        <w:ind w:left="357" w:hanging="357"/>
        <w:rPr>
          <w:rFonts w:ascii="Times" w:hAnsi="Times" w:cs="Times"/>
          <w:b/>
          <w:bCs/>
          <w:color w:val="000000"/>
          <w:sz w:val="26"/>
          <w:szCs w:val="26"/>
        </w:rPr>
      </w:pPr>
      <w:r w:rsidRPr="00250AE0">
        <w:rPr>
          <w:rFonts w:ascii="Times New Roman" w:hAnsi="Times New Roman"/>
          <w:b/>
          <w:bCs/>
          <w:color w:val="000000"/>
        </w:rPr>
        <w:t>2</w:t>
      </w:r>
      <w:r w:rsidRPr="00250AE0">
        <w:rPr>
          <w:rFonts w:ascii="Times New Roman" w:hAnsi="Times New Roman"/>
          <w:b/>
          <w:bCs/>
          <w:color w:val="000000"/>
          <w:sz w:val="14"/>
          <w:szCs w:val="14"/>
        </w:rPr>
        <w:t>        </w:t>
      </w:r>
      <w:r w:rsidRPr="00250AE0">
        <w:rPr>
          <w:rFonts w:ascii="Times New Roman" w:hAnsi="Times New Roman"/>
          <w:b/>
          <w:bCs/>
          <w:color w:val="000000"/>
        </w:rPr>
        <w:t>Commencement</w:t>
      </w:r>
    </w:p>
    <w:p w14:paraId="3E769C81" w14:textId="24E0002B" w:rsidR="009A4F8A" w:rsidRDefault="009A4F8A" w:rsidP="00973B7D">
      <w:pPr>
        <w:shd w:val="clear" w:color="auto" w:fill="FFFFFF"/>
        <w:spacing w:before="120" w:after="120" w:line="276" w:lineRule="atLeast"/>
        <w:ind w:left="567"/>
        <w:rPr>
          <w:rFonts w:ascii="Times New Roman" w:hAnsi="Times New Roman"/>
          <w:color w:val="000000"/>
        </w:rPr>
      </w:pPr>
      <w:r w:rsidRPr="00250AE0">
        <w:rPr>
          <w:rFonts w:ascii="Times New Roman" w:hAnsi="Times New Roman"/>
          <w:color w:val="000000"/>
        </w:rPr>
        <w:t xml:space="preserve">Section 2 provides for the Instrument to commence </w:t>
      </w:r>
      <w:r w:rsidRPr="00250AE0">
        <w:rPr>
          <w:rFonts w:ascii="Times New Roman" w:hAnsi="Times New Roman"/>
          <w:color w:val="000000"/>
          <w:spacing w:val="-3"/>
          <w:lang w:val="en-US"/>
        </w:rPr>
        <w:t>the day after it is registered on the Federal Register of Legislative Instruments</w:t>
      </w:r>
      <w:r w:rsidRPr="00250AE0">
        <w:rPr>
          <w:rFonts w:ascii="Times New Roman" w:hAnsi="Times New Roman"/>
          <w:color w:val="000000"/>
        </w:rPr>
        <w:t>.</w:t>
      </w:r>
    </w:p>
    <w:p w14:paraId="29CF1005" w14:textId="1523C774" w:rsidR="009B3B28" w:rsidRPr="00250AE0" w:rsidRDefault="009B3B28" w:rsidP="009B3B28">
      <w:pPr>
        <w:shd w:val="clear" w:color="auto" w:fill="FFFFFF"/>
        <w:spacing w:before="240" w:after="120" w:line="299" w:lineRule="atLeast"/>
        <w:ind w:left="357" w:hanging="357"/>
        <w:rPr>
          <w:rFonts w:ascii="Times" w:hAnsi="Times" w:cs="Times"/>
          <w:b/>
          <w:bCs/>
          <w:color w:val="000000"/>
          <w:sz w:val="26"/>
          <w:szCs w:val="26"/>
        </w:rPr>
      </w:pPr>
      <w:r>
        <w:rPr>
          <w:rFonts w:ascii="Times New Roman" w:hAnsi="Times New Roman"/>
          <w:b/>
          <w:bCs/>
          <w:color w:val="000000"/>
        </w:rPr>
        <w:t>3</w:t>
      </w:r>
      <w:r w:rsidRPr="00250AE0">
        <w:rPr>
          <w:rFonts w:ascii="Times New Roman" w:hAnsi="Times New Roman"/>
          <w:b/>
          <w:bCs/>
          <w:color w:val="000000"/>
          <w:sz w:val="14"/>
          <w:szCs w:val="14"/>
        </w:rPr>
        <w:t>        </w:t>
      </w:r>
      <w:r>
        <w:rPr>
          <w:rFonts w:ascii="Times New Roman" w:hAnsi="Times New Roman"/>
          <w:b/>
          <w:bCs/>
          <w:color w:val="000000"/>
        </w:rPr>
        <w:t>Authority</w:t>
      </w:r>
    </w:p>
    <w:p w14:paraId="23AACC41" w14:textId="00F6CF02" w:rsidR="004C7DD5" w:rsidRPr="00641225" w:rsidRDefault="004C7DD5" w:rsidP="004C7DD5">
      <w:pPr>
        <w:shd w:val="clear" w:color="auto" w:fill="FFFFFF"/>
        <w:spacing w:before="120" w:after="120" w:line="276" w:lineRule="atLeast"/>
        <w:ind w:left="567"/>
        <w:rPr>
          <w:rFonts w:ascii="Times New Roman" w:hAnsi="Times New Roman"/>
          <w:color w:val="000000"/>
        </w:rPr>
      </w:pPr>
      <w:r w:rsidRPr="00641225">
        <w:rPr>
          <w:rFonts w:ascii="Times New Roman" w:hAnsi="Times New Roman"/>
        </w:rPr>
        <w:t xml:space="preserve">Section 3 provides that this instrument is made under subsections 9(2D) and 9(3) of the </w:t>
      </w:r>
      <w:r w:rsidRPr="00641225">
        <w:rPr>
          <w:rFonts w:ascii="Times New Roman" w:hAnsi="Times New Roman"/>
          <w:i/>
        </w:rPr>
        <w:t>Telecommunications (Consumer Protection and Service Standards) Act 1999</w:t>
      </w:r>
      <w:r w:rsidRPr="00641225">
        <w:rPr>
          <w:rFonts w:ascii="Times New Roman" w:hAnsi="Times New Roman"/>
          <w:i/>
          <w:iCs/>
          <w:color w:val="000000"/>
        </w:rPr>
        <w:t>.</w:t>
      </w:r>
    </w:p>
    <w:p w14:paraId="675EE903" w14:textId="763DC90D" w:rsidR="009A4F8A" w:rsidRPr="00250AE0" w:rsidRDefault="009B3B28" w:rsidP="009A4F8A">
      <w:pPr>
        <w:shd w:val="clear" w:color="auto" w:fill="FFFFFF"/>
        <w:spacing w:before="240" w:after="120" w:line="299" w:lineRule="atLeast"/>
        <w:ind w:left="357" w:hanging="357"/>
        <w:rPr>
          <w:rFonts w:ascii="Times" w:hAnsi="Times" w:cs="Times"/>
          <w:b/>
          <w:bCs/>
          <w:color w:val="000000"/>
          <w:sz w:val="26"/>
          <w:szCs w:val="26"/>
        </w:rPr>
      </w:pPr>
      <w:r>
        <w:rPr>
          <w:rFonts w:ascii="Times New Roman" w:hAnsi="Times New Roman"/>
          <w:b/>
          <w:bCs/>
          <w:color w:val="000000"/>
        </w:rPr>
        <w:t>4</w:t>
      </w:r>
      <w:r w:rsidR="009A4F8A" w:rsidRPr="00250AE0">
        <w:rPr>
          <w:rFonts w:ascii="Times New Roman" w:hAnsi="Times New Roman"/>
          <w:b/>
          <w:bCs/>
          <w:color w:val="000000"/>
          <w:sz w:val="14"/>
          <w:szCs w:val="14"/>
        </w:rPr>
        <w:t>        </w:t>
      </w:r>
      <w:r>
        <w:rPr>
          <w:rFonts w:ascii="Times New Roman" w:hAnsi="Times New Roman"/>
          <w:b/>
          <w:bCs/>
          <w:color w:val="000000"/>
        </w:rPr>
        <w:t>Interpretation</w:t>
      </w:r>
    </w:p>
    <w:p w14:paraId="3F1E045D" w14:textId="718C5E04" w:rsidR="009A4F8A" w:rsidRPr="00250AE0" w:rsidRDefault="009A4F8A" w:rsidP="009A4F8A">
      <w:pPr>
        <w:shd w:val="clear" w:color="auto" w:fill="FFFFFF"/>
        <w:spacing w:before="120" w:after="120" w:line="276" w:lineRule="atLeast"/>
        <w:ind w:left="567"/>
        <w:rPr>
          <w:rFonts w:ascii="Times New Roman" w:hAnsi="Times New Roman"/>
          <w:color w:val="000000"/>
        </w:rPr>
      </w:pPr>
      <w:r w:rsidRPr="00250AE0">
        <w:rPr>
          <w:rFonts w:ascii="Times New Roman" w:hAnsi="Times New Roman"/>
          <w:color w:val="000000"/>
        </w:rPr>
        <w:t xml:space="preserve">Section </w:t>
      </w:r>
      <w:r w:rsidR="004C7DD5">
        <w:rPr>
          <w:rFonts w:ascii="Times New Roman" w:hAnsi="Times New Roman"/>
          <w:color w:val="000000"/>
        </w:rPr>
        <w:t>4</w:t>
      </w:r>
      <w:r w:rsidRPr="00250AE0">
        <w:rPr>
          <w:rFonts w:ascii="Times New Roman" w:hAnsi="Times New Roman"/>
          <w:color w:val="000000"/>
        </w:rPr>
        <w:t xml:space="preserve"> defines the terms used in this Instrument.</w:t>
      </w:r>
      <w:r w:rsidR="00973B7D">
        <w:rPr>
          <w:rFonts w:ascii="Times New Roman" w:hAnsi="Times New Roman"/>
          <w:color w:val="000000"/>
        </w:rPr>
        <w:t xml:space="preserve"> A number of defined terms draw on definitions from the </w:t>
      </w:r>
      <w:r w:rsidR="00973B7D" w:rsidRPr="00A93C3A">
        <w:rPr>
          <w:rFonts w:ascii="Times New Roman" w:hAnsi="Times New Roman"/>
          <w:i/>
          <w:color w:val="000000"/>
          <w:szCs w:val="22"/>
        </w:rPr>
        <w:t xml:space="preserve">Telecommunications Act 1997 </w:t>
      </w:r>
      <w:r w:rsidR="00973B7D" w:rsidRPr="00A93C3A">
        <w:rPr>
          <w:rFonts w:ascii="Times New Roman" w:hAnsi="Times New Roman"/>
          <w:color w:val="000000"/>
          <w:szCs w:val="22"/>
        </w:rPr>
        <w:t xml:space="preserve">and </w:t>
      </w:r>
      <w:r w:rsidR="00973B7D" w:rsidRPr="00A93C3A">
        <w:rPr>
          <w:rFonts w:ascii="Times New Roman" w:hAnsi="Times New Roman"/>
          <w:i/>
        </w:rPr>
        <w:t>Telecommunications (Consumer Protection and Service Standards) Act 1999.</w:t>
      </w:r>
    </w:p>
    <w:p w14:paraId="1456AFBB" w14:textId="7E0C8EA3" w:rsidR="00A93C3A" w:rsidRPr="00250AE0" w:rsidRDefault="009A4F8A" w:rsidP="009A4F8A">
      <w:pPr>
        <w:shd w:val="clear" w:color="auto" w:fill="FFFFFF"/>
        <w:spacing w:before="120" w:after="120" w:line="276" w:lineRule="atLeast"/>
        <w:ind w:left="567"/>
        <w:rPr>
          <w:rFonts w:ascii="Times New Roman" w:hAnsi="Times New Roman"/>
          <w:color w:val="000000"/>
        </w:rPr>
      </w:pPr>
      <w:r w:rsidRPr="00250AE0">
        <w:rPr>
          <w:rFonts w:ascii="Times New Roman" w:hAnsi="Times New Roman"/>
          <w:color w:val="000000"/>
        </w:rPr>
        <w:t>The definition of a person’s ‘principal place of residence’ requires the person making the request to either reside or intend to reside at that residence for 183 days or more per annum.</w:t>
      </w:r>
      <w:r w:rsidR="004A4F56">
        <w:rPr>
          <w:rFonts w:ascii="Times New Roman" w:hAnsi="Times New Roman"/>
          <w:color w:val="000000"/>
        </w:rPr>
        <w:t xml:space="preserve"> This is intended to balance </w:t>
      </w:r>
      <w:r w:rsidR="001D4488">
        <w:rPr>
          <w:rFonts w:ascii="Times New Roman" w:hAnsi="Times New Roman"/>
          <w:color w:val="000000"/>
        </w:rPr>
        <w:t xml:space="preserve">individual </w:t>
      </w:r>
      <w:r w:rsidR="004A4F56">
        <w:rPr>
          <w:rFonts w:ascii="Times New Roman" w:hAnsi="Times New Roman"/>
          <w:color w:val="000000"/>
        </w:rPr>
        <w:t>access to services under the USO, against the costs to the primary universal service provider in installing infrastructure that may only be used part of the time. It would however always be open to the primary universal service provider to otherwise agree to such requests on a commercial basis.</w:t>
      </w:r>
      <w:r w:rsidR="00A93C3A">
        <w:rPr>
          <w:rFonts w:ascii="Times New Roman" w:hAnsi="Times New Roman"/>
          <w:color w:val="000000"/>
        </w:rPr>
        <w:t xml:space="preserve"> C</w:t>
      </w:r>
      <w:r w:rsidR="00A93C3A">
        <w:rPr>
          <w:rFonts w:ascii="Times New Roman" w:hAnsi="Times New Roman"/>
        </w:rPr>
        <w:t xml:space="preserve">onsumers may have also have </w:t>
      </w:r>
      <w:r w:rsidR="0054598B">
        <w:rPr>
          <w:rFonts w:ascii="Times New Roman" w:hAnsi="Times New Roman"/>
        </w:rPr>
        <w:t xml:space="preserve">access to </w:t>
      </w:r>
      <w:r w:rsidR="00A93C3A" w:rsidRPr="005B4646">
        <w:rPr>
          <w:rFonts w:ascii="Times New Roman" w:hAnsi="Times New Roman"/>
        </w:rPr>
        <w:t xml:space="preserve">mobile or satellite </w:t>
      </w:r>
      <w:r w:rsidR="00A93C3A">
        <w:rPr>
          <w:rFonts w:ascii="Times New Roman" w:hAnsi="Times New Roman"/>
        </w:rPr>
        <w:t>services</w:t>
      </w:r>
      <w:r w:rsidR="00A93C3A" w:rsidRPr="005B4646">
        <w:rPr>
          <w:rFonts w:ascii="Times New Roman" w:hAnsi="Times New Roman"/>
        </w:rPr>
        <w:t>, which will tend to moderate demand if such premises are occupied on a limited basis.</w:t>
      </w:r>
    </w:p>
    <w:p w14:paraId="1E2FF7D9" w14:textId="13EC8DCF" w:rsidR="009A4F8A" w:rsidRPr="00250AE0" w:rsidRDefault="009A4F8A" w:rsidP="009A4F8A">
      <w:pPr>
        <w:shd w:val="clear" w:color="auto" w:fill="FFFFFF"/>
        <w:spacing w:before="120" w:after="120" w:line="276" w:lineRule="atLeast"/>
        <w:ind w:left="567"/>
        <w:rPr>
          <w:rFonts w:ascii="Times New Roman" w:hAnsi="Times New Roman"/>
          <w:color w:val="000000"/>
        </w:rPr>
      </w:pPr>
      <w:r w:rsidRPr="00250AE0">
        <w:rPr>
          <w:rFonts w:ascii="Times New Roman" w:hAnsi="Times New Roman"/>
          <w:color w:val="000000"/>
        </w:rPr>
        <w:t>A ‘request’ is defined as a request made to the primary universal service provider for a standard telephone service using the provider’s website, by telephone or in person at a retail centre.</w:t>
      </w:r>
      <w:r w:rsidR="00973B7D">
        <w:rPr>
          <w:rFonts w:ascii="Times New Roman" w:hAnsi="Times New Roman"/>
          <w:color w:val="000000"/>
        </w:rPr>
        <w:t xml:space="preserve"> This reflects that the</w:t>
      </w:r>
      <w:r w:rsidR="008A719C">
        <w:rPr>
          <w:rFonts w:ascii="Times New Roman" w:hAnsi="Times New Roman"/>
          <w:color w:val="000000"/>
        </w:rPr>
        <w:t xml:space="preserve">se are ways that Telstra, the current </w:t>
      </w:r>
      <w:r w:rsidR="00973B7D">
        <w:rPr>
          <w:rFonts w:ascii="Times New Roman" w:hAnsi="Times New Roman"/>
          <w:color w:val="000000"/>
        </w:rPr>
        <w:t>primary universal service provider</w:t>
      </w:r>
      <w:r w:rsidR="008A719C">
        <w:rPr>
          <w:rFonts w:ascii="Times New Roman" w:hAnsi="Times New Roman"/>
          <w:color w:val="000000"/>
        </w:rPr>
        <w:t xml:space="preserve">, provides for making requests, and it is expected the primary universal service provider </w:t>
      </w:r>
      <w:r w:rsidR="00973B7D">
        <w:rPr>
          <w:rFonts w:ascii="Times New Roman" w:hAnsi="Times New Roman"/>
          <w:color w:val="000000"/>
        </w:rPr>
        <w:t xml:space="preserve">should </w:t>
      </w:r>
      <w:r w:rsidR="008A719C">
        <w:rPr>
          <w:rFonts w:ascii="Times New Roman" w:hAnsi="Times New Roman"/>
          <w:color w:val="000000"/>
        </w:rPr>
        <w:t xml:space="preserve">continue to </w:t>
      </w:r>
      <w:r w:rsidR="00973B7D">
        <w:rPr>
          <w:rFonts w:ascii="Times New Roman" w:hAnsi="Times New Roman"/>
          <w:color w:val="000000"/>
        </w:rPr>
        <w:t xml:space="preserve">provide alternative ways </w:t>
      </w:r>
      <w:r w:rsidR="008A719C">
        <w:rPr>
          <w:rFonts w:ascii="Times New Roman" w:hAnsi="Times New Roman"/>
          <w:color w:val="000000"/>
        </w:rPr>
        <w:t xml:space="preserve">for members of the community </w:t>
      </w:r>
      <w:r w:rsidR="00973B7D">
        <w:rPr>
          <w:rFonts w:ascii="Times New Roman" w:hAnsi="Times New Roman"/>
          <w:color w:val="000000"/>
        </w:rPr>
        <w:t xml:space="preserve">to request a service. </w:t>
      </w:r>
    </w:p>
    <w:p w14:paraId="3143F735" w14:textId="1FE5DC16" w:rsidR="009A4F8A" w:rsidRPr="00250AE0" w:rsidRDefault="009A4F8A" w:rsidP="009A4F8A">
      <w:pPr>
        <w:shd w:val="clear" w:color="auto" w:fill="FFFFFF"/>
        <w:spacing w:before="120" w:after="120" w:line="276" w:lineRule="atLeast"/>
        <w:ind w:left="567"/>
        <w:rPr>
          <w:rFonts w:ascii="Times New Roman" w:hAnsi="Times New Roman"/>
          <w:color w:val="000000"/>
        </w:rPr>
      </w:pPr>
      <w:r w:rsidRPr="00250AE0">
        <w:rPr>
          <w:rFonts w:ascii="Times New Roman" w:hAnsi="Times New Roman"/>
          <w:color w:val="000000"/>
        </w:rPr>
        <w:t xml:space="preserve">Subsection </w:t>
      </w:r>
      <w:r>
        <w:rPr>
          <w:rFonts w:ascii="Times New Roman" w:hAnsi="Times New Roman"/>
          <w:color w:val="000000"/>
        </w:rPr>
        <w:t>4</w:t>
      </w:r>
      <w:r w:rsidRPr="00250AE0">
        <w:rPr>
          <w:rFonts w:ascii="Times New Roman" w:hAnsi="Times New Roman"/>
          <w:color w:val="000000"/>
        </w:rPr>
        <w:t xml:space="preserve">(2) defines ‘excluded premises’. Paragraph </w:t>
      </w:r>
      <w:r>
        <w:rPr>
          <w:rFonts w:ascii="Times New Roman" w:hAnsi="Times New Roman"/>
          <w:color w:val="000000"/>
        </w:rPr>
        <w:t>7</w:t>
      </w:r>
      <w:r w:rsidRPr="00250AE0">
        <w:rPr>
          <w:rFonts w:ascii="Times New Roman" w:hAnsi="Times New Roman"/>
          <w:color w:val="000000"/>
        </w:rPr>
        <w:t>(1)(a) provides that the obligation to supply a standard telephone service on request does not apply in relation </w:t>
      </w:r>
      <w:bookmarkStart w:id="0" w:name="OLE_LINK4"/>
      <w:bookmarkStart w:id="1" w:name="OLE_LINK3"/>
      <w:bookmarkEnd w:id="0"/>
      <w:r w:rsidRPr="00250AE0">
        <w:rPr>
          <w:rFonts w:ascii="Times New Roman" w:hAnsi="Times New Roman"/>
          <w:color w:val="000000"/>
        </w:rPr>
        <w:t xml:space="preserve">to the supply of a standard telephone service to ‘excluded premises’. If the premises </w:t>
      </w:r>
      <w:r w:rsidR="0054598B">
        <w:rPr>
          <w:rFonts w:ascii="Times New Roman" w:hAnsi="Times New Roman"/>
          <w:color w:val="000000"/>
        </w:rPr>
        <w:t>is a type of premises</w:t>
      </w:r>
      <w:r w:rsidRPr="00250AE0">
        <w:rPr>
          <w:rFonts w:ascii="Times New Roman" w:hAnsi="Times New Roman"/>
          <w:color w:val="000000"/>
        </w:rPr>
        <w:t xml:space="preserve"> set out in </w:t>
      </w:r>
      <w:r w:rsidR="008A47C1">
        <w:rPr>
          <w:rFonts w:ascii="Times New Roman" w:hAnsi="Times New Roman"/>
          <w:color w:val="000000"/>
        </w:rPr>
        <w:t>sub</w:t>
      </w:r>
      <w:r w:rsidRPr="00250AE0">
        <w:rPr>
          <w:rFonts w:ascii="Times New Roman" w:hAnsi="Times New Roman"/>
          <w:color w:val="000000"/>
        </w:rPr>
        <w:t xml:space="preserve">paragraphs </w:t>
      </w:r>
      <w:r w:rsidR="009B3B28">
        <w:rPr>
          <w:rFonts w:ascii="Times New Roman" w:hAnsi="Times New Roman"/>
          <w:color w:val="000000"/>
        </w:rPr>
        <w:t>4</w:t>
      </w:r>
      <w:r w:rsidRPr="00250AE0">
        <w:rPr>
          <w:rFonts w:ascii="Times New Roman" w:hAnsi="Times New Roman"/>
          <w:color w:val="000000"/>
        </w:rPr>
        <w:t>(2)(a)-(l) it will be an excluded premises.</w:t>
      </w:r>
      <w:bookmarkEnd w:id="1"/>
      <w:r w:rsidR="00973B7D">
        <w:rPr>
          <w:rFonts w:ascii="Times New Roman" w:hAnsi="Times New Roman"/>
          <w:color w:val="000000"/>
        </w:rPr>
        <w:t xml:space="preserve"> </w:t>
      </w:r>
      <w:r w:rsidR="0073270D">
        <w:rPr>
          <w:rFonts w:ascii="Times New Roman" w:hAnsi="Times New Roman"/>
          <w:color w:val="000000"/>
        </w:rPr>
        <w:t xml:space="preserve">As an example, excluded premises can include a portable home, shelter, </w:t>
      </w:r>
      <w:r w:rsidR="0054598B">
        <w:rPr>
          <w:rFonts w:ascii="Times New Roman" w:hAnsi="Times New Roman"/>
          <w:color w:val="000000"/>
        </w:rPr>
        <w:t xml:space="preserve">garden </w:t>
      </w:r>
      <w:r w:rsidR="0073270D">
        <w:rPr>
          <w:rFonts w:ascii="Times New Roman" w:hAnsi="Times New Roman"/>
          <w:color w:val="000000"/>
        </w:rPr>
        <w:t>shed or a cubby house, are not considered permanent structure</w:t>
      </w:r>
      <w:r w:rsidR="0054598B">
        <w:rPr>
          <w:rFonts w:ascii="Times New Roman" w:hAnsi="Times New Roman"/>
          <w:color w:val="000000"/>
        </w:rPr>
        <w:t>s</w:t>
      </w:r>
      <w:r w:rsidR="0073270D">
        <w:rPr>
          <w:rFonts w:ascii="Times New Roman" w:hAnsi="Times New Roman"/>
          <w:color w:val="000000"/>
        </w:rPr>
        <w:t xml:space="preserve"> </w:t>
      </w:r>
      <w:r w:rsidR="0054598B">
        <w:rPr>
          <w:rFonts w:ascii="Times New Roman" w:hAnsi="Times New Roman"/>
          <w:color w:val="000000"/>
        </w:rPr>
        <w:t xml:space="preserve">capable </w:t>
      </w:r>
      <w:r w:rsidR="0073270D">
        <w:rPr>
          <w:rFonts w:ascii="Times New Roman" w:hAnsi="Times New Roman"/>
          <w:color w:val="000000"/>
        </w:rPr>
        <w:t xml:space="preserve">supporting independent living. </w:t>
      </w:r>
      <w:r w:rsidR="00292938">
        <w:rPr>
          <w:rFonts w:ascii="Times New Roman" w:hAnsi="Times New Roman"/>
          <w:color w:val="000000"/>
        </w:rPr>
        <w:t>Business premises are considered to be excluded premises if the person making the request does not intend to conduct business from the premises for more than six months per year.</w:t>
      </w:r>
    </w:p>
    <w:p w14:paraId="280E6B38" w14:textId="64FD575B" w:rsidR="009A4F8A" w:rsidRDefault="009A4F8A" w:rsidP="00973B7D">
      <w:pPr>
        <w:shd w:val="clear" w:color="auto" w:fill="FFFFFF"/>
        <w:spacing w:before="120" w:after="120" w:line="276" w:lineRule="atLeast"/>
        <w:ind w:left="567"/>
        <w:rPr>
          <w:rFonts w:ascii="Times New Roman" w:hAnsi="Times New Roman"/>
          <w:color w:val="000000"/>
        </w:rPr>
      </w:pPr>
      <w:r w:rsidRPr="00250AE0">
        <w:rPr>
          <w:rFonts w:ascii="Times New Roman" w:hAnsi="Times New Roman"/>
          <w:color w:val="000000"/>
        </w:rPr>
        <w:lastRenderedPageBreak/>
        <w:t xml:space="preserve">Paragraph </w:t>
      </w:r>
      <w:r w:rsidR="009B3B28">
        <w:rPr>
          <w:rFonts w:ascii="Times New Roman" w:hAnsi="Times New Roman"/>
          <w:color w:val="000000"/>
        </w:rPr>
        <w:t>4</w:t>
      </w:r>
      <w:r w:rsidRPr="00250AE0">
        <w:rPr>
          <w:rFonts w:ascii="Times New Roman" w:hAnsi="Times New Roman"/>
          <w:color w:val="000000"/>
        </w:rPr>
        <w:t>(2)(</w:t>
      </w:r>
      <w:r w:rsidR="009B3B28">
        <w:rPr>
          <w:rFonts w:ascii="Times New Roman" w:hAnsi="Times New Roman"/>
          <w:color w:val="000000"/>
        </w:rPr>
        <w:t>l</w:t>
      </w:r>
      <w:r w:rsidRPr="00250AE0">
        <w:rPr>
          <w:rFonts w:ascii="Times New Roman" w:hAnsi="Times New Roman"/>
          <w:color w:val="000000"/>
        </w:rPr>
        <w:t xml:space="preserve">) defines a residential premises that is not a distinct residence as an excluded premises. For the purpose of paragraph </w:t>
      </w:r>
      <w:r w:rsidR="009B3B28">
        <w:rPr>
          <w:rFonts w:ascii="Times New Roman" w:hAnsi="Times New Roman"/>
          <w:color w:val="000000"/>
        </w:rPr>
        <w:t>4</w:t>
      </w:r>
      <w:r w:rsidRPr="00250AE0">
        <w:rPr>
          <w:rFonts w:ascii="Times New Roman" w:hAnsi="Times New Roman"/>
          <w:color w:val="000000"/>
        </w:rPr>
        <w:t xml:space="preserve">(2)(l), subsection </w:t>
      </w:r>
      <w:r w:rsidR="009B3B28">
        <w:rPr>
          <w:rFonts w:ascii="Times New Roman" w:hAnsi="Times New Roman"/>
          <w:color w:val="000000"/>
        </w:rPr>
        <w:t>4</w:t>
      </w:r>
      <w:r w:rsidRPr="00250AE0">
        <w:rPr>
          <w:rFonts w:ascii="Times New Roman" w:hAnsi="Times New Roman"/>
          <w:color w:val="000000"/>
        </w:rPr>
        <w:t xml:space="preserve">(3) outlines a non-exhaustive list of premises that are </w:t>
      </w:r>
      <w:r w:rsidR="00973B7D">
        <w:rPr>
          <w:rFonts w:ascii="Times New Roman" w:hAnsi="Times New Roman"/>
          <w:color w:val="000000"/>
        </w:rPr>
        <w:t>‘</w:t>
      </w:r>
      <w:r w:rsidRPr="00250AE0">
        <w:rPr>
          <w:rFonts w:ascii="Times New Roman" w:hAnsi="Times New Roman"/>
          <w:color w:val="000000"/>
        </w:rPr>
        <w:t>distinct residences</w:t>
      </w:r>
      <w:r w:rsidR="00973B7D">
        <w:rPr>
          <w:rFonts w:ascii="Times New Roman" w:hAnsi="Times New Roman"/>
          <w:color w:val="000000"/>
        </w:rPr>
        <w:t>’</w:t>
      </w:r>
      <w:r w:rsidRPr="00250AE0">
        <w:rPr>
          <w:rFonts w:ascii="Times New Roman" w:hAnsi="Times New Roman"/>
          <w:color w:val="000000"/>
        </w:rPr>
        <w:t>.</w:t>
      </w:r>
      <w:r w:rsidR="00973B7D">
        <w:rPr>
          <w:rFonts w:ascii="Times New Roman" w:hAnsi="Times New Roman"/>
          <w:color w:val="000000"/>
        </w:rPr>
        <w:t xml:space="preserve"> Distinct residences are types of dwellings or structure where a primary universal service provider would generally be expected to provide a standard telephone service, unless there are other circumstances that prevent this. A</w:t>
      </w:r>
      <w:r w:rsidRPr="00250AE0">
        <w:rPr>
          <w:rFonts w:ascii="Times New Roman" w:hAnsi="Times New Roman"/>
          <w:color w:val="000000"/>
        </w:rPr>
        <w:t xml:space="preserve"> distinct residence under subsection </w:t>
      </w:r>
      <w:r w:rsidR="009B3B28">
        <w:rPr>
          <w:rFonts w:ascii="Times New Roman" w:hAnsi="Times New Roman"/>
          <w:color w:val="000000"/>
        </w:rPr>
        <w:t>4</w:t>
      </w:r>
      <w:r w:rsidRPr="00250AE0">
        <w:rPr>
          <w:rFonts w:ascii="Times New Roman" w:hAnsi="Times New Roman"/>
          <w:color w:val="000000"/>
        </w:rPr>
        <w:t xml:space="preserve">(3) may still be an ‘excluded premises’ if it meets any of the criteria in paragraphs </w:t>
      </w:r>
      <w:r w:rsidR="009B3B28">
        <w:rPr>
          <w:rFonts w:ascii="Times New Roman" w:hAnsi="Times New Roman"/>
          <w:color w:val="000000"/>
        </w:rPr>
        <w:t>4</w:t>
      </w:r>
      <w:r w:rsidRPr="00250AE0">
        <w:rPr>
          <w:rFonts w:ascii="Times New Roman" w:hAnsi="Times New Roman"/>
          <w:color w:val="000000"/>
        </w:rPr>
        <w:t>(2)(a) to (k).</w:t>
      </w:r>
      <w:r w:rsidR="00292938">
        <w:rPr>
          <w:rFonts w:ascii="Times New Roman" w:hAnsi="Times New Roman"/>
          <w:color w:val="000000"/>
        </w:rPr>
        <w:t xml:space="preserve"> Examples of distinct residences include a house, flat or apartment that </w:t>
      </w:r>
      <w:r w:rsidR="00F76FF6">
        <w:rPr>
          <w:rFonts w:ascii="Times New Roman" w:hAnsi="Times New Roman"/>
          <w:color w:val="000000"/>
        </w:rPr>
        <w:t>is</w:t>
      </w:r>
      <w:r w:rsidR="00292938">
        <w:rPr>
          <w:rFonts w:ascii="Times New Roman" w:hAnsi="Times New Roman"/>
          <w:color w:val="000000"/>
        </w:rPr>
        <w:t xml:space="preserve"> capable of supporting independent living</w:t>
      </w:r>
      <w:r w:rsidR="001D4488">
        <w:rPr>
          <w:rFonts w:ascii="Times New Roman" w:hAnsi="Times New Roman"/>
          <w:color w:val="000000"/>
        </w:rPr>
        <w:t xml:space="preserve"> (including a granny flat or other secondary dwellings on a lot)</w:t>
      </w:r>
      <w:r w:rsidR="00292938">
        <w:rPr>
          <w:rFonts w:ascii="Times New Roman" w:hAnsi="Times New Roman"/>
          <w:color w:val="000000"/>
        </w:rPr>
        <w:t xml:space="preserve">, a distinct residence within a retirement village or nursing home, or a caravan or permanently moored boat. </w:t>
      </w:r>
    </w:p>
    <w:p w14:paraId="0C1A006D" w14:textId="0E2A1F42" w:rsidR="00FD1C17" w:rsidRDefault="00FD1C17" w:rsidP="00973B7D">
      <w:pPr>
        <w:shd w:val="clear" w:color="auto" w:fill="FFFFFF"/>
        <w:spacing w:before="120" w:after="120" w:line="276" w:lineRule="atLeast"/>
        <w:ind w:left="567"/>
        <w:rPr>
          <w:rFonts w:ascii="Times New Roman" w:hAnsi="Times New Roman"/>
          <w:color w:val="000000"/>
        </w:rPr>
      </w:pPr>
      <w:r w:rsidRPr="00A93C3A">
        <w:rPr>
          <w:rFonts w:ascii="Times New Roman" w:hAnsi="Times New Roman"/>
          <w:color w:val="000000"/>
        </w:rPr>
        <w:t>Subsection 4(4) provides</w:t>
      </w:r>
      <w:r w:rsidR="00292938" w:rsidRPr="00A93C3A">
        <w:rPr>
          <w:rFonts w:ascii="Times New Roman" w:hAnsi="Times New Roman"/>
          <w:color w:val="000000"/>
        </w:rPr>
        <w:t xml:space="preserve"> that a request for a standard telephone service made by an authorised person on behalf of another person will be consid</w:t>
      </w:r>
      <w:r w:rsidR="00F76FF6" w:rsidRPr="00A93C3A">
        <w:rPr>
          <w:rFonts w:ascii="Times New Roman" w:hAnsi="Times New Roman"/>
          <w:color w:val="000000"/>
        </w:rPr>
        <w:t>e</w:t>
      </w:r>
      <w:r w:rsidR="00292938" w:rsidRPr="00A93C3A">
        <w:rPr>
          <w:rFonts w:ascii="Times New Roman" w:hAnsi="Times New Roman"/>
          <w:color w:val="000000"/>
        </w:rPr>
        <w:t xml:space="preserve">red to have been made by the person </w:t>
      </w:r>
      <w:r w:rsidR="00F76FF6" w:rsidRPr="00A93C3A">
        <w:rPr>
          <w:rFonts w:ascii="Times New Roman" w:hAnsi="Times New Roman"/>
          <w:color w:val="000000"/>
        </w:rPr>
        <w:t xml:space="preserve">on whose behalf the request was made. </w:t>
      </w:r>
      <w:r w:rsidR="00A93C3A">
        <w:rPr>
          <w:rFonts w:ascii="Times New Roman" w:hAnsi="Times New Roman"/>
          <w:color w:val="000000"/>
        </w:rPr>
        <w:t>This is to accommodate a situation where a person may prefer to have a relative or friend act on their behalf</w:t>
      </w:r>
      <w:r w:rsidR="00F76FF6" w:rsidRPr="00A93C3A">
        <w:rPr>
          <w:rFonts w:ascii="Times New Roman" w:hAnsi="Times New Roman"/>
          <w:color w:val="000000"/>
        </w:rPr>
        <w:t>.</w:t>
      </w:r>
    </w:p>
    <w:p w14:paraId="4C33FEB0" w14:textId="310A3318" w:rsidR="009A4F8A" w:rsidRPr="00250AE0" w:rsidRDefault="004C7DD5" w:rsidP="009A4F8A">
      <w:pPr>
        <w:shd w:val="clear" w:color="auto" w:fill="FFFFFF"/>
        <w:spacing w:before="240" w:after="120" w:line="299" w:lineRule="atLeast"/>
        <w:ind w:left="357" w:hanging="357"/>
        <w:rPr>
          <w:rFonts w:ascii="Times" w:hAnsi="Times" w:cs="Times"/>
          <w:b/>
          <w:bCs/>
          <w:color w:val="000000"/>
          <w:sz w:val="26"/>
          <w:szCs w:val="26"/>
        </w:rPr>
      </w:pPr>
      <w:r>
        <w:rPr>
          <w:rFonts w:ascii="Times New Roman" w:hAnsi="Times New Roman"/>
          <w:b/>
          <w:bCs/>
          <w:color w:val="000000"/>
        </w:rPr>
        <w:t>5</w:t>
      </w:r>
      <w:r w:rsidR="009A4F8A" w:rsidRPr="00250AE0">
        <w:rPr>
          <w:rFonts w:ascii="Times New Roman" w:hAnsi="Times New Roman"/>
          <w:b/>
          <w:bCs/>
          <w:color w:val="000000"/>
          <w:sz w:val="14"/>
          <w:szCs w:val="14"/>
        </w:rPr>
        <w:t>        </w:t>
      </w:r>
      <w:r>
        <w:rPr>
          <w:rFonts w:ascii="Times New Roman" w:hAnsi="Times New Roman"/>
          <w:b/>
          <w:bCs/>
          <w:color w:val="000000"/>
        </w:rPr>
        <w:t>Schedules</w:t>
      </w:r>
    </w:p>
    <w:p w14:paraId="3223A0DA" w14:textId="491609B5" w:rsidR="004C7DD5" w:rsidRDefault="009A4F8A" w:rsidP="00641225">
      <w:pPr>
        <w:shd w:val="clear" w:color="auto" w:fill="FFFFFF"/>
        <w:spacing w:before="120" w:after="120" w:line="276" w:lineRule="atLeast"/>
        <w:ind w:left="567"/>
        <w:rPr>
          <w:rFonts w:ascii="Times New Roman" w:hAnsi="Times New Roman"/>
          <w:color w:val="000000"/>
        </w:rPr>
      </w:pPr>
      <w:r w:rsidRPr="00641225">
        <w:rPr>
          <w:rFonts w:ascii="Times New Roman" w:hAnsi="Times New Roman"/>
          <w:color w:val="000000"/>
        </w:rPr>
        <w:t xml:space="preserve">Section </w:t>
      </w:r>
      <w:r w:rsidR="004C7DD5">
        <w:rPr>
          <w:rFonts w:ascii="Times New Roman" w:hAnsi="Times New Roman"/>
          <w:color w:val="000000"/>
        </w:rPr>
        <w:t>5</w:t>
      </w:r>
      <w:r w:rsidRPr="00641225">
        <w:rPr>
          <w:rFonts w:ascii="Times New Roman" w:hAnsi="Times New Roman"/>
          <w:color w:val="000000"/>
        </w:rPr>
        <w:t xml:space="preserve"> </w:t>
      </w:r>
      <w:r w:rsidR="004C7DD5" w:rsidRPr="00641225">
        <w:rPr>
          <w:rFonts w:ascii="Times New Roman" w:hAnsi="Times New Roman"/>
          <w:color w:val="000000"/>
        </w:rPr>
        <w:t xml:space="preserve">provides that </w:t>
      </w:r>
      <w:r w:rsidR="004C7DD5" w:rsidRPr="00641225">
        <w:rPr>
          <w:rFonts w:ascii="Times New Roman" w:hAnsi="Times New Roman"/>
        </w:rPr>
        <w:t>each instrument that is specified in a Schedule to this instrument is amended or repealed as set out in the applicable items in the Schedule concerned, and any other item in a Schedule to this instrument has effect according to its terms</w:t>
      </w:r>
      <w:r w:rsidRPr="00641225">
        <w:rPr>
          <w:rFonts w:ascii="Times New Roman" w:hAnsi="Times New Roman"/>
          <w:color w:val="000000"/>
        </w:rPr>
        <w:t>.</w:t>
      </w:r>
    </w:p>
    <w:p w14:paraId="5FADEF57" w14:textId="3CD7BD46" w:rsidR="004C7DD5" w:rsidRPr="00250AE0" w:rsidRDefault="004C7DD5" w:rsidP="004C7DD5">
      <w:pPr>
        <w:shd w:val="clear" w:color="auto" w:fill="FFFFFF"/>
        <w:spacing w:before="240" w:after="120" w:line="299" w:lineRule="atLeast"/>
        <w:ind w:left="357" w:hanging="357"/>
        <w:rPr>
          <w:rFonts w:ascii="Times" w:hAnsi="Times" w:cs="Times"/>
          <w:b/>
          <w:bCs/>
          <w:color w:val="000000"/>
          <w:sz w:val="26"/>
          <w:szCs w:val="26"/>
        </w:rPr>
      </w:pPr>
      <w:r w:rsidRPr="00250AE0">
        <w:rPr>
          <w:rFonts w:ascii="Times New Roman" w:hAnsi="Times New Roman"/>
          <w:b/>
          <w:bCs/>
          <w:color w:val="000000"/>
        </w:rPr>
        <w:t>6</w:t>
      </w:r>
      <w:r w:rsidRPr="00250AE0">
        <w:rPr>
          <w:rFonts w:ascii="Times New Roman" w:hAnsi="Times New Roman"/>
          <w:b/>
          <w:bCs/>
          <w:color w:val="000000"/>
          <w:sz w:val="14"/>
          <w:szCs w:val="14"/>
        </w:rPr>
        <w:t>        </w:t>
      </w:r>
      <w:r w:rsidRPr="00250AE0">
        <w:rPr>
          <w:rFonts w:ascii="Times New Roman" w:hAnsi="Times New Roman"/>
          <w:b/>
          <w:bCs/>
          <w:color w:val="000000"/>
        </w:rPr>
        <w:t>Requirements</w:t>
      </w:r>
      <w:r w:rsidR="00325A3B">
        <w:rPr>
          <w:rFonts w:ascii="Times New Roman" w:hAnsi="Times New Roman"/>
          <w:b/>
          <w:bCs/>
          <w:color w:val="000000"/>
        </w:rPr>
        <w:t xml:space="preserve"> for a request for supply of a standard telephone service</w:t>
      </w:r>
    </w:p>
    <w:p w14:paraId="4941EF99" w14:textId="4CDB660C" w:rsidR="00B460B0" w:rsidRDefault="00B460B0" w:rsidP="00D906CB">
      <w:pPr>
        <w:spacing w:after="0"/>
        <w:ind w:left="567"/>
        <w:rPr>
          <w:rFonts w:ascii="Times New Roman" w:hAnsi="Times New Roman"/>
        </w:rPr>
      </w:pPr>
      <w:r>
        <w:rPr>
          <w:rFonts w:ascii="Times New Roman" w:hAnsi="Times New Roman"/>
        </w:rPr>
        <w:t xml:space="preserve">Section 6 clarifies that a reasonable request to supply </w:t>
      </w:r>
      <w:r w:rsidR="00973B7D">
        <w:rPr>
          <w:rFonts w:ascii="Times New Roman" w:hAnsi="Times New Roman"/>
        </w:rPr>
        <w:t xml:space="preserve">a </w:t>
      </w:r>
      <w:r>
        <w:rPr>
          <w:rFonts w:ascii="Times New Roman" w:hAnsi="Times New Roman"/>
        </w:rPr>
        <w:t xml:space="preserve">standard telephone service must comply with a number of requirements. </w:t>
      </w:r>
      <w:r w:rsidR="00973B7D">
        <w:rPr>
          <w:rFonts w:ascii="Times New Roman" w:hAnsi="Times New Roman"/>
        </w:rPr>
        <w:t xml:space="preserve">A valid </w:t>
      </w:r>
      <w:r>
        <w:rPr>
          <w:rFonts w:ascii="Times New Roman" w:hAnsi="Times New Roman"/>
        </w:rPr>
        <w:t xml:space="preserve">request must include the full name of the person making the request, </w:t>
      </w:r>
      <w:r w:rsidR="00973B7D">
        <w:rPr>
          <w:rFonts w:ascii="Times New Roman" w:hAnsi="Times New Roman"/>
        </w:rPr>
        <w:t xml:space="preserve">the </w:t>
      </w:r>
      <w:r>
        <w:rPr>
          <w:rFonts w:ascii="Times New Roman" w:hAnsi="Times New Roman"/>
        </w:rPr>
        <w:t xml:space="preserve">location of the premises where the standard telephone service is to be supplied, and </w:t>
      </w:r>
      <w:r w:rsidR="00973B7D">
        <w:rPr>
          <w:rFonts w:ascii="Times New Roman" w:hAnsi="Times New Roman"/>
        </w:rPr>
        <w:t xml:space="preserve">the </w:t>
      </w:r>
      <w:r>
        <w:rPr>
          <w:rFonts w:ascii="Times New Roman" w:hAnsi="Times New Roman"/>
        </w:rPr>
        <w:t xml:space="preserve">date </w:t>
      </w:r>
      <w:r w:rsidR="00973B7D">
        <w:rPr>
          <w:rFonts w:ascii="Times New Roman" w:hAnsi="Times New Roman"/>
        </w:rPr>
        <w:t xml:space="preserve">the service is </w:t>
      </w:r>
      <w:r>
        <w:rPr>
          <w:rFonts w:ascii="Times New Roman" w:hAnsi="Times New Roman"/>
        </w:rPr>
        <w:t>request</w:t>
      </w:r>
      <w:r w:rsidR="00973B7D">
        <w:rPr>
          <w:rFonts w:ascii="Times New Roman" w:hAnsi="Times New Roman"/>
        </w:rPr>
        <w:t>ed to be supplied</w:t>
      </w:r>
      <w:r>
        <w:rPr>
          <w:rFonts w:ascii="Times New Roman" w:hAnsi="Times New Roman"/>
        </w:rPr>
        <w:t>.</w:t>
      </w:r>
      <w:r w:rsidR="00973B7D">
        <w:rPr>
          <w:rFonts w:ascii="Times New Roman" w:hAnsi="Times New Roman"/>
        </w:rPr>
        <w:t xml:space="preserve"> The need for these details is relatively self-explanatory, as it would otherwise be impractical for the primary universal service provider to fulfil a request</w:t>
      </w:r>
      <w:r w:rsidR="008A719C">
        <w:rPr>
          <w:rFonts w:ascii="Times New Roman" w:hAnsi="Times New Roman"/>
        </w:rPr>
        <w:t xml:space="preserve"> if does not know the party it is contracting with or where a service is to be provided</w:t>
      </w:r>
      <w:r w:rsidR="00973B7D">
        <w:rPr>
          <w:rFonts w:ascii="Times New Roman" w:hAnsi="Times New Roman"/>
        </w:rPr>
        <w:t xml:space="preserve">. </w:t>
      </w:r>
    </w:p>
    <w:p w14:paraId="019195DB" w14:textId="77777777" w:rsidR="00B460B0" w:rsidRDefault="00B460B0" w:rsidP="00D906CB">
      <w:pPr>
        <w:spacing w:after="0"/>
        <w:ind w:left="567"/>
        <w:rPr>
          <w:rFonts w:ascii="Times New Roman" w:hAnsi="Times New Roman"/>
        </w:rPr>
      </w:pPr>
    </w:p>
    <w:p w14:paraId="492E9ACB" w14:textId="02FBAAE3" w:rsidR="00B460B0" w:rsidRDefault="00B460B0" w:rsidP="00D906CB">
      <w:pPr>
        <w:spacing w:after="0"/>
        <w:ind w:left="567"/>
        <w:rPr>
          <w:rFonts w:ascii="Times New Roman" w:hAnsi="Times New Roman"/>
        </w:rPr>
      </w:pPr>
      <w:r>
        <w:rPr>
          <w:rFonts w:ascii="Times New Roman" w:hAnsi="Times New Roman"/>
        </w:rPr>
        <w:t xml:space="preserve">Subsection 6(d) provides that requests for provision of </w:t>
      </w:r>
      <w:r w:rsidR="00343DC1">
        <w:rPr>
          <w:rFonts w:ascii="Times New Roman" w:hAnsi="Times New Roman"/>
        </w:rPr>
        <w:t xml:space="preserve">a </w:t>
      </w:r>
      <w:r>
        <w:rPr>
          <w:rFonts w:ascii="Times New Roman" w:hAnsi="Times New Roman"/>
        </w:rPr>
        <w:t xml:space="preserve">standard telephone service to business premises must be accompanied by written verification that the business is carried on permanently at that address, including attestation that the business activities will be conducted </w:t>
      </w:r>
      <w:r w:rsidR="00973B7D">
        <w:rPr>
          <w:rFonts w:ascii="Times New Roman" w:hAnsi="Times New Roman"/>
        </w:rPr>
        <w:t xml:space="preserve">permanently at </w:t>
      </w:r>
      <w:r>
        <w:rPr>
          <w:rFonts w:ascii="Times New Roman" w:hAnsi="Times New Roman"/>
        </w:rPr>
        <w:t>the premises that is the subject to the request.</w:t>
      </w:r>
      <w:r w:rsidR="00973B7D">
        <w:rPr>
          <w:rFonts w:ascii="Times New Roman" w:hAnsi="Times New Roman"/>
        </w:rPr>
        <w:t xml:space="preserve"> It is envisaged an attestation could include details of the registered address of a business, or other relevant documents, such as a lease entered into by the business at a given address. In this context, it is not expected that ‘permanent’ would be read literally, but rather that details are provided which indicate an intent to carry on a business at the location as a going concern. For example, it would not be necessarily be reasonable for the primary universal service provider to incur </w:t>
      </w:r>
      <w:r w:rsidR="008A719C">
        <w:rPr>
          <w:rFonts w:ascii="Times New Roman" w:hAnsi="Times New Roman"/>
        </w:rPr>
        <w:t xml:space="preserve">the </w:t>
      </w:r>
      <w:r w:rsidR="00973B7D">
        <w:rPr>
          <w:rFonts w:ascii="Times New Roman" w:hAnsi="Times New Roman"/>
        </w:rPr>
        <w:t>expense of connecting a temporary business site</w:t>
      </w:r>
      <w:r w:rsidR="008A719C">
        <w:rPr>
          <w:rFonts w:ascii="Times New Roman" w:hAnsi="Times New Roman"/>
        </w:rPr>
        <w:t xml:space="preserve"> (e.g. </w:t>
      </w:r>
      <w:r w:rsidR="00973B7D">
        <w:rPr>
          <w:rFonts w:ascii="Times New Roman" w:hAnsi="Times New Roman"/>
        </w:rPr>
        <w:t xml:space="preserve">a ‘pop up’ location that </w:t>
      </w:r>
      <w:r w:rsidR="008A719C">
        <w:rPr>
          <w:rFonts w:ascii="Times New Roman" w:hAnsi="Times New Roman"/>
        </w:rPr>
        <w:t xml:space="preserve">a business will </w:t>
      </w:r>
      <w:r w:rsidR="00973B7D">
        <w:rPr>
          <w:rFonts w:ascii="Times New Roman" w:hAnsi="Times New Roman"/>
        </w:rPr>
        <w:t>trade f</w:t>
      </w:r>
      <w:r w:rsidR="008A719C">
        <w:rPr>
          <w:rFonts w:ascii="Times New Roman" w:hAnsi="Times New Roman"/>
        </w:rPr>
        <w:t>rom</w:t>
      </w:r>
      <w:r w:rsidR="00973B7D">
        <w:rPr>
          <w:rFonts w:ascii="Times New Roman" w:hAnsi="Times New Roman"/>
        </w:rPr>
        <w:t xml:space="preserve"> </w:t>
      </w:r>
      <w:r w:rsidR="008A719C">
        <w:rPr>
          <w:rFonts w:ascii="Times New Roman" w:hAnsi="Times New Roman"/>
        </w:rPr>
        <w:t xml:space="preserve">for only </w:t>
      </w:r>
      <w:r w:rsidR="00973B7D">
        <w:rPr>
          <w:rFonts w:ascii="Times New Roman" w:hAnsi="Times New Roman"/>
        </w:rPr>
        <w:t>a short period</w:t>
      </w:r>
      <w:r w:rsidR="008A719C">
        <w:rPr>
          <w:rFonts w:ascii="Times New Roman" w:hAnsi="Times New Roman"/>
        </w:rPr>
        <w:t>)</w:t>
      </w:r>
      <w:r w:rsidR="00973B7D">
        <w:rPr>
          <w:rFonts w:ascii="Times New Roman" w:hAnsi="Times New Roman"/>
        </w:rPr>
        <w:t xml:space="preserve">. However, it would always be open for a primary universal service provider to make a commercial decision to agree to </w:t>
      </w:r>
      <w:r w:rsidR="00A93C3A">
        <w:rPr>
          <w:rFonts w:ascii="Times New Roman" w:hAnsi="Times New Roman"/>
        </w:rPr>
        <w:t>supply services on</w:t>
      </w:r>
      <w:r w:rsidR="008A719C">
        <w:rPr>
          <w:rFonts w:ascii="Times New Roman" w:hAnsi="Times New Roman"/>
        </w:rPr>
        <w:t xml:space="preserve"> </w:t>
      </w:r>
      <w:r w:rsidR="00A93C3A">
        <w:rPr>
          <w:rFonts w:ascii="Times New Roman" w:hAnsi="Times New Roman"/>
        </w:rPr>
        <w:t xml:space="preserve">a </w:t>
      </w:r>
      <w:r w:rsidR="008A719C">
        <w:rPr>
          <w:rFonts w:ascii="Times New Roman" w:hAnsi="Times New Roman"/>
        </w:rPr>
        <w:t>short</w:t>
      </w:r>
      <w:r w:rsidR="00A93C3A">
        <w:rPr>
          <w:rFonts w:ascii="Times New Roman" w:hAnsi="Times New Roman"/>
        </w:rPr>
        <w:t>er</w:t>
      </w:r>
      <w:r w:rsidR="008A719C">
        <w:rPr>
          <w:rFonts w:ascii="Times New Roman" w:hAnsi="Times New Roman"/>
        </w:rPr>
        <w:t>-term basis</w:t>
      </w:r>
      <w:r w:rsidR="00973B7D">
        <w:rPr>
          <w:rFonts w:ascii="Times New Roman" w:hAnsi="Times New Roman"/>
        </w:rPr>
        <w:t xml:space="preserve">.  </w:t>
      </w:r>
    </w:p>
    <w:p w14:paraId="1BF54C58" w14:textId="77777777" w:rsidR="00B460B0" w:rsidRDefault="00B460B0" w:rsidP="00D906CB">
      <w:pPr>
        <w:spacing w:after="0"/>
        <w:ind w:left="567"/>
        <w:rPr>
          <w:rFonts w:ascii="Times New Roman" w:hAnsi="Times New Roman"/>
        </w:rPr>
      </w:pPr>
    </w:p>
    <w:p w14:paraId="2C7E8ECE" w14:textId="036DCC62" w:rsidR="00B460B0" w:rsidRDefault="00B460B0" w:rsidP="00D906CB">
      <w:pPr>
        <w:spacing w:after="0"/>
        <w:ind w:left="567"/>
        <w:rPr>
          <w:rFonts w:ascii="Times New Roman" w:hAnsi="Times New Roman"/>
        </w:rPr>
      </w:pPr>
      <w:r>
        <w:rPr>
          <w:rFonts w:ascii="Times New Roman" w:hAnsi="Times New Roman"/>
        </w:rPr>
        <w:t xml:space="preserve">Any request must also include all other information that the primary universal service provider has requested that it reasonably requires for supplying </w:t>
      </w:r>
      <w:r w:rsidR="00343DC1">
        <w:rPr>
          <w:rFonts w:ascii="Times New Roman" w:hAnsi="Times New Roman"/>
        </w:rPr>
        <w:t xml:space="preserve">a </w:t>
      </w:r>
      <w:r>
        <w:rPr>
          <w:rFonts w:ascii="Times New Roman" w:hAnsi="Times New Roman"/>
        </w:rPr>
        <w:t xml:space="preserve">standard telephone service to the premises, and </w:t>
      </w:r>
      <w:r w:rsidR="00973B7D">
        <w:rPr>
          <w:rFonts w:ascii="Times New Roman" w:hAnsi="Times New Roman"/>
        </w:rPr>
        <w:t xml:space="preserve">for the primary universal </w:t>
      </w:r>
      <w:r w:rsidR="006C5067">
        <w:rPr>
          <w:rFonts w:ascii="Times New Roman" w:hAnsi="Times New Roman"/>
        </w:rPr>
        <w:t xml:space="preserve">service </w:t>
      </w:r>
      <w:r w:rsidR="00973B7D">
        <w:rPr>
          <w:rFonts w:ascii="Times New Roman" w:hAnsi="Times New Roman"/>
        </w:rPr>
        <w:t xml:space="preserve">provider to be satisfied that </w:t>
      </w:r>
      <w:r>
        <w:rPr>
          <w:rFonts w:ascii="Times New Roman" w:hAnsi="Times New Roman"/>
        </w:rPr>
        <w:t>the circumstances in subsection</w:t>
      </w:r>
      <w:r w:rsidR="008A719C">
        <w:rPr>
          <w:rFonts w:ascii="Times New Roman" w:hAnsi="Times New Roman"/>
        </w:rPr>
        <w:t>s</w:t>
      </w:r>
      <w:r>
        <w:rPr>
          <w:rFonts w:ascii="Times New Roman" w:hAnsi="Times New Roman"/>
        </w:rPr>
        <w:t xml:space="preserve"> 7(1) and (4) do not apply</w:t>
      </w:r>
      <w:r w:rsidR="001D4488">
        <w:rPr>
          <w:rFonts w:ascii="Times New Roman" w:hAnsi="Times New Roman"/>
        </w:rPr>
        <w:t xml:space="preserve"> – these circumstances are discussed further below.</w:t>
      </w:r>
    </w:p>
    <w:p w14:paraId="1952B24F" w14:textId="1A0CD33E" w:rsidR="006229B0" w:rsidRDefault="006229B0" w:rsidP="00D906CB">
      <w:pPr>
        <w:shd w:val="clear" w:color="auto" w:fill="FFFFFF"/>
        <w:spacing w:before="400" w:after="120" w:line="300" w:lineRule="atLeast"/>
        <w:ind w:left="425" w:hanging="425"/>
        <w:rPr>
          <w:rFonts w:ascii="Times New Roman" w:hAnsi="Times New Roman"/>
          <w:b/>
          <w:bCs/>
          <w:color w:val="000000"/>
        </w:rPr>
      </w:pPr>
      <w:bookmarkStart w:id="2" w:name="OLE_LINK2"/>
      <w:bookmarkStart w:id="3" w:name="_Ref285620057"/>
      <w:bookmarkEnd w:id="2"/>
      <w:r w:rsidRPr="00250AE0">
        <w:rPr>
          <w:rFonts w:ascii="Times New Roman" w:hAnsi="Times New Roman"/>
          <w:b/>
          <w:bCs/>
          <w:color w:val="000000"/>
        </w:rPr>
        <w:lastRenderedPageBreak/>
        <w:t>7     No obligation to supply a standard telephone service in certain circumstances</w:t>
      </w:r>
      <w:bookmarkEnd w:id="3"/>
    </w:p>
    <w:p w14:paraId="0F1DDC99" w14:textId="279BAD72" w:rsidR="00B460B0" w:rsidRDefault="00B460B0" w:rsidP="00D906CB">
      <w:pPr>
        <w:spacing w:after="0"/>
        <w:ind w:left="567"/>
        <w:rPr>
          <w:rFonts w:ascii="Times New Roman" w:hAnsi="Times New Roman"/>
        </w:rPr>
      </w:pPr>
      <w:r>
        <w:rPr>
          <w:rFonts w:ascii="Times New Roman" w:hAnsi="Times New Roman"/>
        </w:rPr>
        <w:t xml:space="preserve">This section </w:t>
      </w:r>
      <w:r w:rsidR="00A93C3A">
        <w:rPr>
          <w:rFonts w:ascii="Times New Roman" w:hAnsi="Times New Roman"/>
        </w:rPr>
        <w:t>sets out limited</w:t>
      </w:r>
      <w:r>
        <w:rPr>
          <w:rFonts w:ascii="Times New Roman" w:hAnsi="Times New Roman"/>
        </w:rPr>
        <w:t xml:space="preserve"> </w:t>
      </w:r>
      <w:r w:rsidR="008E5F65">
        <w:rPr>
          <w:rFonts w:ascii="Times New Roman" w:hAnsi="Times New Roman"/>
        </w:rPr>
        <w:t xml:space="preserve">and defined </w:t>
      </w:r>
      <w:r>
        <w:rPr>
          <w:rFonts w:ascii="Times New Roman" w:hAnsi="Times New Roman"/>
        </w:rPr>
        <w:t xml:space="preserve">circumstances under which the primary universal </w:t>
      </w:r>
      <w:r w:rsidR="006C5067">
        <w:rPr>
          <w:rFonts w:ascii="Times New Roman" w:hAnsi="Times New Roman"/>
        </w:rPr>
        <w:t xml:space="preserve">service </w:t>
      </w:r>
      <w:r>
        <w:rPr>
          <w:rFonts w:ascii="Times New Roman" w:hAnsi="Times New Roman"/>
        </w:rPr>
        <w:t xml:space="preserve">provider is not required to provide </w:t>
      </w:r>
      <w:r w:rsidR="00343DC1">
        <w:rPr>
          <w:rFonts w:ascii="Times New Roman" w:hAnsi="Times New Roman"/>
        </w:rPr>
        <w:t xml:space="preserve">a </w:t>
      </w:r>
      <w:r>
        <w:rPr>
          <w:rFonts w:ascii="Times New Roman" w:hAnsi="Times New Roman"/>
        </w:rPr>
        <w:t>standard telephone service, under paragraph 9(1)(a) or subsection 9(2) of the Act.</w:t>
      </w:r>
      <w:r w:rsidR="003143B4">
        <w:rPr>
          <w:rFonts w:ascii="Times New Roman" w:hAnsi="Times New Roman"/>
        </w:rPr>
        <w:t xml:space="preserve"> Broadly, if the primary universal service provider relies on </w:t>
      </w:r>
      <w:r w:rsidR="001D4488">
        <w:rPr>
          <w:rFonts w:ascii="Times New Roman" w:hAnsi="Times New Roman"/>
        </w:rPr>
        <w:t xml:space="preserve">one or more </w:t>
      </w:r>
      <w:r w:rsidR="003143B4">
        <w:rPr>
          <w:rFonts w:ascii="Times New Roman" w:hAnsi="Times New Roman"/>
        </w:rPr>
        <w:t xml:space="preserve">circumstances set out in </w:t>
      </w:r>
      <w:r w:rsidR="001D4488">
        <w:rPr>
          <w:rFonts w:ascii="Times New Roman" w:hAnsi="Times New Roman"/>
        </w:rPr>
        <w:t>this section</w:t>
      </w:r>
      <w:r w:rsidR="003143B4">
        <w:rPr>
          <w:rFonts w:ascii="Times New Roman" w:hAnsi="Times New Roman"/>
        </w:rPr>
        <w:t xml:space="preserve"> as reason for not having to provide a standard telephone service, it must provide the basis for this decision in writing as per </w:t>
      </w:r>
      <w:r w:rsidR="001D4488">
        <w:rPr>
          <w:rFonts w:ascii="Times New Roman" w:hAnsi="Times New Roman"/>
        </w:rPr>
        <w:t xml:space="preserve">the </w:t>
      </w:r>
      <w:r w:rsidR="003143B4">
        <w:rPr>
          <w:rFonts w:ascii="Times New Roman" w:hAnsi="Times New Roman"/>
        </w:rPr>
        <w:t xml:space="preserve">notification requirements set out in </w:t>
      </w:r>
      <w:r w:rsidR="00747B81">
        <w:rPr>
          <w:rFonts w:ascii="Times New Roman" w:hAnsi="Times New Roman"/>
        </w:rPr>
        <w:t>s</w:t>
      </w:r>
      <w:r w:rsidR="003143B4">
        <w:rPr>
          <w:rFonts w:ascii="Times New Roman" w:hAnsi="Times New Roman"/>
        </w:rPr>
        <w:t>ection 8</w:t>
      </w:r>
      <w:r w:rsidR="00747B81">
        <w:rPr>
          <w:rFonts w:ascii="Times New Roman" w:hAnsi="Times New Roman"/>
        </w:rPr>
        <w:t xml:space="preserve"> (discussed in further detail below)</w:t>
      </w:r>
      <w:r w:rsidR="003143B4">
        <w:rPr>
          <w:rFonts w:ascii="Times New Roman" w:hAnsi="Times New Roman"/>
        </w:rPr>
        <w:t>.</w:t>
      </w:r>
    </w:p>
    <w:p w14:paraId="07A48AD0" w14:textId="77777777" w:rsidR="00B460B0" w:rsidRDefault="00B460B0" w:rsidP="00D906CB">
      <w:pPr>
        <w:spacing w:after="0"/>
        <w:ind w:left="567"/>
        <w:rPr>
          <w:rFonts w:ascii="Times New Roman" w:hAnsi="Times New Roman"/>
        </w:rPr>
      </w:pPr>
    </w:p>
    <w:p w14:paraId="4E6E0E00" w14:textId="7B73864C" w:rsidR="00B460B0" w:rsidRDefault="008A47C1" w:rsidP="00D906CB">
      <w:pPr>
        <w:spacing w:after="0"/>
        <w:ind w:left="567"/>
        <w:rPr>
          <w:rFonts w:ascii="Times New Roman" w:hAnsi="Times New Roman"/>
        </w:rPr>
      </w:pPr>
      <w:r>
        <w:rPr>
          <w:rFonts w:ascii="Times New Roman" w:hAnsi="Times New Roman"/>
        </w:rPr>
        <w:t>Subp</w:t>
      </w:r>
      <w:r w:rsidR="009765B2">
        <w:rPr>
          <w:rFonts w:ascii="Times New Roman" w:hAnsi="Times New Roman"/>
        </w:rPr>
        <w:t>aragraph</w:t>
      </w:r>
      <w:r w:rsidR="00B460B0">
        <w:rPr>
          <w:rFonts w:ascii="Times New Roman" w:hAnsi="Times New Roman"/>
        </w:rPr>
        <w:t xml:space="preserve"> 7(1)(i) specifies that a </w:t>
      </w:r>
      <w:r w:rsidR="003143B4">
        <w:rPr>
          <w:rFonts w:ascii="Times New Roman" w:hAnsi="Times New Roman"/>
        </w:rPr>
        <w:t xml:space="preserve">primary </w:t>
      </w:r>
      <w:r w:rsidR="00B460B0">
        <w:rPr>
          <w:rFonts w:ascii="Times New Roman" w:hAnsi="Times New Roman"/>
        </w:rPr>
        <w:t xml:space="preserve">universal service provider is not obliged to supply </w:t>
      </w:r>
      <w:r w:rsidR="00343DC1">
        <w:rPr>
          <w:rFonts w:ascii="Times New Roman" w:hAnsi="Times New Roman"/>
        </w:rPr>
        <w:t xml:space="preserve">a </w:t>
      </w:r>
      <w:r w:rsidR="00B460B0">
        <w:rPr>
          <w:rFonts w:ascii="Times New Roman" w:hAnsi="Times New Roman"/>
        </w:rPr>
        <w:t xml:space="preserve">standard telephone service to </w:t>
      </w:r>
      <w:r w:rsidR="00B460B0" w:rsidRPr="00F83487">
        <w:rPr>
          <w:rFonts w:ascii="Times New Roman" w:hAnsi="Times New Roman"/>
          <w:b/>
          <w:i/>
        </w:rPr>
        <w:t>excluded premises</w:t>
      </w:r>
      <w:r w:rsidR="00973B7D">
        <w:rPr>
          <w:rFonts w:ascii="Times New Roman" w:hAnsi="Times New Roman"/>
        </w:rPr>
        <w:t xml:space="preserve">. Excluded premises are </w:t>
      </w:r>
      <w:r w:rsidR="00973B7D" w:rsidRPr="00A93C3A">
        <w:rPr>
          <w:rFonts w:ascii="Times New Roman" w:hAnsi="Times New Roman"/>
        </w:rPr>
        <w:t xml:space="preserve">defined in </w:t>
      </w:r>
      <w:r w:rsidR="009765B2" w:rsidRPr="00A93C3A">
        <w:rPr>
          <w:rFonts w:ascii="Times New Roman" w:hAnsi="Times New Roman"/>
        </w:rPr>
        <w:t>subsection</w:t>
      </w:r>
      <w:r w:rsidR="00B460B0" w:rsidRPr="00A93C3A">
        <w:rPr>
          <w:rFonts w:ascii="Times New Roman" w:hAnsi="Times New Roman"/>
        </w:rPr>
        <w:t xml:space="preserve"> 4(2). </w:t>
      </w:r>
      <w:r w:rsidR="0054598B">
        <w:rPr>
          <w:rFonts w:ascii="Times New Roman" w:hAnsi="Times New Roman"/>
        </w:rPr>
        <w:t>However, u</w:t>
      </w:r>
      <w:r w:rsidR="008A719C" w:rsidRPr="00A93C3A">
        <w:rPr>
          <w:rFonts w:ascii="Times New Roman" w:hAnsi="Times New Roman"/>
        </w:rPr>
        <w:t xml:space="preserve">nless there are </w:t>
      </w:r>
      <w:r w:rsidR="0054598B">
        <w:rPr>
          <w:rFonts w:ascii="Times New Roman" w:hAnsi="Times New Roman"/>
        </w:rPr>
        <w:t xml:space="preserve">broader </w:t>
      </w:r>
      <w:r w:rsidR="008A719C" w:rsidRPr="00A93C3A">
        <w:rPr>
          <w:rFonts w:ascii="Times New Roman" w:hAnsi="Times New Roman"/>
        </w:rPr>
        <w:t xml:space="preserve">circumstances </w:t>
      </w:r>
      <w:r w:rsidR="00F76FF6" w:rsidRPr="00A93C3A">
        <w:rPr>
          <w:rFonts w:ascii="Times New Roman" w:hAnsi="Times New Roman"/>
        </w:rPr>
        <w:t xml:space="preserve">that </w:t>
      </w:r>
      <w:r w:rsidR="008A719C" w:rsidRPr="00A93C3A">
        <w:rPr>
          <w:rFonts w:ascii="Times New Roman" w:hAnsi="Times New Roman"/>
        </w:rPr>
        <w:t>prevent connection</w:t>
      </w:r>
      <w:r w:rsidR="00F76FF6" w:rsidRPr="00A93C3A">
        <w:rPr>
          <w:rFonts w:ascii="Times New Roman" w:hAnsi="Times New Roman"/>
        </w:rPr>
        <w:t xml:space="preserve"> (set out in </w:t>
      </w:r>
      <w:r w:rsidR="0054598B">
        <w:rPr>
          <w:rFonts w:ascii="Times New Roman" w:hAnsi="Times New Roman"/>
        </w:rPr>
        <w:t>sub</w:t>
      </w:r>
      <w:r w:rsidR="00F76FF6" w:rsidRPr="00A93C3A">
        <w:rPr>
          <w:rFonts w:ascii="Times New Roman" w:hAnsi="Times New Roman"/>
        </w:rPr>
        <w:t>section 7(4))</w:t>
      </w:r>
      <w:r w:rsidR="008A719C" w:rsidRPr="00A93C3A">
        <w:rPr>
          <w:rFonts w:ascii="Times New Roman" w:hAnsi="Times New Roman"/>
        </w:rPr>
        <w:t>, a</w:t>
      </w:r>
      <w:r w:rsidR="00973B7D" w:rsidRPr="00A93C3A">
        <w:rPr>
          <w:rFonts w:ascii="Times New Roman" w:hAnsi="Times New Roman"/>
        </w:rPr>
        <w:t xml:space="preserve"> </w:t>
      </w:r>
      <w:r w:rsidR="006C5067" w:rsidRPr="00A93C3A">
        <w:rPr>
          <w:rFonts w:ascii="Times New Roman" w:hAnsi="Times New Roman"/>
        </w:rPr>
        <w:t>primary</w:t>
      </w:r>
      <w:r w:rsidR="006C5067">
        <w:rPr>
          <w:rFonts w:ascii="Times New Roman" w:hAnsi="Times New Roman"/>
        </w:rPr>
        <w:t xml:space="preserve"> </w:t>
      </w:r>
      <w:r w:rsidR="00973B7D">
        <w:rPr>
          <w:rFonts w:ascii="Times New Roman" w:hAnsi="Times New Roman"/>
        </w:rPr>
        <w:t>u</w:t>
      </w:r>
      <w:r w:rsidR="00B460B0">
        <w:rPr>
          <w:rFonts w:ascii="Times New Roman" w:hAnsi="Times New Roman"/>
        </w:rPr>
        <w:t xml:space="preserve">niversal service provider </w:t>
      </w:r>
      <w:r w:rsidR="00973B7D">
        <w:rPr>
          <w:rFonts w:ascii="Times New Roman" w:hAnsi="Times New Roman"/>
        </w:rPr>
        <w:t xml:space="preserve">is </w:t>
      </w:r>
      <w:r w:rsidR="00B460B0">
        <w:rPr>
          <w:rFonts w:ascii="Times New Roman" w:hAnsi="Times New Roman"/>
        </w:rPr>
        <w:t xml:space="preserve">expected to supply </w:t>
      </w:r>
      <w:r w:rsidR="008E5F65">
        <w:rPr>
          <w:rFonts w:ascii="Times New Roman" w:hAnsi="Times New Roman"/>
        </w:rPr>
        <w:t xml:space="preserve">a </w:t>
      </w:r>
      <w:r w:rsidR="00B460B0" w:rsidRPr="00A93C3A">
        <w:rPr>
          <w:rFonts w:ascii="Times New Roman" w:hAnsi="Times New Roman"/>
        </w:rPr>
        <w:t xml:space="preserve">standard telephone service </w:t>
      </w:r>
      <w:r w:rsidR="008E5F65">
        <w:rPr>
          <w:rFonts w:ascii="Times New Roman" w:hAnsi="Times New Roman"/>
        </w:rPr>
        <w:t xml:space="preserve">on request </w:t>
      </w:r>
      <w:r w:rsidR="00B460B0" w:rsidRPr="00A93C3A">
        <w:rPr>
          <w:rFonts w:ascii="Times New Roman" w:hAnsi="Times New Roman"/>
        </w:rPr>
        <w:t xml:space="preserve">to </w:t>
      </w:r>
      <w:r w:rsidR="00B460B0" w:rsidRPr="00A93C3A">
        <w:rPr>
          <w:rFonts w:ascii="Times New Roman" w:hAnsi="Times New Roman"/>
          <w:b/>
          <w:i/>
        </w:rPr>
        <w:t>distinct residen</w:t>
      </w:r>
      <w:r w:rsidR="00973B7D" w:rsidRPr="00A93C3A">
        <w:rPr>
          <w:rFonts w:ascii="Times New Roman" w:hAnsi="Times New Roman"/>
          <w:b/>
          <w:i/>
        </w:rPr>
        <w:t>ces</w:t>
      </w:r>
      <w:r w:rsidR="008A719C" w:rsidRPr="00A93C3A">
        <w:rPr>
          <w:rFonts w:ascii="Times New Roman" w:hAnsi="Times New Roman"/>
        </w:rPr>
        <w:t>. The instrument provides a</w:t>
      </w:r>
      <w:r w:rsidR="00F76FF6" w:rsidRPr="00A93C3A">
        <w:rPr>
          <w:rFonts w:ascii="Times New Roman" w:hAnsi="Times New Roman"/>
        </w:rPr>
        <w:t xml:space="preserve"> </w:t>
      </w:r>
      <w:r w:rsidR="008A719C" w:rsidRPr="00A93C3A">
        <w:rPr>
          <w:rFonts w:ascii="Times New Roman" w:hAnsi="Times New Roman"/>
        </w:rPr>
        <w:t xml:space="preserve">list </w:t>
      </w:r>
      <w:r w:rsidR="006A526D" w:rsidRPr="00A93C3A">
        <w:rPr>
          <w:rFonts w:ascii="Times New Roman" w:hAnsi="Times New Roman"/>
        </w:rPr>
        <w:t xml:space="preserve">of premises </w:t>
      </w:r>
      <w:r w:rsidR="008A719C" w:rsidRPr="00A93C3A">
        <w:rPr>
          <w:rFonts w:ascii="Times New Roman" w:hAnsi="Times New Roman"/>
        </w:rPr>
        <w:t>that are considered distinct residences</w:t>
      </w:r>
      <w:r w:rsidR="00D8070D" w:rsidRPr="00A93C3A">
        <w:rPr>
          <w:rFonts w:ascii="Times New Roman" w:hAnsi="Times New Roman"/>
        </w:rPr>
        <w:t>,</w:t>
      </w:r>
      <w:r w:rsidR="008A719C" w:rsidRPr="00A93C3A">
        <w:rPr>
          <w:rFonts w:ascii="Times New Roman" w:hAnsi="Times New Roman"/>
        </w:rPr>
        <w:t xml:space="preserve"> </w:t>
      </w:r>
      <w:r w:rsidR="0054598B">
        <w:rPr>
          <w:rFonts w:ascii="Times New Roman" w:hAnsi="Times New Roman"/>
        </w:rPr>
        <w:t xml:space="preserve">including but not </w:t>
      </w:r>
      <w:r w:rsidR="003143B4" w:rsidRPr="00A93C3A">
        <w:rPr>
          <w:rFonts w:ascii="Times New Roman" w:hAnsi="Times New Roman"/>
        </w:rPr>
        <w:t>limited to</w:t>
      </w:r>
      <w:r w:rsidR="008A719C" w:rsidRPr="00A93C3A">
        <w:rPr>
          <w:rFonts w:ascii="Times New Roman" w:hAnsi="Times New Roman"/>
        </w:rPr>
        <w:t xml:space="preserve"> </w:t>
      </w:r>
      <w:r w:rsidR="00F76FF6" w:rsidRPr="00A93C3A">
        <w:rPr>
          <w:rFonts w:ascii="Times New Roman" w:hAnsi="Times New Roman"/>
        </w:rPr>
        <w:t>a separate farm dwelling, a caravan</w:t>
      </w:r>
      <w:r w:rsidR="00D8070D" w:rsidRPr="00A93C3A">
        <w:rPr>
          <w:rFonts w:ascii="Times New Roman" w:hAnsi="Times New Roman"/>
        </w:rPr>
        <w:t xml:space="preserve"> or motorhome located at a caravan park where the person making the request is a long-term resident of the caravan park</w:t>
      </w:r>
      <w:r w:rsidR="00F76FF6" w:rsidRPr="00A93C3A">
        <w:rPr>
          <w:rFonts w:ascii="Times New Roman" w:hAnsi="Times New Roman"/>
        </w:rPr>
        <w:t>, or a distinct residence in a mining or isolated community</w:t>
      </w:r>
      <w:r w:rsidR="008A719C" w:rsidRPr="00A93C3A">
        <w:rPr>
          <w:rFonts w:ascii="Times New Roman" w:hAnsi="Times New Roman"/>
        </w:rPr>
        <w:t xml:space="preserve">. </w:t>
      </w:r>
      <w:r w:rsidR="006A526D" w:rsidRPr="00A93C3A">
        <w:rPr>
          <w:rFonts w:ascii="Times New Roman" w:hAnsi="Times New Roman"/>
        </w:rPr>
        <w:t>In contrast, i</w:t>
      </w:r>
      <w:r w:rsidR="00B460B0" w:rsidRPr="00A93C3A">
        <w:rPr>
          <w:rFonts w:ascii="Times New Roman" w:hAnsi="Times New Roman"/>
        </w:rPr>
        <w:t>ndividual</w:t>
      </w:r>
      <w:r w:rsidR="00B460B0">
        <w:rPr>
          <w:rFonts w:ascii="Times New Roman" w:hAnsi="Times New Roman"/>
        </w:rPr>
        <w:t xml:space="preserve"> rooms in hotels, nursing homes or hospitals</w:t>
      </w:r>
      <w:r w:rsidR="006A526D">
        <w:rPr>
          <w:rFonts w:ascii="Times New Roman" w:hAnsi="Times New Roman"/>
        </w:rPr>
        <w:t xml:space="preserve"> </w:t>
      </w:r>
      <w:r w:rsidR="00B460B0">
        <w:rPr>
          <w:rFonts w:ascii="Times New Roman" w:hAnsi="Times New Roman"/>
        </w:rPr>
        <w:t xml:space="preserve">would be considered </w:t>
      </w:r>
      <w:r w:rsidR="00B460B0" w:rsidRPr="00A93C3A">
        <w:rPr>
          <w:rFonts w:ascii="Times New Roman" w:hAnsi="Times New Roman"/>
          <w:b/>
          <w:i/>
        </w:rPr>
        <w:t>excluded premises</w:t>
      </w:r>
      <w:r w:rsidR="00B460B0">
        <w:rPr>
          <w:rFonts w:ascii="Times New Roman" w:hAnsi="Times New Roman"/>
        </w:rPr>
        <w:t xml:space="preserve"> as they do not provide for independent private residency. </w:t>
      </w:r>
      <w:r w:rsidR="0054598B">
        <w:rPr>
          <w:rFonts w:ascii="Times New Roman" w:hAnsi="Times New Roman"/>
        </w:rPr>
        <w:t>W</w:t>
      </w:r>
      <w:r w:rsidR="006A526D">
        <w:rPr>
          <w:rFonts w:ascii="Times New Roman" w:hAnsi="Times New Roman"/>
        </w:rPr>
        <w:t xml:space="preserve">hile a primary universal service provider would generally be expected, if requested, to provide a standard telephone service to a </w:t>
      </w:r>
      <w:r w:rsidR="001D4488">
        <w:rPr>
          <w:rFonts w:ascii="Times New Roman" w:hAnsi="Times New Roman"/>
        </w:rPr>
        <w:t xml:space="preserve">hotel, </w:t>
      </w:r>
      <w:r w:rsidR="006A526D">
        <w:rPr>
          <w:rFonts w:ascii="Times New Roman" w:hAnsi="Times New Roman"/>
        </w:rPr>
        <w:t xml:space="preserve">nursing home or hospital, the supply of voice services to individual occupants of rooms within </w:t>
      </w:r>
      <w:r w:rsidR="0054598B">
        <w:rPr>
          <w:rFonts w:ascii="Times New Roman" w:hAnsi="Times New Roman"/>
        </w:rPr>
        <w:t>such</w:t>
      </w:r>
      <w:r w:rsidR="006A526D">
        <w:rPr>
          <w:rFonts w:ascii="Times New Roman" w:hAnsi="Times New Roman"/>
        </w:rPr>
        <w:t xml:space="preserve"> premises would typically be arranged on a commercial basis or by using </w:t>
      </w:r>
      <w:r w:rsidR="00B460B0">
        <w:rPr>
          <w:rFonts w:ascii="Times New Roman" w:hAnsi="Times New Roman"/>
        </w:rPr>
        <w:t>appropriate internal systems by the entities that own or operate those buildings.</w:t>
      </w:r>
    </w:p>
    <w:p w14:paraId="6F1BF7EE" w14:textId="77777777" w:rsidR="00B460B0" w:rsidRDefault="00B460B0" w:rsidP="00D906CB">
      <w:pPr>
        <w:spacing w:after="0"/>
        <w:ind w:left="567"/>
        <w:rPr>
          <w:rFonts w:ascii="Times New Roman" w:hAnsi="Times New Roman"/>
        </w:rPr>
      </w:pPr>
    </w:p>
    <w:p w14:paraId="7A41FF72" w14:textId="4CB4BC88" w:rsidR="00973B7D" w:rsidRDefault="00973B7D" w:rsidP="00D906CB">
      <w:pPr>
        <w:spacing w:after="0"/>
        <w:ind w:left="567"/>
        <w:rPr>
          <w:rFonts w:ascii="Times New Roman" w:hAnsi="Times New Roman"/>
        </w:rPr>
      </w:pPr>
      <w:r>
        <w:rPr>
          <w:rFonts w:ascii="Times New Roman" w:hAnsi="Times New Roman"/>
        </w:rPr>
        <w:t>Subp</w:t>
      </w:r>
      <w:r w:rsidR="009765B2">
        <w:rPr>
          <w:rFonts w:ascii="Times New Roman" w:hAnsi="Times New Roman"/>
        </w:rPr>
        <w:t>aragraphs</w:t>
      </w:r>
      <w:r w:rsidR="00B460B0">
        <w:rPr>
          <w:rFonts w:ascii="Times New Roman" w:hAnsi="Times New Roman"/>
        </w:rPr>
        <w:t xml:space="preserve"> 7(1)</w:t>
      </w:r>
      <w:r>
        <w:rPr>
          <w:rFonts w:ascii="Times New Roman" w:hAnsi="Times New Roman"/>
        </w:rPr>
        <w:t>(a)</w:t>
      </w:r>
      <w:r w:rsidR="00B460B0">
        <w:rPr>
          <w:rFonts w:ascii="Times New Roman" w:hAnsi="Times New Roman"/>
        </w:rPr>
        <w:t xml:space="preserve">(ii)-(ix) set out </w:t>
      </w:r>
      <w:r>
        <w:rPr>
          <w:rFonts w:ascii="Times New Roman" w:hAnsi="Times New Roman"/>
        </w:rPr>
        <w:t xml:space="preserve">a </w:t>
      </w:r>
      <w:r w:rsidR="0059791B">
        <w:rPr>
          <w:rFonts w:ascii="Times New Roman" w:hAnsi="Times New Roman"/>
        </w:rPr>
        <w:t>list</w:t>
      </w:r>
      <w:r>
        <w:rPr>
          <w:rFonts w:ascii="Times New Roman" w:hAnsi="Times New Roman"/>
        </w:rPr>
        <w:t xml:space="preserve"> of </w:t>
      </w:r>
      <w:r w:rsidR="00B460B0">
        <w:rPr>
          <w:rFonts w:ascii="Times New Roman" w:hAnsi="Times New Roman"/>
        </w:rPr>
        <w:t>circumstances</w:t>
      </w:r>
      <w:r>
        <w:rPr>
          <w:rFonts w:ascii="Times New Roman" w:hAnsi="Times New Roman"/>
        </w:rPr>
        <w:t xml:space="preserve">. If one or more of these circumstances apply </w:t>
      </w:r>
      <w:r w:rsidR="0054598B">
        <w:rPr>
          <w:rFonts w:ascii="Times New Roman" w:hAnsi="Times New Roman"/>
        </w:rPr>
        <w:t>to a</w:t>
      </w:r>
      <w:r>
        <w:rPr>
          <w:rFonts w:ascii="Times New Roman" w:hAnsi="Times New Roman"/>
        </w:rPr>
        <w:t xml:space="preserve"> request </w:t>
      </w:r>
      <w:r w:rsidR="0054598B">
        <w:rPr>
          <w:rFonts w:ascii="Times New Roman" w:hAnsi="Times New Roman"/>
        </w:rPr>
        <w:t xml:space="preserve">to </w:t>
      </w:r>
      <w:r w:rsidR="0059791B">
        <w:rPr>
          <w:rFonts w:ascii="Times New Roman" w:hAnsi="Times New Roman"/>
        </w:rPr>
        <w:t xml:space="preserve">supply </w:t>
      </w:r>
      <w:r w:rsidR="006A526D">
        <w:rPr>
          <w:rFonts w:ascii="Times New Roman" w:hAnsi="Times New Roman"/>
        </w:rPr>
        <w:t xml:space="preserve">a </w:t>
      </w:r>
      <w:r w:rsidR="0059791B">
        <w:rPr>
          <w:rFonts w:ascii="Times New Roman" w:hAnsi="Times New Roman"/>
        </w:rPr>
        <w:t>standard telephone service to a premises</w:t>
      </w:r>
      <w:r>
        <w:rPr>
          <w:rFonts w:ascii="Times New Roman" w:hAnsi="Times New Roman"/>
        </w:rPr>
        <w:t xml:space="preserve">, a </w:t>
      </w:r>
      <w:r w:rsidR="00B460B0">
        <w:rPr>
          <w:rFonts w:ascii="Times New Roman" w:hAnsi="Times New Roman"/>
        </w:rPr>
        <w:t xml:space="preserve">primary universal service provider is not </w:t>
      </w:r>
      <w:r>
        <w:rPr>
          <w:rFonts w:ascii="Times New Roman" w:hAnsi="Times New Roman"/>
        </w:rPr>
        <w:t xml:space="preserve">reasonably </w:t>
      </w:r>
      <w:r w:rsidR="00B460B0">
        <w:rPr>
          <w:rFonts w:ascii="Times New Roman" w:hAnsi="Times New Roman"/>
        </w:rPr>
        <w:t xml:space="preserve">required to supply </w:t>
      </w:r>
      <w:r w:rsidR="0054598B">
        <w:rPr>
          <w:rFonts w:ascii="Times New Roman" w:hAnsi="Times New Roman"/>
        </w:rPr>
        <w:t>that service</w:t>
      </w:r>
      <w:r w:rsidR="00B460B0">
        <w:rPr>
          <w:rFonts w:ascii="Times New Roman" w:hAnsi="Times New Roman"/>
        </w:rPr>
        <w:t xml:space="preserve">. </w:t>
      </w:r>
      <w:r>
        <w:rPr>
          <w:rFonts w:ascii="Times New Roman" w:hAnsi="Times New Roman"/>
        </w:rPr>
        <w:t xml:space="preserve">It is important to note that as circumstances can change, a primary universal service provider may need to reconsider </w:t>
      </w:r>
      <w:r w:rsidR="006A526D">
        <w:rPr>
          <w:rFonts w:ascii="Times New Roman" w:hAnsi="Times New Roman"/>
        </w:rPr>
        <w:t xml:space="preserve">subsequent </w:t>
      </w:r>
      <w:r>
        <w:rPr>
          <w:rFonts w:ascii="Times New Roman" w:hAnsi="Times New Roman"/>
        </w:rPr>
        <w:t>requests on their merits</w:t>
      </w:r>
      <w:r w:rsidR="00765D01">
        <w:rPr>
          <w:rFonts w:ascii="Times New Roman" w:hAnsi="Times New Roman"/>
        </w:rPr>
        <w:t>, including if any circumstances have changed</w:t>
      </w:r>
      <w:r>
        <w:rPr>
          <w:rFonts w:ascii="Times New Roman" w:hAnsi="Times New Roman"/>
        </w:rPr>
        <w:t>.</w:t>
      </w:r>
    </w:p>
    <w:p w14:paraId="6DCC5F71" w14:textId="77777777" w:rsidR="00973B7D" w:rsidRDefault="00973B7D" w:rsidP="00D906CB">
      <w:pPr>
        <w:spacing w:after="0"/>
        <w:ind w:left="567"/>
        <w:rPr>
          <w:rFonts w:ascii="Times New Roman" w:hAnsi="Times New Roman"/>
        </w:rPr>
      </w:pPr>
    </w:p>
    <w:p w14:paraId="2CF20ED6" w14:textId="50C0F9BD" w:rsidR="00523CD3" w:rsidRDefault="00720247">
      <w:pPr>
        <w:spacing w:after="0"/>
        <w:ind w:left="567"/>
        <w:rPr>
          <w:rFonts w:ascii="Times New Roman" w:hAnsi="Times New Roman"/>
        </w:rPr>
      </w:pPr>
      <w:r>
        <w:rPr>
          <w:rFonts w:ascii="Times New Roman" w:hAnsi="Times New Roman"/>
        </w:rPr>
        <w:t xml:space="preserve">Subparagraph 7(1)(a)(ii) </w:t>
      </w:r>
      <w:r w:rsidR="0059791B">
        <w:rPr>
          <w:rFonts w:ascii="Times New Roman" w:hAnsi="Times New Roman"/>
        </w:rPr>
        <w:t>specifies</w:t>
      </w:r>
      <w:r>
        <w:rPr>
          <w:rFonts w:ascii="Times New Roman" w:hAnsi="Times New Roman"/>
        </w:rPr>
        <w:t xml:space="preserve"> that a primary universal service provider is not required to </w:t>
      </w:r>
      <w:r w:rsidR="00892095">
        <w:rPr>
          <w:rFonts w:ascii="Times New Roman" w:hAnsi="Times New Roman"/>
        </w:rPr>
        <w:t>supply</w:t>
      </w:r>
      <w:r>
        <w:rPr>
          <w:rFonts w:ascii="Times New Roman" w:hAnsi="Times New Roman"/>
        </w:rPr>
        <w:t xml:space="preserve"> </w:t>
      </w:r>
      <w:r w:rsidR="00343DC1">
        <w:rPr>
          <w:rFonts w:ascii="Times New Roman" w:hAnsi="Times New Roman"/>
        </w:rPr>
        <w:t xml:space="preserve">a </w:t>
      </w:r>
      <w:r>
        <w:rPr>
          <w:rFonts w:ascii="Times New Roman" w:hAnsi="Times New Roman"/>
        </w:rPr>
        <w:t xml:space="preserve">standard telephone service if </w:t>
      </w:r>
      <w:r w:rsidR="00B460B0">
        <w:rPr>
          <w:rFonts w:ascii="Times New Roman" w:hAnsi="Times New Roman"/>
        </w:rPr>
        <w:t xml:space="preserve">a </w:t>
      </w:r>
      <w:r w:rsidR="00892095">
        <w:rPr>
          <w:rFonts w:ascii="Times New Roman" w:hAnsi="Times New Roman"/>
        </w:rPr>
        <w:t xml:space="preserve">request </w:t>
      </w:r>
      <w:r w:rsidR="00B460B0">
        <w:rPr>
          <w:rFonts w:ascii="Times New Roman" w:hAnsi="Times New Roman"/>
        </w:rPr>
        <w:t>ha</w:t>
      </w:r>
      <w:r w:rsidR="008E5F65">
        <w:rPr>
          <w:rFonts w:ascii="Times New Roman" w:hAnsi="Times New Roman"/>
        </w:rPr>
        <w:t xml:space="preserve">s already </w:t>
      </w:r>
      <w:r w:rsidR="00B460B0">
        <w:rPr>
          <w:rFonts w:ascii="Times New Roman" w:hAnsi="Times New Roman"/>
        </w:rPr>
        <w:t xml:space="preserve">been </w:t>
      </w:r>
      <w:r w:rsidR="00B460B0" w:rsidRPr="00CF5FE7">
        <w:rPr>
          <w:rFonts w:ascii="Times New Roman" w:hAnsi="Times New Roman"/>
        </w:rPr>
        <w:t xml:space="preserve">made (a </w:t>
      </w:r>
      <w:r w:rsidR="00B460B0" w:rsidRPr="00D906CB">
        <w:rPr>
          <w:rFonts w:ascii="Times New Roman" w:hAnsi="Times New Roman"/>
        </w:rPr>
        <w:t>pending request</w:t>
      </w:r>
      <w:r w:rsidR="00B460B0" w:rsidRPr="00CF5FE7">
        <w:rPr>
          <w:rFonts w:ascii="Times New Roman" w:hAnsi="Times New Roman"/>
        </w:rPr>
        <w:t>)</w:t>
      </w:r>
      <w:r>
        <w:rPr>
          <w:rFonts w:ascii="Times New Roman" w:hAnsi="Times New Roman"/>
        </w:rPr>
        <w:t xml:space="preserve">. </w:t>
      </w:r>
      <w:r w:rsidR="00066831">
        <w:rPr>
          <w:rFonts w:ascii="Times New Roman" w:hAnsi="Times New Roman"/>
        </w:rPr>
        <w:t xml:space="preserve">This includes if the pending request was made </w:t>
      </w:r>
      <w:r w:rsidR="00892095">
        <w:rPr>
          <w:rFonts w:ascii="Times New Roman" w:hAnsi="Times New Roman"/>
        </w:rPr>
        <w:t>to</w:t>
      </w:r>
      <w:r w:rsidR="00066831">
        <w:rPr>
          <w:rFonts w:ascii="Times New Roman" w:hAnsi="Times New Roman"/>
        </w:rPr>
        <w:t xml:space="preserve"> an alternat</w:t>
      </w:r>
      <w:r w:rsidR="00747B81">
        <w:rPr>
          <w:rFonts w:ascii="Times New Roman" w:hAnsi="Times New Roman"/>
        </w:rPr>
        <w:t>ive</w:t>
      </w:r>
      <w:r w:rsidR="00066831">
        <w:rPr>
          <w:rFonts w:ascii="Times New Roman" w:hAnsi="Times New Roman"/>
        </w:rPr>
        <w:t xml:space="preserve"> carriage service provider or whether it was made by the person making the subsequent request, or a third party. </w:t>
      </w:r>
      <w:r w:rsidR="008E5F65">
        <w:rPr>
          <w:rFonts w:ascii="Times New Roman" w:hAnsi="Times New Roman"/>
        </w:rPr>
        <w:t xml:space="preserve">This reflects a primary universal service provider is not expected to supply the STS where a process is already underway to provide STS to the same </w:t>
      </w:r>
      <w:r w:rsidRPr="00A93C3A">
        <w:rPr>
          <w:rFonts w:ascii="Times New Roman" w:hAnsi="Times New Roman"/>
        </w:rPr>
        <w:t xml:space="preserve">premises. </w:t>
      </w:r>
      <w:r w:rsidR="008E5F65">
        <w:rPr>
          <w:rFonts w:ascii="Times New Roman" w:hAnsi="Times New Roman"/>
        </w:rPr>
        <w:t xml:space="preserve">However, </w:t>
      </w:r>
      <w:r w:rsidR="008A47C1">
        <w:rPr>
          <w:rFonts w:ascii="Times New Roman" w:hAnsi="Times New Roman"/>
        </w:rPr>
        <w:t>sub</w:t>
      </w:r>
      <w:r w:rsidR="008E5F65">
        <w:rPr>
          <w:rFonts w:ascii="Times New Roman" w:hAnsi="Times New Roman"/>
        </w:rPr>
        <w:t>p</w:t>
      </w:r>
      <w:r w:rsidR="00523CD3" w:rsidRPr="00A93C3A">
        <w:rPr>
          <w:rFonts w:ascii="Times New Roman" w:hAnsi="Times New Roman"/>
        </w:rPr>
        <w:t>aragraph</w:t>
      </w:r>
      <w:r w:rsidR="008A47C1">
        <w:rPr>
          <w:rFonts w:ascii="Times New Roman" w:hAnsi="Times New Roman"/>
        </w:rPr>
        <w:t>s</w:t>
      </w:r>
      <w:r w:rsidR="00523CD3" w:rsidRPr="00A93C3A">
        <w:rPr>
          <w:rFonts w:ascii="Times New Roman" w:hAnsi="Times New Roman"/>
        </w:rPr>
        <w:t xml:space="preserve"> 7(2)(a)</w:t>
      </w:r>
      <w:r w:rsidR="0054598B">
        <w:rPr>
          <w:rFonts w:ascii="Times New Roman" w:hAnsi="Times New Roman"/>
        </w:rPr>
        <w:t xml:space="preserve"> and </w:t>
      </w:r>
      <w:r w:rsidR="00BF7732" w:rsidRPr="00A93C3A">
        <w:rPr>
          <w:rFonts w:ascii="Times New Roman" w:hAnsi="Times New Roman"/>
        </w:rPr>
        <w:t>(b)</w:t>
      </w:r>
      <w:r w:rsidR="00523CD3" w:rsidRPr="00A93C3A">
        <w:rPr>
          <w:rFonts w:ascii="Times New Roman" w:hAnsi="Times New Roman"/>
        </w:rPr>
        <w:t xml:space="preserve"> </w:t>
      </w:r>
      <w:r w:rsidR="0059791B" w:rsidRPr="00A93C3A">
        <w:rPr>
          <w:rFonts w:ascii="Times New Roman" w:hAnsi="Times New Roman"/>
        </w:rPr>
        <w:t>provide</w:t>
      </w:r>
      <w:r w:rsidR="00523CD3" w:rsidRPr="00A93C3A">
        <w:rPr>
          <w:rFonts w:ascii="Times New Roman" w:hAnsi="Times New Roman"/>
        </w:rPr>
        <w:t xml:space="preserve"> </w:t>
      </w:r>
      <w:r w:rsidR="00066831" w:rsidRPr="00A93C3A">
        <w:rPr>
          <w:rFonts w:ascii="Times New Roman" w:hAnsi="Times New Roman"/>
        </w:rPr>
        <w:t>a</w:t>
      </w:r>
      <w:r w:rsidR="00892095" w:rsidRPr="00A93C3A">
        <w:rPr>
          <w:rFonts w:ascii="Times New Roman" w:hAnsi="Times New Roman"/>
        </w:rPr>
        <w:t xml:space="preserve"> </w:t>
      </w:r>
      <w:r w:rsidR="00BF7732" w:rsidRPr="00A93C3A">
        <w:rPr>
          <w:rFonts w:ascii="Times New Roman" w:hAnsi="Times New Roman"/>
        </w:rPr>
        <w:t xml:space="preserve">primary universal service provider must supply a standard telephone service to a premises if a pending request does not require the supply of equipment, good or other services under the </w:t>
      </w:r>
      <w:r w:rsidR="00BF7732" w:rsidRPr="00A93C3A">
        <w:rPr>
          <w:rFonts w:ascii="Times New Roman" w:hAnsi="Times New Roman"/>
          <w:i/>
        </w:rPr>
        <w:t>Disability Discrimination Act 1992</w:t>
      </w:r>
      <w:r w:rsidR="00BF7732" w:rsidRPr="00A93C3A">
        <w:rPr>
          <w:rFonts w:ascii="Times New Roman" w:hAnsi="Times New Roman"/>
        </w:rPr>
        <w:t>, but th</w:t>
      </w:r>
      <w:r w:rsidR="00B62F02" w:rsidRPr="00A93C3A">
        <w:rPr>
          <w:rFonts w:ascii="Times New Roman" w:hAnsi="Times New Roman"/>
        </w:rPr>
        <w:t>is</w:t>
      </w:r>
      <w:r w:rsidR="00BF7732" w:rsidRPr="00A93C3A">
        <w:rPr>
          <w:rFonts w:ascii="Times New Roman" w:hAnsi="Times New Roman"/>
        </w:rPr>
        <w:t xml:space="preserve"> equipment or services are required </w:t>
      </w:r>
      <w:r w:rsidR="00B62F02" w:rsidRPr="00A93C3A">
        <w:rPr>
          <w:rFonts w:ascii="Times New Roman" w:hAnsi="Times New Roman"/>
        </w:rPr>
        <w:t xml:space="preserve">in the subsequent request, </w:t>
      </w:r>
      <w:r w:rsidR="00FB5739" w:rsidRPr="00A93C3A">
        <w:rPr>
          <w:rFonts w:ascii="Times New Roman" w:hAnsi="Times New Roman"/>
        </w:rPr>
        <w:t>as set out in</w:t>
      </w:r>
      <w:r w:rsidR="00066831" w:rsidRPr="00A93C3A">
        <w:rPr>
          <w:rFonts w:ascii="Times New Roman" w:hAnsi="Times New Roman"/>
        </w:rPr>
        <w:t xml:space="preserve"> </w:t>
      </w:r>
      <w:r w:rsidR="007A44D1" w:rsidRPr="00A93C3A">
        <w:rPr>
          <w:rFonts w:ascii="Times New Roman" w:hAnsi="Times New Roman"/>
        </w:rPr>
        <w:t>subparagraph 7(1)(a)(ii)</w:t>
      </w:r>
      <w:r w:rsidR="00523CD3" w:rsidRPr="00A93C3A">
        <w:rPr>
          <w:rFonts w:ascii="Times New Roman" w:hAnsi="Times New Roman"/>
        </w:rPr>
        <w:t xml:space="preserve">. </w:t>
      </w:r>
      <w:r w:rsidR="00747B81">
        <w:rPr>
          <w:rFonts w:ascii="Times New Roman" w:hAnsi="Times New Roman"/>
        </w:rPr>
        <w:t>This is so people can access equipment if needed under the Disability Equipment Program that the current universal service provider (Telstra) operates.</w:t>
      </w:r>
    </w:p>
    <w:p w14:paraId="1AAEBC72" w14:textId="3C802154" w:rsidR="00523CD3" w:rsidRDefault="00523CD3" w:rsidP="00D906CB">
      <w:pPr>
        <w:spacing w:after="0"/>
        <w:ind w:left="567"/>
        <w:rPr>
          <w:rFonts w:ascii="Times New Roman" w:hAnsi="Times New Roman"/>
        </w:rPr>
      </w:pPr>
    </w:p>
    <w:p w14:paraId="1A8B6B09" w14:textId="21A63760" w:rsidR="00523CD3" w:rsidRDefault="00FB5739" w:rsidP="00D906CB">
      <w:pPr>
        <w:spacing w:after="0"/>
        <w:ind w:left="567"/>
        <w:rPr>
          <w:rFonts w:ascii="Times New Roman" w:hAnsi="Times New Roman"/>
        </w:rPr>
      </w:pPr>
      <w:r>
        <w:rPr>
          <w:rFonts w:ascii="Times New Roman" w:hAnsi="Times New Roman"/>
        </w:rPr>
        <w:t xml:space="preserve">Subparagraph 7(1)(a)(iii) </w:t>
      </w:r>
      <w:r w:rsidR="0059791B">
        <w:rPr>
          <w:rFonts w:ascii="Times New Roman" w:hAnsi="Times New Roman"/>
        </w:rPr>
        <w:t>specifies</w:t>
      </w:r>
      <w:r>
        <w:rPr>
          <w:rFonts w:ascii="Times New Roman" w:hAnsi="Times New Roman"/>
        </w:rPr>
        <w:t xml:space="preserve"> that the primary universal service provider does not need to supply </w:t>
      </w:r>
      <w:r w:rsidR="00B27A19">
        <w:rPr>
          <w:rFonts w:ascii="Times New Roman" w:hAnsi="Times New Roman"/>
        </w:rPr>
        <w:t xml:space="preserve">a </w:t>
      </w:r>
      <w:r>
        <w:rPr>
          <w:rFonts w:ascii="Times New Roman" w:hAnsi="Times New Roman"/>
        </w:rPr>
        <w:t>standard telephone service to a premises if it believes that the person to whom the connection relates does not have the legal right to occupy the premises.</w:t>
      </w:r>
      <w:r w:rsidR="0059791B">
        <w:rPr>
          <w:rFonts w:ascii="Times New Roman" w:hAnsi="Times New Roman"/>
        </w:rPr>
        <w:t xml:space="preserve"> </w:t>
      </w:r>
      <w:r w:rsidR="00B27A19">
        <w:rPr>
          <w:rFonts w:ascii="Times New Roman" w:hAnsi="Times New Roman"/>
        </w:rPr>
        <w:t xml:space="preserve">For </w:t>
      </w:r>
      <w:r w:rsidR="00B27A19">
        <w:rPr>
          <w:rFonts w:ascii="Times New Roman" w:hAnsi="Times New Roman"/>
        </w:rPr>
        <w:lastRenderedPageBreak/>
        <w:t xml:space="preserve">example, a primary universal service provider may form such a belief if the person requesting the service cannot supply relevant documentation, such as </w:t>
      </w:r>
      <w:r w:rsidR="007F300D">
        <w:rPr>
          <w:rFonts w:ascii="Times New Roman" w:hAnsi="Times New Roman"/>
        </w:rPr>
        <w:t>copies of a recent lease, rental agreement or statutory declaration from the property owner.</w:t>
      </w:r>
    </w:p>
    <w:p w14:paraId="26203005" w14:textId="3BDEE5C4" w:rsidR="002A24E8" w:rsidRDefault="002A24E8" w:rsidP="00D906CB">
      <w:pPr>
        <w:spacing w:after="0"/>
        <w:ind w:left="567"/>
        <w:rPr>
          <w:rFonts w:ascii="Times New Roman" w:hAnsi="Times New Roman"/>
        </w:rPr>
      </w:pPr>
    </w:p>
    <w:p w14:paraId="712161A6" w14:textId="7F039E5C" w:rsidR="002A24E8" w:rsidRDefault="002A24E8" w:rsidP="006E506F">
      <w:pPr>
        <w:spacing w:after="0"/>
        <w:ind w:left="567"/>
        <w:rPr>
          <w:rFonts w:ascii="Times New Roman" w:hAnsi="Times New Roman"/>
        </w:rPr>
      </w:pPr>
      <w:r w:rsidRPr="008E5F65">
        <w:rPr>
          <w:rFonts w:ascii="Times New Roman" w:hAnsi="Times New Roman"/>
        </w:rPr>
        <w:t xml:space="preserve">Subparagraph 7(1)(a)(iv) </w:t>
      </w:r>
      <w:r w:rsidR="007F300D" w:rsidRPr="008E5F65">
        <w:rPr>
          <w:rFonts w:ascii="Times New Roman" w:hAnsi="Times New Roman"/>
        </w:rPr>
        <w:t>specifies</w:t>
      </w:r>
      <w:r w:rsidRPr="008E5F65">
        <w:rPr>
          <w:rFonts w:ascii="Times New Roman" w:hAnsi="Times New Roman"/>
        </w:rPr>
        <w:t xml:space="preserve"> that</w:t>
      </w:r>
      <w:r w:rsidR="003A0EA2" w:rsidRPr="008E5F65">
        <w:rPr>
          <w:rFonts w:ascii="Times New Roman" w:hAnsi="Times New Roman"/>
        </w:rPr>
        <w:t xml:space="preserve"> </w:t>
      </w:r>
      <w:r w:rsidR="005F301E" w:rsidRPr="008E5F65">
        <w:rPr>
          <w:rFonts w:ascii="Times New Roman" w:hAnsi="Times New Roman"/>
        </w:rPr>
        <w:t xml:space="preserve">the primary universal service provider is not required to provide a standard telephone service </w:t>
      </w:r>
      <w:r w:rsidR="003143B4" w:rsidRPr="008E5F65">
        <w:rPr>
          <w:rFonts w:ascii="Times New Roman" w:hAnsi="Times New Roman"/>
        </w:rPr>
        <w:t xml:space="preserve">if it reasonably believes that the person making the request </w:t>
      </w:r>
      <w:r w:rsidR="008E5F65" w:rsidRPr="008E5F65">
        <w:rPr>
          <w:rFonts w:ascii="Times New Roman" w:hAnsi="Times New Roman"/>
        </w:rPr>
        <w:t>unable or unwilling to pay</w:t>
      </w:r>
      <w:r w:rsidR="008E5F65">
        <w:rPr>
          <w:rFonts w:ascii="Times New Roman" w:hAnsi="Times New Roman"/>
        </w:rPr>
        <w:t xml:space="preserve"> applicable service changes</w:t>
      </w:r>
      <w:r w:rsidR="003143B4" w:rsidRPr="008E5F65">
        <w:rPr>
          <w:rFonts w:ascii="Times New Roman" w:hAnsi="Times New Roman"/>
        </w:rPr>
        <w:t xml:space="preserve">, as </w:t>
      </w:r>
      <w:r w:rsidR="008E5F65" w:rsidRPr="008E5F65">
        <w:rPr>
          <w:rFonts w:ascii="Times New Roman" w:hAnsi="Times New Roman"/>
        </w:rPr>
        <w:t xml:space="preserve">determined </w:t>
      </w:r>
      <w:r w:rsidR="008E5F65">
        <w:rPr>
          <w:rFonts w:ascii="Times New Roman" w:hAnsi="Times New Roman"/>
        </w:rPr>
        <w:t xml:space="preserve">following the process set out in </w:t>
      </w:r>
      <w:r w:rsidR="003143B4" w:rsidRPr="008E5F65">
        <w:rPr>
          <w:rFonts w:ascii="Times New Roman" w:hAnsi="Times New Roman"/>
        </w:rPr>
        <w:t xml:space="preserve">Division 2 of Part 2 of the </w:t>
      </w:r>
      <w:r w:rsidR="00D03EF5" w:rsidRPr="00A93C3A">
        <w:rPr>
          <w:rFonts w:ascii="Times New Roman" w:hAnsi="Times New Roman"/>
          <w:i/>
        </w:rPr>
        <w:t>Telecommunications (Customer Service Guarantee) Standard 2011</w:t>
      </w:r>
      <w:r w:rsidR="00D03EF5">
        <w:rPr>
          <w:rFonts w:ascii="Times New Roman" w:hAnsi="Times New Roman"/>
        </w:rPr>
        <w:t xml:space="preserve"> (the CSG standard)</w:t>
      </w:r>
      <w:r w:rsidR="005F301E" w:rsidRPr="008E5F65">
        <w:rPr>
          <w:rFonts w:ascii="Times New Roman" w:hAnsi="Times New Roman"/>
        </w:rPr>
        <w:t>.</w:t>
      </w:r>
      <w:r w:rsidR="003143B4" w:rsidRPr="008E5F65">
        <w:rPr>
          <w:rFonts w:ascii="Times New Roman" w:hAnsi="Times New Roman"/>
        </w:rPr>
        <w:t xml:space="preserve"> </w:t>
      </w:r>
    </w:p>
    <w:p w14:paraId="6FBEFFD7" w14:textId="0D69C881" w:rsidR="00901501" w:rsidRDefault="00901501" w:rsidP="00D906CB">
      <w:pPr>
        <w:spacing w:after="0"/>
        <w:ind w:left="567"/>
        <w:rPr>
          <w:rFonts w:ascii="Times New Roman" w:hAnsi="Times New Roman"/>
        </w:rPr>
      </w:pPr>
    </w:p>
    <w:p w14:paraId="2E3DB7D5" w14:textId="5015D99A" w:rsidR="00901501" w:rsidRDefault="00901501" w:rsidP="00D906CB">
      <w:pPr>
        <w:spacing w:after="0"/>
        <w:ind w:left="567"/>
        <w:rPr>
          <w:rFonts w:ascii="Times New Roman" w:hAnsi="Times New Roman"/>
        </w:rPr>
      </w:pPr>
      <w:r>
        <w:rPr>
          <w:rFonts w:ascii="Times New Roman" w:hAnsi="Times New Roman"/>
        </w:rPr>
        <w:t xml:space="preserve">Subparagraph 7(1)(a)(v) specifies that a service provider does not need to supply </w:t>
      </w:r>
      <w:r w:rsidR="00343DC1">
        <w:rPr>
          <w:rFonts w:ascii="Times New Roman" w:hAnsi="Times New Roman"/>
        </w:rPr>
        <w:t xml:space="preserve">a </w:t>
      </w:r>
      <w:r>
        <w:rPr>
          <w:rFonts w:ascii="Times New Roman" w:hAnsi="Times New Roman"/>
        </w:rPr>
        <w:t>standard telephone service to a premises if it reasonably believes the request is fraudulent or frivolous. This section is intended to reduce the risk of the primary universal service provider incurring losses or other liabilities in respect of fraudulent transactions or activities</w:t>
      </w:r>
      <w:r w:rsidR="00B27A19">
        <w:rPr>
          <w:rFonts w:ascii="Times New Roman" w:hAnsi="Times New Roman"/>
        </w:rPr>
        <w:t xml:space="preserve">, or incurring costs in managing and responding to frivolous requests. </w:t>
      </w:r>
    </w:p>
    <w:p w14:paraId="63898019" w14:textId="2D0418C6" w:rsidR="00901501" w:rsidRDefault="00901501" w:rsidP="00D906CB">
      <w:pPr>
        <w:spacing w:after="0"/>
        <w:ind w:left="567"/>
        <w:rPr>
          <w:rFonts w:ascii="Times New Roman" w:hAnsi="Times New Roman"/>
        </w:rPr>
      </w:pPr>
    </w:p>
    <w:p w14:paraId="113727AB" w14:textId="04E697FB" w:rsidR="00901501" w:rsidRDefault="00901501" w:rsidP="00D906CB">
      <w:pPr>
        <w:spacing w:after="0"/>
        <w:ind w:left="567"/>
        <w:rPr>
          <w:rFonts w:ascii="Times New Roman" w:hAnsi="Times New Roman"/>
        </w:rPr>
      </w:pPr>
      <w:r>
        <w:rPr>
          <w:rFonts w:ascii="Times New Roman" w:hAnsi="Times New Roman"/>
        </w:rPr>
        <w:t xml:space="preserve">Subparagraph 7(1)(a)(vi) clarifies that </w:t>
      </w:r>
      <w:r w:rsidR="00343DC1">
        <w:rPr>
          <w:rFonts w:ascii="Times New Roman" w:hAnsi="Times New Roman"/>
        </w:rPr>
        <w:t xml:space="preserve">a </w:t>
      </w:r>
      <w:r>
        <w:rPr>
          <w:rFonts w:ascii="Times New Roman" w:hAnsi="Times New Roman"/>
        </w:rPr>
        <w:t>standard telephone service do</w:t>
      </w:r>
      <w:r w:rsidR="00343DC1">
        <w:rPr>
          <w:rFonts w:ascii="Times New Roman" w:hAnsi="Times New Roman"/>
        </w:rPr>
        <w:t>es</w:t>
      </w:r>
      <w:r>
        <w:rPr>
          <w:rFonts w:ascii="Times New Roman" w:hAnsi="Times New Roman"/>
        </w:rPr>
        <w:t xml:space="preserve"> not need to be supplied to a premises if the person making the request is under 18 years of age</w:t>
      </w:r>
      <w:r w:rsidR="00F80019">
        <w:rPr>
          <w:rFonts w:ascii="Times New Roman" w:hAnsi="Times New Roman"/>
        </w:rPr>
        <w:t xml:space="preserve"> and is </w:t>
      </w:r>
      <w:r w:rsidR="00F80019" w:rsidRPr="00FD1C17">
        <w:rPr>
          <w:rFonts w:ascii="Times New Roman" w:hAnsi="Times New Roman"/>
        </w:rPr>
        <w:t xml:space="preserve">not the legal owner or lessee of the premises specified in the request. </w:t>
      </w:r>
      <w:r w:rsidR="00F80019" w:rsidRPr="00A93C3A">
        <w:rPr>
          <w:rFonts w:ascii="Times New Roman" w:hAnsi="Times New Roman"/>
        </w:rPr>
        <w:t xml:space="preserve">However, </w:t>
      </w:r>
      <w:r w:rsidR="00FD1C17" w:rsidRPr="00A93C3A">
        <w:rPr>
          <w:rFonts w:ascii="Times New Roman" w:hAnsi="Times New Roman"/>
        </w:rPr>
        <w:t>sub</w:t>
      </w:r>
      <w:r w:rsidR="00B27A19" w:rsidRPr="00A93C3A">
        <w:rPr>
          <w:rFonts w:ascii="Times New Roman" w:hAnsi="Times New Roman"/>
        </w:rPr>
        <w:t>s</w:t>
      </w:r>
      <w:r w:rsidR="00F80019" w:rsidRPr="00A93C3A">
        <w:rPr>
          <w:rFonts w:ascii="Times New Roman" w:hAnsi="Times New Roman"/>
        </w:rPr>
        <w:t>ection 4(4)</w:t>
      </w:r>
      <w:r w:rsidR="00B27A19" w:rsidRPr="00A93C3A">
        <w:rPr>
          <w:rFonts w:ascii="Times New Roman" w:hAnsi="Times New Roman"/>
        </w:rPr>
        <w:t xml:space="preserve"> also allows for requests to be submitted on behalf of another party</w:t>
      </w:r>
      <w:r w:rsidR="00F80019" w:rsidRPr="00FD1C17">
        <w:rPr>
          <w:rFonts w:ascii="Times New Roman" w:hAnsi="Times New Roman"/>
        </w:rPr>
        <w:t>.</w:t>
      </w:r>
      <w:r w:rsidR="00FD1C17">
        <w:rPr>
          <w:rFonts w:ascii="Times New Roman" w:hAnsi="Times New Roman"/>
        </w:rPr>
        <w:t xml:space="preserve"> </w:t>
      </w:r>
    </w:p>
    <w:p w14:paraId="2E57AABC" w14:textId="743DB7E0" w:rsidR="00F80019" w:rsidRDefault="00F80019" w:rsidP="00D906CB">
      <w:pPr>
        <w:spacing w:after="0"/>
        <w:ind w:left="567"/>
        <w:rPr>
          <w:rFonts w:ascii="Times New Roman" w:hAnsi="Times New Roman"/>
        </w:rPr>
      </w:pPr>
    </w:p>
    <w:p w14:paraId="7EC3F472" w14:textId="619FF9DD" w:rsidR="00F80019" w:rsidRDefault="00F80019" w:rsidP="00133B44">
      <w:pPr>
        <w:spacing w:after="0"/>
        <w:ind w:left="567"/>
        <w:rPr>
          <w:rFonts w:ascii="Times New Roman" w:hAnsi="Times New Roman"/>
        </w:rPr>
      </w:pPr>
      <w:r>
        <w:rPr>
          <w:rFonts w:ascii="Times New Roman" w:hAnsi="Times New Roman"/>
        </w:rPr>
        <w:t xml:space="preserve">Subparagraph 7(1)(a)(vii) clarifies that </w:t>
      </w:r>
      <w:r w:rsidR="00634935">
        <w:rPr>
          <w:rFonts w:ascii="Times New Roman" w:hAnsi="Times New Roman"/>
        </w:rPr>
        <w:t xml:space="preserve">the primary universal service provider does not need to </w:t>
      </w:r>
      <w:r w:rsidR="00343DC1">
        <w:rPr>
          <w:rFonts w:ascii="Times New Roman" w:hAnsi="Times New Roman"/>
        </w:rPr>
        <w:t xml:space="preserve">a </w:t>
      </w:r>
      <w:r w:rsidR="00634935">
        <w:rPr>
          <w:rFonts w:ascii="Times New Roman" w:hAnsi="Times New Roman"/>
        </w:rPr>
        <w:t xml:space="preserve">supply </w:t>
      </w:r>
      <w:r w:rsidR="00343DC1">
        <w:rPr>
          <w:rFonts w:ascii="Times New Roman" w:hAnsi="Times New Roman"/>
        </w:rPr>
        <w:t xml:space="preserve">a </w:t>
      </w:r>
      <w:r w:rsidR="00634935">
        <w:rPr>
          <w:rFonts w:ascii="Times New Roman" w:hAnsi="Times New Roman"/>
        </w:rPr>
        <w:t>standard telephone service to a premises if requested by a different carriage service provider</w:t>
      </w:r>
      <w:r w:rsidR="008E5F65">
        <w:rPr>
          <w:rFonts w:ascii="Times New Roman" w:hAnsi="Times New Roman"/>
        </w:rPr>
        <w:t xml:space="preserve"> so that CSP can supply a service to its customer</w:t>
      </w:r>
      <w:r w:rsidR="00634935">
        <w:rPr>
          <w:rFonts w:ascii="Times New Roman" w:hAnsi="Times New Roman"/>
        </w:rPr>
        <w:t xml:space="preserve">. This </w:t>
      </w:r>
      <w:r w:rsidR="008E5F65">
        <w:rPr>
          <w:rFonts w:ascii="Times New Roman" w:hAnsi="Times New Roman"/>
        </w:rPr>
        <w:t xml:space="preserve">reflects that there are separate arrangements </w:t>
      </w:r>
      <w:r w:rsidR="00133B44">
        <w:rPr>
          <w:rFonts w:ascii="Times New Roman" w:hAnsi="Times New Roman"/>
        </w:rPr>
        <w:t xml:space="preserve">whereby carriage service providers can seek access to other networks to supply services under </w:t>
      </w:r>
      <w:r w:rsidR="00133B44" w:rsidRPr="00133B44">
        <w:rPr>
          <w:rFonts w:ascii="Times New Roman" w:hAnsi="Times New Roman"/>
        </w:rPr>
        <w:t xml:space="preserve">Part XIC of the </w:t>
      </w:r>
      <w:r w:rsidR="00133B44" w:rsidRPr="00133B44">
        <w:rPr>
          <w:rFonts w:ascii="Times New Roman" w:hAnsi="Times New Roman"/>
          <w:i/>
        </w:rPr>
        <w:t>Competition</w:t>
      </w:r>
      <w:r w:rsidR="00133B44">
        <w:rPr>
          <w:rFonts w:ascii="Times New Roman" w:hAnsi="Times New Roman"/>
          <w:i/>
        </w:rPr>
        <w:t xml:space="preserve"> </w:t>
      </w:r>
      <w:r w:rsidR="00133B44" w:rsidRPr="00133B44">
        <w:rPr>
          <w:rFonts w:ascii="Times New Roman" w:hAnsi="Times New Roman"/>
          <w:i/>
        </w:rPr>
        <w:t>and Consumer Act 2010</w:t>
      </w:r>
      <w:r w:rsidR="00133B44">
        <w:rPr>
          <w:rFonts w:ascii="Times New Roman" w:hAnsi="Times New Roman"/>
        </w:rPr>
        <w:t>.</w:t>
      </w:r>
    </w:p>
    <w:p w14:paraId="332485EA" w14:textId="1B3238C7" w:rsidR="00634935" w:rsidRDefault="00634935" w:rsidP="00D906CB">
      <w:pPr>
        <w:spacing w:after="0"/>
        <w:ind w:left="567"/>
        <w:rPr>
          <w:rFonts w:ascii="Times New Roman" w:hAnsi="Times New Roman"/>
        </w:rPr>
      </w:pPr>
    </w:p>
    <w:p w14:paraId="0F1D075E" w14:textId="586B415C" w:rsidR="006B5AEC" w:rsidRDefault="00634935" w:rsidP="00596FE6">
      <w:pPr>
        <w:spacing w:after="0"/>
        <w:ind w:left="567"/>
        <w:rPr>
          <w:rFonts w:ascii="Times New Roman" w:hAnsi="Times New Roman"/>
        </w:rPr>
      </w:pPr>
      <w:r>
        <w:rPr>
          <w:rFonts w:ascii="Times New Roman" w:hAnsi="Times New Roman"/>
        </w:rPr>
        <w:t xml:space="preserve">Subparagraph 7(1)(a)(viii) clarifies that </w:t>
      </w:r>
      <w:r w:rsidR="006B5AEC">
        <w:rPr>
          <w:rFonts w:ascii="Times New Roman" w:hAnsi="Times New Roman"/>
        </w:rPr>
        <w:t>the primary universal service provider is not required to supply</w:t>
      </w:r>
      <w:r w:rsidR="00343DC1">
        <w:rPr>
          <w:rFonts w:ascii="Times New Roman" w:hAnsi="Times New Roman"/>
        </w:rPr>
        <w:t xml:space="preserve"> a</w:t>
      </w:r>
      <w:r w:rsidR="006B5AEC">
        <w:rPr>
          <w:rFonts w:ascii="Times New Roman" w:hAnsi="Times New Roman"/>
        </w:rPr>
        <w:t xml:space="preserve"> standard telephone service to a premises where it </w:t>
      </w:r>
      <w:r w:rsidR="00133B44">
        <w:rPr>
          <w:rFonts w:ascii="Times New Roman" w:hAnsi="Times New Roman"/>
        </w:rPr>
        <w:t xml:space="preserve">would </w:t>
      </w:r>
      <w:r w:rsidR="006B5AEC">
        <w:rPr>
          <w:rFonts w:ascii="Times New Roman" w:hAnsi="Times New Roman"/>
        </w:rPr>
        <w:t xml:space="preserve">contravene a law of the Commonwealth or applicable state or territory. For example, this may include laws dealing with workplace health and safety or laws dealing with </w:t>
      </w:r>
      <w:r w:rsidR="00EE56CC">
        <w:rPr>
          <w:rFonts w:ascii="Times New Roman" w:hAnsi="Times New Roman"/>
        </w:rPr>
        <w:t xml:space="preserve">planning and development, </w:t>
      </w:r>
      <w:r w:rsidR="00FD1C17">
        <w:rPr>
          <w:rFonts w:ascii="Times New Roman" w:hAnsi="Times New Roman"/>
        </w:rPr>
        <w:t xml:space="preserve">heritage, </w:t>
      </w:r>
      <w:r w:rsidR="006B5AEC">
        <w:rPr>
          <w:rFonts w:ascii="Times New Roman" w:hAnsi="Times New Roman"/>
        </w:rPr>
        <w:t xml:space="preserve">cultural or environmental issues. </w:t>
      </w:r>
      <w:r w:rsidR="00FD1C17">
        <w:rPr>
          <w:rFonts w:ascii="Times New Roman" w:hAnsi="Times New Roman"/>
        </w:rPr>
        <w:t xml:space="preserve">It is expected a </w:t>
      </w:r>
      <w:r w:rsidR="006B5AEC">
        <w:rPr>
          <w:rFonts w:ascii="Times New Roman" w:hAnsi="Times New Roman"/>
        </w:rPr>
        <w:t xml:space="preserve">primary universal service provider </w:t>
      </w:r>
      <w:r w:rsidR="00FD1C17">
        <w:rPr>
          <w:rFonts w:ascii="Times New Roman" w:hAnsi="Times New Roman"/>
        </w:rPr>
        <w:t xml:space="preserve">would need to consider any </w:t>
      </w:r>
      <w:r w:rsidR="006B5AEC">
        <w:rPr>
          <w:rFonts w:ascii="Times New Roman" w:hAnsi="Times New Roman"/>
        </w:rPr>
        <w:t xml:space="preserve">reasonable </w:t>
      </w:r>
      <w:r w:rsidR="00FD1C17">
        <w:rPr>
          <w:rFonts w:ascii="Times New Roman" w:hAnsi="Times New Roman"/>
        </w:rPr>
        <w:t xml:space="preserve">and practical </w:t>
      </w:r>
      <w:r w:rsidR="006B5AEC">
        <w:rPr>
          <w:rFonts w:ascii="Times New Roman" w:hAnsi="Times New Roman"/>
        </w:rPr>
        <w:t>steps available to it to lawfully avoid a potential contravention</w:t>
      </w:r>
      <w:r w:rsidR="00FD1C17">
        <w:rPr>
          <w:rFonts w:ascii="Times New Roman" w:hAnsi="Times New Roman"/>
        </w:rPr>
        <w:t xml:space="preserve"> (for example, if an activity was generally prohibited by law unless a specific type of permit was granted, the primary universal service provider would be expected to </w:t>
      </w:r>
      <w:r w:rsidR="00EE56CC">
        <w:rPr>
          <w:rFonts w:ascii="Times New Roman" w:hAnsi="Times New Roman"/>
        </w:rPr>
        <w:t>explore the grant of such a</w:t>
      </w:r>
      <w:r w:rsidR="00FD1C17">
        <w:rPr>
          <w:rFonts w:ascii="Times New Roman" w:hAnsi="Times New Roman"/>
        </w:rPr>
        <w:t xml:space="preserve"> permit before seeking to rely on this circumstance)</w:t>
      </w:r>
      <w:r w:rsidR="006B5AEC">
        <w:rPr>
          <w:rFonts w:ascii="Times New Roman" w:hAnsi="Times New Roman"/>
        </w:rPr>
        <w:t>.</w:t>
      </w:r>
    </w:p>
    <w:p w14:paraId="5E6AED2E" w14:textId="77777777" w:rsidR="006B5AEC" w:rsidRDefault="006B5AEC" w:rsidP="00596FE6">
      <w:pPr>
        <w:spacing w:after="0"/>
        <w:ind w:left="567"/>
        <w:rPr>
          <w:rFonts w:ascii="Times New Roman" w:hAnsi="Times New Roman"/>
        </w:rPr>
      </w:pPr>
    </w:p>
    <w:p w14:paraId="1904029F" w14:textId="35A71A13" w:rsidR="00747B81" w:rsidRDefault="006B5AEC" w:rsidP="00747B81">
      <w:pPr>
        <w:spacing w:after="0"/>
        <w:ind w:left="567"/>
        <w:rPr>
          <w:rFonts w:ascii="Times New Roman" w:hAnsi="Times New Roman"/>
        </w:rPr>
      </w:pPr>
      <w:r>
        <w:rPr>
          <w:rFonts w:ascii="Times New Roman" w:hAnsi="Times New Roman"/>
        </w:rPr>
        <w:t>Subparagraph 7(1)(a)(ix) clarifies that</w:t>
      </w:r>
      <w:r w:rsidR="00EE56CC">
        <w:rPr>
          <w:rFonts w:ascii="Times New Roman" w:hAnsi="Times New Roman"/>
        </w:rPr>
        <w:t>, subject to subsection 7(3)</w:t>
      </w:r>
      <w:r w:rsidR="00133B44">
        <w:rPr>
          <w:rFonts w:ascii="Times New Roman" w:hAnsi="Times New Roman"/>
        </w:rPr>
        <w:t>,</w:t>
      </w:r>
      <w:r>
        <w:rPr>
          <w:rFonts w:ascii="Times New Roman" w:hAnsi="Times New Roman"/>
        </w:rPr>
        <w:t xml:space="preserve"> the primary universal service provider is not required to supply </w:t>
      </w:r>
      <w:r w:rsidR="00343DC1">
        <w:rPr>
          <w:rFonts w:ascii="Times New Roman" w:hAnsi="Times New Roman"/>
        </w:rPr>
        <w:t xml:space="preserve">a </w:t>
      </w:r>
      <w:r>
        <w:rPr>
          <w:rFonts w:ascii="Times New Roman" w:hAnsi="Times New Roman"/>
        </w:rPr>
        <w:t xml:space="preserve">standard telephone service to a premises if the person making the request refuses to accept </w:t>
      </w:r>
      <w:r w:rsidR="00F40BA2">
        <w:rPr>
          <w:rFonts w:ascii="Times New Roman" w:hAnsi="Times New Roman"/>
        </w:rPr>
        <w:t>a reasonable offer for</w:t>
      </w:r>
      <w:r>
        <w:rPr>
          <w:rFonts w:ascii="Times New Roman" w:hAnsi="Times New Roman"/>
        </w:rPr>
        <w:t xml:space="preserve"> connection or supply of the service.</w:t>
      </w:r>
      <w:r w:rsidR="00EE56CC">
        <w:rPr>
          <w:rFonts w:ascii="Times New Roman" w:hAnsi="Times New Roman"/>
        </w:rPr>
        <w:t xml:space="preserve"> </w:t>
      </w:r>
      <w:r w:rsidR="00682A96">
        <w:rPr>
          <w:rFonts w:ascii="Times New Roman" w:hAnsi="Times New Roman"/>
        </w:rPr>
        <w:t>Subs</w:t>
      </w:r>
      <w:r w:rsidR="00AC382E">
        <w:rPr>
          <w:rFonts w:ascii="Times New Roman" w:hAnsi="Times New Roman"/>
        </w:rPr>
        <w:t>ection 7(3) clarifies that a</w:t>
      </w:r>
      <w:r w:rsidR="00F40BA2">
        <w:rPr>
          <w:rFonts w:ascii="Times New Roman" w:hAnsi="Times New Roman"/>
        </w:rPr>
        <w:t xml:space="preserve">n offer </w:t>
      </w:r>
      <w:r w:rsidR="00EE56CC">
        <w:rPr>
          <w:rFonts w:ascii="Times New Roman" w:hAnsi="Times New Roman"/>
        </w:rPr>
        <w:t xml:space="preserve">would not be </w:t>
      </w:r>
      <w:r w:rsidR="00F40BA2">
        <w:rPr>
          <w:rFonts w:ascii="Times New Roman" w:hAnsi="Times New Roman"/>
        </w:rPr>
        <w:t xml:space="preserve">considered reasonable if the primary universal service provider </w:t>
      </w:r>
      <w:r w:rsidR="00EE56CC">
        <w:rPr>
          <w:rFonts w:ascii="Times New Roman" w:hAnsi="Times New Roman"/>
        </w:rPr>
        <w:t xml:space="preserve">is required to </w:t>
      </w:r>
      <w:r w:rsidR="00F40BA2">
        <w:rPr>
          <w:rFonts w:ascii="Times New Roman" w:hAnsi="Times New Roman"/>
        </w:rPr>
        <w:t xml:space="preserve">offers to supply </w:t>
      </w:r>
      <w:r w:rsidR="00E4627B">
        <w:rPr>
          <w:rFonts w:ascii="Times New Roman" w:hAnsi="Times New Roman"/>
        </w:rPr>
        <w:t>equipment</w:t>
      </w:r>
      <w:r w:rsidR="00F40BA2">
        <w:rPr>
          <w:rFonts w:ascii="Times New Roman" w:hAnsi="Times New Roman"/>
        </w:rPr>
        <w:t xml:space="preserve"> or other goods or services</w:t>
      </w:r>
      <w:r w:rsidR="00E4627B">
        <w:rPr>
          <w:rFonts w:ascii="Times New Roman" w:hAnsi="Times New Roman"/>
        </w:rPr>
        <w:t xml:space="preserve">, under subsection 9E(1) of the Act in order to comply with the </w:t>
      </w:r>
      <w:r w:rsidR="00E4627B" w:rsidRPr="004A4F56">
        <w:rPr>
          <w:rFonts w:ascii="Times New Roman" w:hAnsi="Times New Roman"/>
          <w:i/>
        </w:rPr>
        <w:t>Disability Discrimination Act 1992</w:t>
      </w:r>
      <w:r w:rsidR="00EE56CC" w:rsidRPr="00A93C3A">
        <w:rPr>
          <w:rFonts w:ascii="Times New Roman" w:hAnsi="Times New Roman"/>
        </w:rPr>
        <w:t>, but does not do so</w:t>
      </w:r>
      <w:r w:rsidR="00E4627B">
        <w:rPr>
          <w:rFonts w:ascii="Times New Roman" w:hAnsi="Times New Roman"/>
        </w:rPr>
        <w:t>.</w:t>
      </w:r>
      <w:r w:rsidR="00747B81">
        <w:rPr>
          <w:rFonts w:ascii="Times New Roman" w:hAnsi="Times New Roman"/>
        </w:rPr>
        <w:t xml:space="preserve"> This recognises the Disability Equipment Program that the current universal service provider (Telstra) operates.</w:t>
      </w:r>
    </w:p>
    <w:p w14:paraId="7317B856" w14:textId="70079F32" w:rsidR="005849BD" w:rsidRDefault="005849BD" w:rsidP="00596FE6">
      <w:pPr>
        <w:spacing w:after="0"/>
        <w:ind w:left="567"/>
        <w:rPr>
          <w:rFonts w:ascii="Times New Roman" w:hAnsi="Times New Roman"/>
        </w:rPr>
      </w:pPr>
    </w:p>
    <w:p w14:paraId="09012E54" w14:textId="6DBF9DC8" w:rsidR="000408A9" w:rsidRDefault="00EE56CC" w:rsidP="00596FE6">
      <w:pPr>
        <w:spacing w:after="0"/>
        <w:ind w:left="567"/>
        <w:rPr>
          <w:rFonts w:ascii="Times New Roman" w:hAnsi="Times New Roman"/>
        </w:rPr>
      </w:pPr>
      <w:r>
        <w:rPr>
          <w:rFonts w:ascii="Times New Roman" w:hAnsi="Times New Roman"/>
        </w:rPr>
        <w:lastRenderedPageBreak/>
        <w:t>Subp</w:t>
      </w:r>
      <w:r w:rsidR="005849BD">
        <w:rPr>
          <w:rFonts w:ascii="Times New Roman" w:hAnsi="Times New Roman"/>
        </w:rPr>
        <w:t>aragraph</w:t>
      </w:r>
      <w:r>
        <w:rPr>
          <w:rFonts w:ascii="Times New Roman" w:hAnsi="Times New Roman"/>
        </w:rPr>
        <w:t>s</w:t>
      </w:r>
      <w:r w:rsidR="005849BD">
        <w:rPr>
          <w:rFonts w:ascii="Times New Roman" w:hAnsi="Times New Roman"/>
        </w:rPr>
        <w:t xml:space="preserve"> 7(1)(b)</w:t>
      </w:r>
      <w:r w:rsidR="007F300D">
        <w:rPr>
          <w:rFonts w:ascii="Times New Roman" w:hAnsi="Times New Roman"/>
        </w:rPr>
        <w:t>,</w:t>
      </w:r>
      <w:r w:rsidR="0007698C">
        <w:rPr>
          <w:rFonts w:ascii="Times New Roman" w:hAnsi="Times New Roman"/>
        </w:rPr>
        <w:t xml:space="preserve"> </w:t>
      </w:r>
      <w:r w:rsidR="007F300D">
        <w:rPr>
          <w:rFonts w:ascii="Times New Roman" w:hAnsi="Times New Roman"/>
        </w:rPr>
        <w:t xml:space="preserve">(c) and </w:t>
      </w:r>
      <w:r w:rsidR="00B43160">
        <w:rPr>
          <w:rFonts w:ascii="Times New Roman" w:hAnsi="Times New Roman"/>
        </w:rPr>
        <w:t xml:space="preserve">(d) </w:t>
      </w:r>
      <w:r w:rsidR="00133B44">
        <w:rPr>
          <w:rFonts w:ascii="Times New Roman" w:hAnsi="Times New Roman"/>
        </w:rPr>
        <w:t>require</w:t>
      </w:r>
      <w:r w:rsidR="005849BD">
        <w:rPr>
          <w:rFonts w:ascii="Times New Roman" w:hAnsi="Times New Roman"/>
        </w:rPr>
        <w:t xml:space="preserve"> that </w:t>
      </w:r>
      <w:r w:rsidR="00133B44">
        <w:rPr>
          <w:rFonts w:ascii="Times New Roman" w:hAnsi="Times New Roman"/>
        </w:rPr>
        <w:t xml:space="preserve">where </w:t>
      </w:r>
      <w:r w:rsidR="005849BD">
        <w:rPr>
          <w:rFonts w:ascii="Times New Roman" w:hAnsi="Times New Roman"/>
        </w:rPr>
        <w:t xml:space="preserve">the primary universal service provider </w:t>
      </w:r>
      <w:r w:rsidR="00133B44">
        <w:rPr>
          <w:rFonts w:ascii="Times New Roman" w:hAnsi="Times New Roman"/>
        </w:rPr>
        <w:t xml:space="preserve">does not accept a request to supply a STS, it must </w:t>
      </w:r>
      <w:r w:rsidR="005849BD">
        <w:rPr>
          <w:rFonts w:ascii="Times New Roman" w:hAnsi="Times New Roman"/>
        </w:rPr>
        <w:t xml:space="preserve">comply with </w:t>
      </w:r>
      <w:r w:rsidR="00133B44">
        <w:rPr>
          <w:rFonts w:ascii="Times New Roman" w:hAnsi="Times New Roman"/>
        </w:rPr>
        <w:t xml:space="preserve">different </w:t>
      </w:r>
      <w:r w:rsidR="005849BD">
        <w:rPr>
          <w:rFonts w:ascii="Times New Roman" w:hAnsi="Times New Roman"/>
        </w:rPr>
        <w:t>notification requirements</w:t>
      </w:r>
      <w:r w:rsidR="00133B44">
        <w:rPr>
          <w:rFonts w:ascii="Times New Roman" w:hAnsi="Times New Roman"/>
        </w:rPr>
        <w:t xml:space="preserve">. These are discussed further </w:t>
      </w:r>
      <w:r w:rsidR="008A47C1">
        <w:rPr>
          <w:rFonts w:ascii="Times New Roman" w:hAnsi="Times New Roman"/>
        </w:rPr>
        <w:t>below at the notes for</w:t>
      </w:r>
      <w:r w:rsidR="00133B44">
        <w:rPr>
          <w:rFonts w:ascii="Times New Roman" w:hAnsi="Times New Roman"/>
        </w:rPr>
        <w:t xml:space="preserve"> </w:t>
      </w:r>
      <w:r w:rsidR="008A47C1">
        <w:rPr>
          <w:rFonts w:ascii="Times New Roman" w:hAnsi="Times New Roman"/>
        </w:rPr>
        <w:t>s</w:t>
      </w:r>
      <w:r w:rsidR="005849BD">
        <w:rPr>
          <w:rFonts w:ascii="Times New Roman" w:hAnsi="Times New Roman"/>
        </w:rPr>
        <w:t>ection 8</w:t>
      </w:r>
      <w:r w:rsidR="008A47C1">
        <w:rPr>
          <w:rFonts w:ascii="Times New Roman" w:hAnsi="Times New Roman"/>
        </w:rPr>
        <w:t>.</w:t>
      </w:r>
    </w:p>
    <w:p w14:paraId="4BB3A7A0" w14:textId="46328422" w:rsidR="00B75593" w:rsidRDefault="00B75593" w:rsidP="00A93C3A">
      <w:pPr>
        <w:spacing w:after="0"/>
        <w:rPr>
          <w:rFonts w:ascii="Times New Roman" w:hAnsi="Times New Roman"/>
        </w:rPr>
      </w:pPr>
    </w:p>
    <w:p w14:paraId="1B03F27B" w14:textId="25DFBF07" w:rsidR="00B75593" w:rsidRDefault="00404481" w:rsidP="00175038">
      <w:pPr>
        <w:spacing w:after="0"/>
        <w:ind w:left="567"/>
        <w:rPr>
          <w:rFonts w:ascii="Times New Roman" w:hAnsi="Times New Roman"/>
        </w:rPr>
      </w:pPr>
      <w:r>
        <w:rPr>
          <w:rFonts w:ascii="Times New Roman" w:hAnsi="Times New Roman"/>
        </w:rPr>
        <w:t>Subs</w:t>
      </w:r>
      <w:r w:rsidR="006B1260">
        <w:rPr>
          <w:rFonts w:ascii="Times New Roman" w:hAnsi="Times New Roman"/>
        </w:rPr>
        <w:t xml:space="preserve">ection </w:t>
      </w:r>
      <w:r>
        <w:rPr>
          <w:rFonts w:ascii="Times New Roman" w:hAnsi="Times New Roman"/>
        </w:rPr>
        <w:t>7(</w:t>
      </w:r>
      <w:r w:rsidR="006B1260">
        <w:rPr>
          <w:rFonts w:ascii="Times New Roman" w:hAnsi="Times New Roman"/>
        </w:rPr>
        <w:t>4</w:t>
      </w:r>
      <w:r>
        <w:rPr>
          <w:rFonts w:ascii="Times New Roman" w:hAnsi="Times New Roman"/>
        </w:rPr>
        <w:t>)</w:t>
      </w:r>
      <w:r w:rsidR="006B1260">
        <w:rPr>
          <w:rFonts w:ascii="Times New Roman" w:hAnsi="Times New Roman"/>
        </w:rPr>
        <w:t xml:space="preserve"> provides </w:t>
      </w:r>
      <w:r w:rsidR="006E506F">
        <w:rPr>
          <w:rFonts w:ascii="Times New Roman" w:hAnsi="Times New Roman"/>
        </w:rPr>
        <w:t>a list</w:t>
      </w:r>
      <w:r w:rsidR="006B1260">
        <w:rPr>
          <w:rFonts w:ascii="Times New Roman" w:hAnsi="Times New Roman"/>
        </w:rPr>
        <w:t xml:space="preserve"> of circumstances in which a primary universal service provider is not required to provide </w:t>
      </w:r>
      <w:r w:rsidR="00343DC1">
        <w:rPr>
          <w:rFonts w:ascii="Times New Roman" w:hAnsi="Times New Roman"/>
        </w:rPr>
        <w:t xml:space="preserve">a </w:t>
      </w:r>
      <w:r w:rsidR="006B1260">
        <w:rPr>
          <w:rFonts w:ascii="Times New Roman" w:hAnsi="Times New Roman"/>
        </w:rPr>
        <w:t xml:space="preserve">standard telephone service under </w:t>
      </w:r>
      <w:r w:rsidR="00747B81">
        <w:rPr>
          <w:rFonts w:ascii="Times New Roman" w:hAnsi="Times New Roman"/>
        </w:rPr>
        <w:t>p</w:t>
      </w:r>
      <w:r w:rsidR="006B1260">
        <w:rPr>
          <w:rFonts w:ascii="Times New Roman" w:hAnsi="Times New Roman"/>
        </w:rPr>
        <w:t>aragraph 9(1)(a) or subsection 9(2) of the Act</w:t>
      </w:r>
      <w:r w:rsidR="00133B44">
        <w:rPr>
          <w:rFonts w:ascii="Times New Roman" w:hAnsi="Times New Roman"/>
        </w:rPr>
        <w:t xml:space="preserve">, subject to also complying with </w:t>
      </w:r>
      <w:r w:rsidR="00EE56CC">
        <w:rPr>
          <w:rFonts w:ascii="Times New Roman" w:hAnsi="Times New Roman"/>
        </w:rPr>
        <w:t xml:space="preserve">notification </w:t>
      </w:r>
      <w:r w:rsidR="00133B44">
        <w:rPr>
          <w:rFonts w:ascii="Times New Roman" w:hAnsi="Times New Roman"/>
        </w:rPr>
        <w:t>requirements</w:t>
      </w:r>
      <w:r w:rsidR="00EE56CC">
        <w:rPr>
          <w:rFonts w:ascii="Times New Roman" w:hAnsi="Times New Roman"/>
        </w:rPr>
        <w:t xml:space="preserve"> provided for by </w:t>
      </w:r>
      <w:r w:rsidR="006B1260">
        <w:rPr>
          <w:rFonts w:ascii="Times New Roman" w:hAnsi="Times New Roman"/>
        </w:rPr>
        <w:t xml:space="preserve">subsection 8(7). </w:t>
      </w:r>
    </w:p>
    <w:p w14:paraId="0C5FC552" w14:textId="77777777" w:rsidR="00B460B0" w:rsidRDefault="00B460B0" w:rsidP="004A4F56">
      <w:pPr>
        <w:spacing w:after="0"/>
        <w:rPr>
          <w:rFonts w:ascii="Times New Roman" w:hAnsi="Times New Roman"/>
        </w:rPr>
      </w:pPr>
    </w:p>
    <w:p w14:paraId="51218D37" w14:textId="29E2EAF9" w:rsidR="00B460B0" w:rsidRDefault="006B6AAC" w:rsidP="00D906CB">
      <w:pPr>
        <w:spacing w:after="0"/>
        <w:ind w:left="567"/>
        <w:rPr>
          <w:rFonts w:ascii="Times New Roman" w:hAnsi="Times New Roman"/>
        </w:rPr>
      </w:pPr>
      <w:r>
        <w:rPr>
          <w:rFonts w:ascii="Times New Roman" w:hAnsi="Times New Roman"/>
        </w:rPr>
        <w:t>Paragraphs</w:t>
      </w:r>
      <w:r w:rsidR="00E4627B">
        <w:rPr>
          <w:rFonts w:ascii="Times New Roman" w:hAnsi="Times New Roman"/>
        </w:rPr>
        <w:t xml:space="preserve"> 7(4)(a) and (b) </w:t>
      </w:r>
      <w:r w:rsidR="00031C5D">
        <w:rPr>
          <w:rFonts w:ascii="Times New Roman" w:hAnsi="Times New Roman"/>
        </w:rPr>
        <w:t>provides</w:t>
      </w:r>
      <w:r w:rsidR="00E4627B">
        <w:rPr>
          <w:rFonts w:ascii="Times New Roman" w:hAnsi="Times New Roman"/>
        </w:rPr>
        <w:t xml:space="preserve"> that </w:t>
      </w:r>
      <w:r w:rsidR="00EE56CC">
        <w:rPr>
          <w:rFonts w:ascii="Times New Roman" w:hAnsi="Times New Roman"/>
        </w:rPr>
        <w:t xml:space="preserve">a primary universal </w:t>
      </w:r>
      <w:r w:rsidR="006C5067">
        <w:rPr>
          <w:rFonts w:ascii="Times New Roman" w:hAnsi="Times New Roman"/>
        </w:rPr>
        <w:t xml:space="preserve">service </w:t>
      </w:r>
      <w:r w:rsidR="00EE56CC">
        <w:rPr>
          <w:rFonts w:ascii="Times New Roman" w:hAnsi="Times New Roman"/>
        </w:rPr>
        <w:t>provider does not need to supply a service if</w:t>
      </w:r>
      <w:r w:rsidR="00B460B0">
        <w:rPr>
          <w:rFonts w:ascii="Times New Roman" w:hAnsi="Times New Roman"/>
        </w:rPr>
        <w:t xml:space="preserve"> the person making the request does not provide </w:t>
      </w:r>
      <w:r w:rsidR="00747B81">
        <w:rPr>
          <w:rFonts w:ascii="Times New Roman" w:hAnsi="Times New Roman"/>
        </w:rPr>
        <w:t xml:space="preserve">necessary inputs to support the </w:t>
      </w:r>
      <w:r w:rsidR="00B460B0">
        <w:rPr>
          <w:rFonts w:ascii="Times New Roman" w:hAnsi="Times New Roman"/>
        </w:rPr>
        <w:t>standard telephone services technology to be used, such as an electrical supply or payment for costs of trenching and laying underground cabling</w:t>
      </w:r>
      <w:r w:rsidR="007F300D">
        <w:rPr>
          <w:rFonts w:ascii="Times New Roman" w:hAnsi="Times New Roman"/>
        </w:rPr>
        <w:t>,</w:t>
      </w:r>
      <w:r w:rsidR="00B460B0">
        <w:rPr>
          <w:rFonts w:ascii="Times New Roman" w:hAnsi="Times New Roman"/>
        </w:rPr>
        <w:t xml:space="preserve"> or for the erection of a pole at the premises if underground cables are not feasible.</w:t>
      </w:r>
      <w:r w:rsidR="006E506F">
        <w:rPr>
          <w:rFonts w:ascii="Times New Roman" w:hAnsi="Times New Roman"/>
        </w:rPr>
        <w:t xml:space="preserve"> </w:t>
      </w:r>
      <w:r w:rsidR="002D5176" w:rsidRPr="002D5176">
        <w:rPr>
          <w:rFonts w:ascii="Times New Roman" w:hAnsi="Times New Roman"/>
        </w:rPr>
        <w:t xml:space="preserve">This reflects that while the primary universal service provider will provide much of the infrastructure to provide connections, there may be circumstances where other works need to be completed, generally by developers, or the person responsible for the premises (e.g. the owner), before a service can be supplied. </w:t>
      </w:r>
      <w:r w:rsidR="002D5176">
        <w:rPr>
          <w:rFonts w:ascii="Times New Roman" w:hAnsi="Times New Roman"/>
        </w:rPr>
        <w:t>I</w:t>
      </w:r>
      <w:r w:rsidR="00747B81">
        <w:rPr>
          <w:rFonts w:ascii="Times New Roman" w:hAnsi="Times New Roman"/>
        </w:rPr>
        <w:t>t is</w:t>
      </w:r>
      <w:r w:rsidR="002D5176">
        <w:rPr>
          <w:rFonts w:ascii="Times New Roman" w:hAnsi="Times New Roman"/>
        </w:rPr>
        <w:t xml:space="preserve"> longstanding practice that the </w:t>
      </w:r>
      <w:r w:rsidR="006E506F">
        <w:rPr>
          <w:rFonts w:ascii="Times New Roman" w:hAnsi="Times New Roman"/>
        </w:rPr>
        <w:t>person responsible for the premises is responsible</w:t>
      </w:r>
      <w:r w:rsidR="002D5176">
        <w:rPr>
          <w:rFonts w:ascii="Times New Roman" w:hAnsi="Times New Roman"/>
        </w:rPr>
        <w:t>, if required,</w:t>
      </w:r>
      <w:r w:rsidR="006E506F">
        <w:rPr>
          <w:rFonts w:ascii="Times New Roman" w:hAnsi="Times New Roman"/>
        </w:rPr>
        <w:t xml:space="preserve"> for </w:t>
      </w:r>
      <w:r w:rsidR="002D5176">
        <w:rPr>
          <w:rFonts w:ascii="Times New Roman" w:hAnsi="Times New Roman"/>
        </w:rPr>
        <w:t xml:space="preserve">arranging infrastructure between the </w:t>
      </w:r>
      <w:r w:rsidR="006E506F">
        <w:rPr>
          <w:rFonts w:ascii="Times New Roman" w:hAnsi="Times New Roman"/>
        </w:rPr>
        <w:t xml:space="preserve">property boundary </w:t>
      </w:r>
      <w:r w:rsidR="002D5176">
        <w:rPr>
          <w:rFonts w:ascii="Times New Roman" w:hAnsi="Times New Roman"/>
        </w:rPr>
        <w:t xml:space="preserve">and the </w:t>
      </w:r>
      <w:r w:rsidR="006E506F">
        <w:rPr>
          <w:rFonts w:ascii="Times New Roman" w:hAnsi="Times New Roman"/>
        </w:rPr>
        <w:t>premises</w:t>
      </w:r>
      <w:r w:rsidR="002D5176">
        <w:rPr>
          <w:rFonts w:ascii="Times New Roman" w:hAnsi="Times New Roman"/>
        </w:rPr>
        <w:t xml:space="preserve">. </w:t>
      </w:r>
    </w:p>
    <w:p w14:paraId="0F335A30" w14:textId="77777777" w:rsidR="00B460B0" w:rsidRDefault="00B460B0" w:rsidP="00D906CB">
      <w:pPr>
        <w:spacing w:after="0"/>
        <w:ind w:left="567"/>
        <w:rPr>
          <w:rFonts w:ascii="Times New Roman" w:hAnsi="Times New Roman"/>
        </w:rPr>
      </w:pPr>
    </w:p>
    <w:p w14:paraId="1F4223B9" w14:textId="00911A4B" w:rsidR="00E4627B" w:rsidRDefault="006B6AAC" w:rsidP="00D906CB">
      <w:pPr>
        <w:spacing w:after="0"/>
        <w:ind w:left="567"/>
        <w:rPr>
          <w:rFonts w:ascii="Times New Roman" w:hAnsi="Times New Roman"/>
        </w:rPr>
      </w:pPr>
      <w:r>
        <w:rPr>
          <w:rFonts w:ascii="Times New Roman" w:hAnsi="Times New Roman"/>
        </w:rPr>
        <w:t>Paragraphs</w:t>
      </w:r>
      <w:r w:rsidR="00E4627B">
        <w:rPr>
          <w:rFonts w:ascii="Times New Roman" w:hAnsi="Times New Roman"/>
        </w:rPr>
        <w:t xml:space="preserve"> 7(4)(c)</w:t>
      </w:r>
      <w:r w:rsidR="00B75593">
        <w:rPr>
          <w:rFonts w:ascii="Times New Roman" w:hAnsi="Times New Roman"/>
        </w:rPr>
        <w:t xml:space="preserve"> and (d) </w:t>
      </w:r>
      <w:r w:rsidR="00031C5D">
        <w:rPr>
          <w:rFonts w:ascii="Times New Roman" w:hAnsi="Times New Roman"/>
        </w:rPr>
        <w:t>provides</w:t>
      </w:r>
      <w:r w:rsidR="00E4627B">
        <w:rPr>
          <w:rFonts w:ascii="Times New Roman" w:hAnsi="Times New Roman"/>
        </w:rPr>
        <w:t xml:space="preserve"> that t</w:t>
      </w:r>
      <w:r w:rsidR="00BD352C">
        <w:rPr>
          <w:rFonts w:ascii="Times New Roman" w:hAnsi="Times New Roman"/>
        </w:rPr>
        <w:t xml:space="preserve">he person making the request must </w:t>
      </w:r>
      <w:r w:rsidR="00E4627B">
        <w:rPr>
          <w:rFonts w:ascii="Times New Roman" w:hAnsi="Times New Roman"/>
        </w:rPr>
        <w:t>agree to the primary universal service provider’s standard form of agreement</w:t>
      </w:r>
      <w:r w:rsidR="00B75593">
        <w:rPr>
          <w:rFonts w:ascii="Times New Roman" w:hAnsi="Times New Roman"/>
        </w:rPr>
        <w:t xml:space="preserve">, and </w:t>
      </w:r>
      <w:r w:rsidR="00EE56CC">
        <w:rPr>
          <w:rFonts w:ascii="Times New Roman" w:hAnsi="Times New Roman"/>
        </w:rPr>
        <w:t xml:space="preserve">provide </w:t>
      </w:r>
      <w:r w:rsidR="00B75593">
        <w:rPr>
          <w:rFonts w:ascii="Times New Roman" w:hAnsi="Times New Roman"/>
        </w:rPr>
        <w:t>identification</w:t>
      </w:r>
      <w:r w:rsidR="00E4627B">
        <w:rPr>
          <w:rFonts w:ascii="Times New Roman" w:hAnsi="Times New Roman"/>
        </w:rPr>
        <w:t>. Telstra</w:t>
      </w:r>
      <w:r w:rsidR="00EE56CC">
        <w:rPr>
          <w:rFonts w:ascii="Times New Roman" w:hAnsi="Times New Roman"/>
        </w:rPr>
        <w:t xml:space="preserve"> (the current primary universal service provider)</w:t>
      </w:r>
      <w:r w:rsidR="00E4627B">
        <w:rPr>
          <w:rFonts w:ascii="Times New Roman" w:hAnsi="Times New Roman"/>
        </w:rPr>
        <w:t xml:space="preserve"> </w:t>
      </w:r>
      <w:r w:rsidR="00EE56CC">
        <w:rPr>
          <w:rFonts w:ascii="Times New Roman" w:hAnsi="Times New Roman"/>
        </w:rPr>
        <w:t xml:space="preserve">makes its </w:t>
      </w:r>
      <w:r w:rsidR="00E4627B">
        <w:rPr>
          <w:rFonts w:ascii="Times New Roman" w:hAnsi="Times New Roman"/>
        </w:rPr>
        <w:t xml:space="preserve">standard form of agreement </w:t>
      </w:r>
      <w:r w:rsidR="007F300D">
        <w:rPr>
          <w:rFonts w:ascii="Times New Roman" w:hAnsi="Times New Roman"/>
        </w:rPr>
        <w:t xml:space="preserve">publicly available </w:t>
      </w:r>
      <w:r w:rsidR="00EE56CC">
        <w:rPr>
          <w:rFonts w:ascii="Times New Roman" w:hAnsi="Times New Roman"/>
        </w:rPr>
        <w:t xml:space="preserve">from its </w:t>
      </w:r>
      <w:r w:rsidR="007F300D">
        <w:rPr>
          <w:rFonts w:ascii="Times New Roman" w:hAnsi="Times New Roman"/>
        </w:rPr>
        <w:t>website</w:t>
      </w:r>
      <w:r w:rsidR="00EE56CC">
        <w:rPr>
          <w:rFonts w:ascii="Times New Roman" w:hAnsi="Times New Roman"/>
        </w:rPr>
        <w:t>. This for example provides customers must</w:t>
      </w:r>
      <w:r w:rsidR="00B75593">
        <w:rPr>
          <w:rFonts w:ascii="Times New Roman" w:hAnsi="Times New Roman"/>
        </w:rPr>
        <w:t xml:space="preserve"> accept responsibility for payment of services and also for the proper care of any telecommunications equipment installed at</w:t>
      </w:r>
      <w:r w:rsidR="00682A96">
        <w:rPr>
          <w:rFonts w:ascii="Times New Roman" w:hAnsi="Times New Roman"/>
        </w:rPr>
        <w:t xml:space="preserve"> t</w:t>
      </w:r>
      <w:r w:rsidR="00B75593">
        <w:rPr>
          <w:rFonts w:ascii="Times New Roman" w:hAnsi="Times New Roman"/>
        </w:rPr>
        <w:t xml:space="preserve">he premises. </w:t>
      </w:r>
    </w:p>
    <w:p w14:paraId="75635994" w14:textId="5EF0B839" w:rsidR="00E4627B" w:rsidRDefault="00E4627B" w:rsidP="00D906CB">
      <w:pPr>
        <w:spacing w:after="0"/>
        <w:ind w:left="567"/>
        <w:rPr>
          <w:rFonts w:ascii="Times New Roman" w:hAnsi="Times New Roman"/>
        </w:rPr>
      </w:pPr>
    </w:p>
    <w:p w14:paraId="4017A9CC" w14:textId="786C26F2" w:rsidR="00B460B0" w:rsidRDefault="006B6AAC" w:rsidP="002D5176">
      <w:pPr>
        <w:spacing w:after="0"/>
        <w:ind w:left="567"/>
        <w:rPr>
          <w:rFonts w:ascii="Times New Roman" w:hAnsi="Times New Roman"/>
        </w:rPr>
      </w:pPr>
      <w:r>
        <w:rPr>
          <w:rFonts w:ascii="Times New Roman" w:hAnsi="Times New Roman"/>
        </w:rPr>
        <w:t>Paragraphs</w:t>
      </w:r>
      <w:r w:rsidR="00B75593">
        <w:rPr>
          <w:rFonts w:ascii="Times New Roman" w:hAnsi="Times New Roman"/>
        </w:rPr>
        <w:t xml:space="preserve"> 7(4)(e)</w:t>
      </w:r>
      <w:r w:rsidR="00031C5D">
        <w:rPr>
          <w:rFonts w:ascii="Times New Roman" w:hAnsi="Times New Roman"/>
        </w:rPr>
        <w:t xml:space="preserve">,(f) and </w:t>
      </w:r>
      <w:r w:rsidR="00B75593">
        <w:rPr>
          <w:rFonts w:ascii="Times New Roman" w:hAnsi="Times New Roman"/>
        </w:rPr>
        <w:t xml:space="preserve">(g) </w:t>
      </w:r>
      <w:r w:rsidR="002D5176">
        <w:rPr>
          <w:rFonts w:ascii="Times New Roman" w:hAnsi="Times New Roman"/>
        </w:rPr>
        <w:t xml:space="preserve">provide that the </w:t>
      </w:r>
      <w:r w:rsidR="006E506F">
        <w:rPr>
          <w:rFonts w:ascii="Times New Roman" w:hAnsi="Times New Roman"/>
        </w:rPr>
        <w:t xml:space="preserve">primary universal service provider </w:t>
      </w:r>
      <w:r w:rsidR="002D5176">
        <w:rPr>
          <w:rFonts w:ascii="Times New Roman" w:hAnsi="Times New Roman"/>
        </w:rPr>
        <w:t>is not required fulfil a request to supply a standard telephone service if there is not</w:t>
      </w:r>
      <w:r w:rsidR="00B460B0">
        <w:rPr>
          <w:rFonts w:ascii="Times New Roman" w:hAnsi="Times New Roman"/>
        </w:rPr>
        <w:t xml:space="preserve"> unimpeded access and egress to the premises, or land leading to the premises, to enable the provider to use electricity or infrastructure necessary for the connection and supply of </w:t>
      </w:r>
      <w:r w:rsidR="00343DC1">
        <w:rPr>
          <w:rFonts w:ascii="Times New Roman" w:hAnsi="Times New Roman"/>
        </w:rPr>
        <w:t xml:space="preserve">a </w:t>
      </w:r>
      <w:r w:rsidR="00B460B0">
        <w:rPr>
          <w:rFonts w:ascii="Times New Roman" w:hAnsi="Times New Roman"/>
        </w:rPr>
        <w:t xml:space="preserve">standard telephone service. </w:t>
      </w:r>
    </w:p>
    <w:p w14:paraId="0892FBF8" w14:textId="09D90588" w:rsidR="00B75593" w:rsidRDefault="00B75593" w:rsidP="00175038">
      <w:pPr>
        <w:spacing w:after="0"/>
        <w:ind w:left="567"/>
        <w:rPr>
          <w:rFonts w:ascii="Times New Roman" w:hAnsi="Times New Roman"/>
        </w:rPr>
      </w:pPr>
    </w:p>
    <w:p w14:paraId="0850D26B" w14:textId="77777777" w:rsidR="00747B81" w:rsidRDefault="00D03EF5" w:rsidP="006B6AAC">
      <w:pPr>
        <w:spacing w:after="0"/>
        <w:ind w:left="567"/>
        <w:rPr>
          <w:rFonts w:ascii="Times New Roman" w:hAnsi="Times New Roman"/>
        </w:rPr>
      </w:pPr>
      <w:r>
        <w:rPr>
          <w:rFonts w:ascii="Times New Roman" w:hAnsi="Times New Roman"/>
        </w:rPr>
        <w:t>Paragraph</w:t>
      </w:r>
      <w:r w:rsidR="00B75593">
        <w:rPr>
          <w:rFonts w:ascii="Times New Roman" w:hAnsi="Times New Roman"/>
        </w:rPr>
        <w:t xml:space="preserve"> 7(4)(h) states that </w:t>
      </w:r>
      <w:r w:rsidR="002B51E6">
        <w:rPr>
          <w:rFonts w:ascii="Times New Roman" w:hAnsi="Times New Roman"/>
        </w:rPr>
        <w:t xml:space="preserve">a primary universal service provider does not need to </w:t>
      </w:r>
      <w:r w:rsidR="00404481">
        <w:rPr>
          <w:rFonts w:ascii="Times New Roman" w:hAnsi="Times New Roman"/>
        </w:rPr>
        <w:t xml:space="preserve">fulfil a request to supply a </w:t>
      </w:r>
      <w:r w:rsidR="002B51E6">
        <w:rPr>
          <w:rFonts w:ascii="Times New Roman" w:hAnsi="Times New Roman"/>
        </w:rPr>
        <w:t xml:space="preserve">standard telephone service </w:t>
      </w:r>
      <w:r w:rsidR="00404481">
        <w:rPr>
          <w:rFonts w:ascii="Times New Roman" w:hAnsi="Times New Roman"/>
        </w:rPr>
        <w:t>for such time there are circumstances beyond its control</w:t>
      </w:r>
      <w:r w:rsidR="002D5176">
        <w:rPr>
          <w:rFonts w:ascii="Times New Roman" w:hAnsi="Times New Roman"/>
        </w:rPr>
        <w:t xml:space="preserve">, as determined through </w:t>
      </w:r>
      <w:r>
        <w:rPr>
          <w:rFonts w:ascii="Times New Roman" w:hAnsi="Times New Roman"/>
        </w:rPr>
        <w:t xml:space="preserve">exemption </w:t>
      </w:r>
      <w:r w:rsidR="002D5176">
        <w:rPr>
          <w:rFonts w:ascii="Times New Roman" w:hAnsi="Times New Roman"/>
        </w:rPr>
        <w:t xml:space="preserve">provisions set out in </w:t>
      </w:r>
      <w:r w:rsidR="005C7C61">
        <w:rPr>
          <w:rFonts w:ascii="Times New Roman" w:hAnsi="Times New Roman"/>
        </w:rPr>
        <w:t>section 21 of the</w:t>
      </w:r>
      <w:r>
        <w:rPr>
          <w:rFonts w:ascii="Times New Roman" w:hAnsi="Times New Roman"/>
        </w:rPr>
        <w:t xml:space="preserve"> CSG standard</w:t>
      </w:r>
      <w:r w:rsidR="00404481">
        <w:rPr>
          <w:rFonts w:ascii="Times New Roman" w:hAnsi="Times New Roman"/>
        </w:rPr>
        <w:t xml:space="preserve">. </w:t>
      </w:r>
      <w:r>
        <w:rPr>
          <w:rFonts w:ascii="Times New Roman" w:hAnsi="Times New Roman"/>
        </w:rPr>
        <w:t xml:space="preserve">Note that where the primary universal service provider provides </w:t>
      </w:r>
      <w:r w:rsidR="005C7C61">
        <w:rPr>
          <w:rFonts w:ascii="Times New Roman" w:hAnsi="Times New Roman"/>
        </w:rPr>
        <w:t xml:space="preserve">standard telephone </w:t>
      </w:r>
      <w:r>
        <w:rPr>
          <w:rFonts w:ascii="Times New Roman" w:hAnsi="Times New Roman"/>
        </w:rPr>
        <w:t xml:space="preserve">services in accordance with the USO, these </w:t>
      </w:r>
      <w:r w:rsidR="005C7C61">
        <w:rPr>
          <w:rFonts w:ascii="Times New Roman" w:hAnsi="Times New Roman"/>
        </w:rPr>
        <w:t xml:space="preserve">will also be </w:t>
      </w:r>
      <w:r>
        <w:rPr>
          <w:rFonts w:ascii="Times New Roman" w:hAnsi="Times New Roman"/>
        </w:rPr>
        <w:t xml:space="preserve">subject to the CSG standard. While the CSG allows for waivers in some instances, the primary universal service provider </w:t>
      </w:r>
      <w:r w:rsidR="005C7C61">
        <w:rPr>
          <w:rFonts w:ascii="Times New Roman" w:hAnsi="Times New Roman"/>
        </w:rPr>
        <w:t xml:space="preserve">is prevented from seeking </w:t>
      </w:r>
      <w:r>
        <w:rPr>
          <w:rFonts w:ascii="Times New Roman" w:hAnsi="Times New Roman"/>
        </w:rPr>
        <w:t xml:space="preserve">such waivers </w:t>
      </w:r>
      <w:r w:rsidR="00404481">
        <w:rPr>
          <w:rFonts w:ascii="Times New Roman" w:hAnsi="Times New Roman"/>
        </w:rPr>
        <w:t xml:space="preserve">due to section 12(7) of the </w:t>
      </w:r>
      <w:r w:rsidR="00404481" w:rsidRPr="00A93C3A">
        <w:rPr>
          <w:rFonts w:ascii="Times New Roman" w:hAnsi="Times New Roman"/>
          <w:i/>
        </w:rPr>
        <w:t>Telecommunications (Consumer Protection and Service Standards) Act 1999</w:t>
      </w:r>
      <w:r w:rsidR="002B51E6">
        <w:rPr>
          <w:rFonts w:ascii="Times New Roman" w:hAnsi="Times New Roman"/>
        </w:rPr>
        <w:t xml:space="preserve">. </w:t>
      </w:r>
    </w:p>
    <w:p w14:paraId="165F139F" w14:textId="77777777" w:rsidR="00747B81" w:rsidRDefault="00747B81" w:rsidP="006B6AAC">
      <w:pPr>
        <w:spacing w:after="0"/>
        <w:ind w:left="567"/>
        <w:rPr>
          <w:rFonts w:ascii="Times New Roman" w:hAnsi="Times New Roman"/>
        </w:rPr>
      </w:pPr>
    </w:p>
    <w:p w14:paraId="0ADC0036" w14:textId="381AA6DF" w:rsidR="006B6AAC" w:rsidRPr="00D906CB" w:rsidRDefault="00AA6172" w:rsidP="009A367A">
      <w:pPr>
        <w:spacing w:after="0"/>
        <w:ind w:left="567" w:right="-428"/>
        <w:rPr>
          <w:rFonts w:ascii="Times New Roman" w:hAnsi="Times New Roman"/>
        </w:rPr>
      </w:pPr>
      <w:r>
        <w:rPr>
          <w:rFonts w:ascii="Times New Roman" w:hAnsi="Times New Roman"/>
        </w:rPr>
        <w:t>S</w:t>
      </w:r>
      <w:r w:rsidR="006B6AAC">
        <w:rPr>
          <w:rFonts w:ascii="Times New Roman" w:hAnsi="Times New Roman"/>
        </w:rPr>
        <w:t xml:space="preserve">ection 7(5) provides that </w:t>
      </w:r>
      <w:r w:rsidR="005C7C61">
        <w:rPr>
          <w:rFonts w:ascii="Times New Roman" w:hAnsi="Times New Roman"/>
        </w:rPr>
        <w:t xml:space="preserve">where there is </w:t>
      </w:r>
      <w:r w:rsidR="006B6AAC" w:rsidRPr="009012FE">
        <w:rPr>
          <w:rFonts w:ascii="Times New Roman" w:hAnsi="Times New Roman"/>
        </w:rPr>
        <w:t xml:space="preserve">damage to, or </w:t>
      </w:r>
      <w:r w:rsidR="005C7C61">
        <w:rPr>
          <w:rFonts w:ascii="Times New Roman" w:hAnsi="Times New Roman"/>
        </w:rPr>
        <w:t>a</w:t>
      </w:r>
      <w:r w:rsidR="006B6AAC" w:rsidRPr="009012FE">
        <w:rPr>
          <w:rFonts w:ascii="Times New Roman" w:hAnsi="Times New Roman"/>
        </w:rPr>
        <w:t xml:space="preserve"> failure of </w:t>
      </w:r>
      <w:r w:rsidR="005C7C61">
        <w:rPr>
          <w:rFonts w:ascii="Times New Roman" w:hAnsi="Times New Roman"/>
        </w:rPr>
        <w:t xml:space="preserve">the NBN </w:t>
      </w:r>
      <w:r w:rsidR="006B6AAC">
        <w:rPr>
          <w:rFonts w:ascii="Times New Roman" w:hAnsi="Times New Roman"/>
        </w:rPr>
        <w:t>fixed line</w:t>
      </w:r>
      <w:r w:rsidR="006B6AAC" w:rsidRPr="009012FE">
        <w:rPr>
          <w:rFonts w:ascii="Times New Roman" w:hAnsi="Times New Roman"/>
        </w:rPr>
        <w:t xml:space="preserve"> </w:t>
      </w:r>
      <w:r w:rsidR="005C7C61">
        <w:rPr>
          <w:rFonts w:ascii="Times New Roman" w:hAnsi="Times New Roman"/>
        </w:rPr>
        <w:t>network</w:t>
      </w:r>
      <w:r w:rsidR="006B6AAC" w:rsidRPr="009012FE">
        <w:rPr>
          <w:rFonts w:ascii="Times New Roman" w:hAnsi="Times New Roman"/>
        </w:rPr>
        <w:t xml:space="preserve"> </w:t>
      </w:r>
      <w:r w:rsidR="005C7C61">
        <w:rPr>
          <w:rFonts w:ascii="Times New Roman" w:hAnsi="Times New Roman"/>
        </w:rPr>
        <w:t xml:space="preserve">that causes mass outages and restricts connection or supply of services, </w:t>
      </w:r>
      <w:r w:rsidR="00747B81">
        <w:rPr>
          <w:rFonts w:ascii="Times New Roman" w:hAnsi="Times New Roman"/>
        </w:rPr>
        <w:t xml:space="preserve">the </w:t>
      </w:r>
      <w:r w:rsidR="006B6AAC">
        <w:rPr>
          <w:rFonts w:ascii="Times New Roman" w:hAnsi="Times New Roman"/>
        </w:rPr>
        <w:t>primary universal provider</w:t>
      </w:r>
      <w:r w:rsidR="006B6AAC" w:rsidRPr="009012FE">
        <w:rPr>
          <w:rFonts w:ascii="Times New Roman" w:hAnsi="Times New Roman"/>
        </w:rPr>
        <w:t xml:space="preserve"> will </w:t>
      </w:r>
      <w:r w:rsidR="005C7C61">
        <w:rPr>
          <w:rFonts w:ascii="Times New Roman" w:hAnsi="Times New Roman"/>
        </w:rPr>
        <w:t xml:space="preserve">also </w:t>
      </w:r>
      <w:r w:rsidR="006B6AAC" w:rsidRPr="009012FE">
        <w:rPr>
          <w:rFonts w:ascii="Times New Roman" w:hAnsi="Times New Roman"/>
        </w:rPr>
        <w:t xml:space="preserve">be able to rely on the circumstance in paragraph 7(4)(h). </w:t>
      </w:r>
    </w:p>
    <w:p w14:paraId="20052D0C" w14:textId="77777777" w:rsidR="00D03EF5" w:rsidRDefault="00D03EF5" w:rsidP="00175038">
      <w:pPr>
        <w:spacing w:after="0"/>
        <w:ind w:left="567"/>
        <w:rPr>
          <w:rFonts w:ascii="Times New Roman" w:hAnsi="Times New Roman"/>
        </w:rPr>
      </w:pPr>
    </w:p>
    <w:p w14:paraId="152B9E7E" w14:textId="718086B6" w:rsidR="002B51E6" w:rsidRDefault="002B51E6" w:rsidP="00175038">
      <w:pPr>
        <w:spacing w:after="0"/>
        <w:ind w:left="567"/>
        <w:rPr>
          <w:rFonts w:ascii="Times New Roman" w:hAnsi="Times New Roman"/>
        </w:rPr>
      </w:pPr>
      <w:r>
        <w:rPr>
          <w:rFonts w:ascii="Times New Roman" w:hAnsi="Times New Roman"/>
        </w:rPr>
        <w:t xml:space="preserve">Paragraph 7(4)(i) states that a primary universal service provider is not required to provide </w:t>
      </w:r>
      <w:r w:rsidR="00343DC1">
        <w:rPr>
          <w:rFonts w:ascii="Times New Roman" w:hAnsi="Times New Roman"/>
        </w:rPr>
        <w:t xml:space="preserve">a </w:t>
      </w:r>
      <w:r>
        <w:rPr>
          <w:rFonts w:ascii="Times New Roman" w:hAnsi="Times New Roman"/>
        </w:rPr>
        <w:t xml:space="preserve">standard telephone service where the installation or supply of services may </w:t>
      </w:r>
      <w:r>
        <w:rPr>
          <w:rFonts w:ascii="Times New Roman" w:hAnsi="Times New Roman"/>
        </w:rPr>
        <w:lastRenderedPageBreak/>
        <w:t xml:space="preserve">pose a hazard to public safety. </w:t>
      </w:r>
      <w:r w:rsidR="00B27070">
        <w:rPr>
          <w:rFonts w:ascii="Times New Roman" w:hAnsi="Times New Roman"/>
        </w:rPr>
        <w:t xml:space="preserve">For example, this could be where the </w:t>
      </w:r>
      <w:r w:rsidR="00B27070" w:rsidRPr="00B27070">
        <w:rPr>
          <w:rFonts w:ascii="Times New Roman" w:hAnsi="Times New Roman"/>
        </w:rPr>
        <w:t>installation would impede a fire escape</w:t>
      </w:r>
      <w:r w:rsidR="00B27070">
        <w:rPr>
          <w:rFonts w:ascii="Times New Roman" w:hAnsi="Times New Roman"/>
        </w:rPr>
        <w:t xml:space="preserve">. </w:t>
      </w:r>
    </w:p>
    <w:p w14:paraId="3F652CAE" w14:textId="276FD9EB" w:rsidR="00765CF5" w:rsidRDefault="00765CF5" w:rsidP="00175038">
      <w:pPr>
        <w:spacing w:after="0"/>
        <w:ind w:left="567"/>
        <w:rPr>
          <w:rFonts w:ascii="Times New Roman" w:hAnsi="Times New Roman"/>
        </w:rPr>
      </w:pPr>
    </w:p>
    <w:p w14:paraId="0907C386" w14:textId="4CFCBE9B" w:rsidR="00765CF5" w:rsidRDefault="00765CF5" w:rsidP="00175038">
      <w:pPr>
        <w:spacing w:after="0"/>
        <w:ind w:left="567"/>
        <w:rPr>
          <w:rFonts w:ascii="Times New Roman" w:hAnsi="Times New Roman"/>
        </w:rPr>
      </w:pPr>
      <w:r>
        <w:rPr>
          <w:rFonts w:ascii="Times New Roman" w:hAnsi="Times New Roman"/>
        </w:rPr>
        <w:t xml:space="preserve">Paragraph 7(4)(j) provides that </w:t>
      </w:r>
      <w:r w:rsidR="006E506F">
        <w:rPr>
          <w:rFonts w:ascii="Times New Roman" w:hAnsi="Times New Roman"/>
        </w:rPr>
        <w:t xml:space="preserve">a primary universal service provider does not have to supply </w:t>
      </w:r>
      <w:r w:rsidR="00B27070">
        <w:rPr>
          <w:rFonts w:ascii="Times New Roman" w:hAnsi="Times New Roman"/>
        </w:rPr>
        <w:t xml:space="preserve">a </w:t>
      </w:r>
      <w:r w:rsidR="006E506F">
        <w:rPr>
          <w:rFonts w:ascii="Times New Roman" w:hAnsi="Times New Roman"/>
        </w:rPr>
        <w:t xml:space="preserve">standard telephone service if </w:t>
      </w:r>
      <w:r>
        <w:rPr>
          <w:rFonts w:ascii="Times New Roman" w:hAnsi="Times New Roman"/>
        </w:rPr>
        <w:t xml:space="preserve">any staff or contractors of the primary universal service provider </w:t>
      </w:r>
      <w:r w:rsidR="00B27070">
        <w:rPr>
          <w:rFonts w:ascii="Times New Roman" w:hAnsi="Times New Roman"/>
        </w:rPr>
        <w:t xml:space="preserve">are at risk of being </w:t>
      </w:r>
      <w:r>
        <w:rPr>
          <w:rFonts w:ascii="Times New Roman" w:hAnsi="Times New Roman"/>
        </w:rPr>
        <w:t>exposed or subject to threatening or intimidating behaviour from other people (including the person making the request) or animals</w:t>
      </w:r>
      <w:r w:rsidR="00B27070">
        <w:rPr>
          <w:rFonts w:ascii="Times New Roman" w:hAnsi="Times New Roman"/>
        </w:rPr>
        <w:t xml:space="preserve">; </w:t>
      </w:r>
      <w:r w:rsidR="0072522C">
        <w:rPr>
          <w:rFonts w:ascii="Times New Roman" w:hAnsi="Times New Roman"/>
        </w:rPr>
        <w:t>un</w:t>
      </w:r>
      <w:r w:rsidRPr="00727154">
        <w:rPr>
          <w:rFonts w:ascii="Times New Roman" w:hAnsi="Times New Roman"/>
        </w:rPr>
        <w:t xml:space="preserve">healthy </w:t>
      </w:r>
      <w:r w:rsidR="0072522C">
        <w:rPr>
          <w:rFonts w:ascii="Times New Roman" w:hAnsi="Times New Roman"/>
        </w:rPr>
        <w:t>or</w:t>
      </w:r>
      <w:r w:rsidRPr="00727154">
        <w:rPr>
          <w:rFonts w:ascii="Times New Roman" w:hAnsi="Times New Roman"/>
        </w:rPr>
        <w:t xml:space="preserve"> </w:t>
      </w:r>
      <w:r w:rsidR="0072522C">
        <w:rPr>
          <w:rFonts w:ascii="Times New Roman" w:hAnsi="Times New Roman"/>
        </w:rPr>
        <w:t>un</w:t>
      </w:r>
      <w:r w:rsidRPr="00727154">
        <w:rPr>
          <w:rFonts w:ascii="Times New Roman" w:hAnsi="Times New Roman"/>
        </w:rPr>
        <w:t>sanitary</w:t>
      </w:r>
      <w:r w:rsidR="00B27070">
        <w:rPr>
          <w:rFonts w:ascii="Times New Roman" w:hAnsi="Times New Roman"/>
        </w:rPr>
        <w:t xml:space="preserve"> conditions</w:t>
      </w:r>
      <w:r w:rsidRPr="00727154">
        <w:rPr>
          <w:rFonts w:ascii="Times New Roman" w:hAnsi="Times New Roman"/>
        </w:rPr>
        <w:t xml:space="preserve">, </w:t>
      </w:r>
      <w:r w:rsidR="00B446AF">
        <w:rPr>
          <w:rFonts w:ascii="Times New Roman" w:hAnsi="Times New Roman"/>
        </w:rPr>
        <w:t xml:space="preserve">such as the presence </w:t>
      </w:r>
      <w:r w:rsidRPr="00727154">
        <w:rPr>
          <w:rFonts w:ascii="Times New Roman" w:hAnsi="Times New Roman"/>
        </w:rPr>
        <w:t>of potentially hazardous waste, infestation, chemicals or other conditions</w:t>
      </w:r>
      <w:r w:rsidR="00B27070">
        <w:rPr>
          <w:rFonts w:ascii="Times New Roman" w:hAnsi="Times New Roman"/>
        </w:rPr>
        <w:t>;</w:t>
      </w:r>
      <w:r w:rsidRPr="00727154">
        <w:rPr>
          <w:rFonts w:ascii="Times New Roman" w:hAnsi="Times New Roman"/>
        </w:rPr>
        <w:t xml:space="preserve"> </w:t>
      </w:r>
      <w:r w:rsidR="00B27070">
        <w:rPr>
          <w:rFonts w:ascii="Times New Roman" w:hAnsi="Times New Roman"/>
        </w:rPr>
        <w:t>or risk of injury from unsafe building space or</w:t>
      </w:r>
      <w:r w:rsidRPr="00727154">
        <w:rPr>
          <w:rFonts w:ascii="Times New Roman" w:hAnsi="Times New Roman"/>
        </w:rPr>
        <w:t xml:space="preserve"> substandard electrical fittings.</w:t>
      </w:r>
    </w:p>
    <w:p w14:paraId="46BAF277" w14:textId="0CF4AB21" w:rsidR="00765CF5" w:rsidRDefault="00765CF5" w:rsidP="00175038">
      <w:pPr>
        <w:spacing w:after="0"/>
        <w:ind w:left="567"/>
        <w:rPr>
          <w:rFonts w:ascii="Times New Roman" w:hAnsi="Times New Roman"/>
        </w:rPr>
      </w:pPr>
    </w:p>
    <w:p w14:paraId="2155DA0C" w14:textId="170FFE05" w:rsidR="00765CF5" w:rsidRPr="00727154" w:rsidRDefault="00765CF5" w:rsidP="00175038">
      <w:pPr>
        <w:spacing w:after="0"/>
        <w:ind w:left="567"/>
        <w:rPr>
          <w:rFonts w:ascii="Times New Roman" w:hAnsi="Times New Roman"/>
        </w:rPr>
      </w:pPr>
      <w:r>
        <w:rPr>
          <w:rFonts w:ascii="Times New Roman" w:hAnsi="Times New Roman"/>
        </w:rPr>
        <w:t xml:space="preserve">Paragraph 7(4)(k) clarifies that the primary universal service provider is not required to supply </w:t>
      </w:r>
      <w:r w:rsidR="00343DC1">
        <w:rPr>
          <w:rFonts w:ascii="Times New Roman" w:hAnsi="Times New Roman"/>
        </w:rPr>
        <w:t xml:space="preserve">a </w:t>
      </w:r>
      <w:r>
        <w:rPr>
          <w:rFonts w:ascii="Times New Roman" w:hAnsi="Times New Roman"/>
        </w:rPr>
        <w:t xml:space="preserve">standard telephone service if installation </w:t>
      </w:r>
      <w:r w:rsidR="006A4288">
        <w:rPr>
          <w:rFonts w:ascii="Times New Roman" w:hAnsi="Times New Roman"/>
        </w:rPr>
        <w:t xml:space="preserve">would have significant adverse environmental impact and </w:t>
      </w:r>
      <w:r>
        <w:rPr>
          <w:rFonts w:ascii="Times New Roman" w:hAnsi="Times New Roman"/>
        </w:rPr>
        <w:t xml:space="preserve">is unable to be completed in compliance with Schedule 3 of the </w:t>
      </w:r>
      <w:r w:rsidRPr="004A4F56">
        <w:rPr>
          <w:rFonts w:ascii="Times New Roman" w:hAnsi="Times New Roman"/>
          <w:i/>
        </w:rPr>
        <w:t>Telecommunications Act 1997</w:t>
      </w:r>
      <w:r w:rsidR="00B27070">
        <w:rPr>
          <w:rFonts w:ascii="Times New Roman" w:hAnsi="Times New Roman"/>
        </w:rPr>
        <w:t xml:space="preserve"> or </w:t>
      </w:r>
      <w:r w:rsidR="006A4288">
        <w:rPr>
          <w:rFonts w:ascii="Times New Roman" w:hAnsi="Times New Roman"/>
        </w:rPr>
        <w:t xml:space="preserve">is prevented due to the </w:t>
      </w:r>
      <w:r w:rsidR="006A4288" w:rsidRPr="00727154">
        <w:rPr>
          <w:rFonts w:ascii="Times New Roman" w:hAnsi="Times New Roman"/>
          <w:i/>
        </w:rPr>
        <w:t>Environment Protection and Biodiversity Conservation Act 1999</w:t>
      </w:r>
      <w:r w:rsidR="006A4288" w:rsidRPr="00727154">
        <w:rPr>
          <w:rFonts w:ascii="Times New Roman" w:hAnsi="Times New Roman"/>
        </w:rPr>
        <w:t>.</w:t>
      </w:r>
      <w:r w:rsidR="006A4288">
        <w:rPr>
          <w:rFonts w:ascii="Times New Roman" w:hAnsi="Times New Roman"/>
        </w:rPr>
        <w:t xml:space="preserve"> </w:t>
      </w:r>
      <w:r w:rsidR="00031C5D">
        <w:rPr>
          <w:rFonts w:ascii="Times New Roman" w:hAnsi="Times New Roman"/>
        </w:rPr>
        <w:t xml:space="preserve">Schedule </w:t>
      </w:r>
      <w:r w:rsidR="00EE4BD1">
        <w:rPr>
          <w:rFonts w:ascii="Times New Roman" w:hAnsi="Times New Roman"/>
        </w:rPr>
        <w:t xml:space="preserve">3 </w:t>
      </w:r>
      <w:r w:rsidR="003C498B">
        <w:rPr>
          <w:rFonts w:ascii="Times New Roman" w:hAnsi="Times New Roman"/>
        </w:rPr>
        <w:t xml:space="preserve">provides </w:t>
      </w:r>
      <w:r w:rsidR="00EE4BD1">
        <w:rPr>
          <w:rFonts w:ascii="Times New Roman" w:hAnsi="Times New Roman"/>
        </w:rPr>
        <w:t>for</w:t>
      </w:r>
      <w:r w:rsidR="003C498B">
        <w:rPr>
          <w:rFonts w:ascii="Times New Roman" w:hAnsi="Times New Roman"/>
        </w:rPr>
        <w:t xml:space="preserve"> carriers’ powers and immunities</w:t>
      </w:r>
      <w:r w:rsidR="00031C5D">
        <w:rPr>
          <w:rFonts w:ascii="Times New Roman" w:hAnsi="Times New Roman"/>
        </w:rPr>
        <w:t>,</w:t>
      </w:r>
      <w:r w:rsidR="003C498B">
        <w:rPr>
          <w:rFonts w:ascii="Times New Roman" w:hAnsi="Times New Roman"/>
        </w:rPr>
        <w:t xml:space="preserve"> </w:t>
      </w:r>
      <w:r w:rsidR="00EE4BD1">
        <w:rPr>
          <w:rFonts w:ascii="Times New Roman" w:hAnsi="Times New Roman"/>
        </w:rPr>
        <w:t xml:space="preserve">including providing </w:t>
      </w:r>
      <w:r w:rsidR="006A4288">
        <w:rPr>
          <w:rFonts w:ascii="Times New Roman" w:hAnsi="Times New Roman"/>
        </w:rPr>
        <w:t>some exemptions from s</w:t>
      </w:r>
      <w:r w:rsidR="006A4288" w:rsidRPr="006A4288">
        <w:rPr>
          <w:rFonts w:ascii="Times New Roman" w:hAnsi="Times New Roman"/>
        </w:rPr>
        <w:t xml:space="preserve">tate and </w:t>
      </w:r>
      <w:r w:rsidR="006A4288">
        <w:rPr>
          <w:rFonts w:ascii="Times New Roman" w:hAnsi="Times New Roman"/>
        </w:rPr>
        <w:t>t</w:t>
      </w:r>
      <w:r w:rsidR="006A4288" w:rsidRPr="006A4288">
        <w:rPr>
          <w:rFonts w:ascii="Times New Roman" w:hAnsi="Times New Roman"/>
        </w:rPr>
        <w:t>erritory laws</w:t>
      </w:r>
      <w:r w:rsidR="006A4288">
        <w:rPr>
          <w:rFonts w:ascii="Times New Roman" w:hAnsi="Times New Roman"/>
        </w:rPr>
        <w:t xml:space="preserve"> in particular cases so </w:t>
      </w:r>
      <w:r w:rsidR="00EE4BD1">
        <w:rPr>
          <w:rFonts w:ascii="Times New Roman" w:hAnsi="Times New Roman"/>
        </w:rPr>
        <w:t>that</w:t>
      </w:r>
      <w:r w:rsidR="003C498B">
        <w:rPr>
          <w:rFonts w:ascii="Times New Roman" w:hAnsi="Times New Roman"/>
        </w:rPr>
        <w:t xml:space="preserve"> carrier</w:t>
      </w:r>
      <w:r w:rsidR="00EE4BD1">
        <w:rPr>
          <w:rFonts w:ascii="Times New Roman" w:hAnsi="Times New Roman"/>
        </w:rPr>
        <w:t>s</w:t>
      </w:r>
      <w:r w:rsidR="003C498B">
        <w:rPr>
          <w:rFonts w:ascii="Times New Roman" w:hAnsi="Times New Roman"/>
        </w:rPr>
        <w:t xml:space="preserve"> </w:t>
      </w:r>
      <w:r w:rsidR="00EE4BD1">
        <w:rPr>
          <w:rFonts w:ascii="Times New Roman" w:hAnsi="Times New Roman"/>
        </w:rPr>
        <w:t xml:space="preserve">can </w:t>
      </w:r>
      <w:r w:rsidR="003C498B">
        <w:rPr>
          <w:rFonts w:ascii="Times New Roman" w:hAnsi="Times New Roman"/>
        </w:rPr>
        <w:t xml:space="preserve">access and enter land to </w:t>
      </w:r>
      <w:r w:rsidR="003C498B" w:rsidRPr="00727154">
        <w:rPr>
          <w:rFonts w:ascii="Times New Roman" w:hAnsi="Times New Roman"/>
        </w:rPr>
        <w:t xml:space="preserve">inspect premises, install telecommunications facilities or maintain established facilities. </w:t>
      </w:r>
    </w:p>
    <w:p w14:paraId="33728A10" w14:textId="42468D69" w:rsidR="002B51E6" w:rsidRPr="00727154" w:rsidRDefault="002B51E6" w:rsidP="00175038">
      <w:pPr>
        <w:spacing w:after="0"/>
        <w:ind w:left="567"/>
        <w:rPr>
          <w:rFonts w:ascii="Times New Roman" w:hAnsi="Times New Roman"/>
        </w:rPr>
      </w:pPr>
    </w:p>
    <w:p w14:paraId="27ABDC8C" w14:textId="0898E6F7" w:rsidR="003C498B" w:rsidRDefault="003C498B" w:rsidP="00175038">
      <w:pPr>
        <w:spacing w:after="0"/>
        <w:ind w:left="567"/>
        <w:rPr>
          <w:rFonts w:ascii="Times New Roman" w:hAnsi="Times New Roman"/>
        </w:rPr>
      </w:pPr>
      <w:r w:rsidRPr="00727154">
        <w:rPr>
          <w:rFonts w:ascii="Times New Roman" w:hAnsi="Times New Roman"/>
        </w:rPr>
        <w:t xml:space="preserve">Paragraph 7(4)(l) states that </w:t>
      </w:r>
      <w:r w:rsidR="00C43683" w:rsidRPr="00727154">
        <w:rPr>
          <w:rFonts w:ascii="Times New Roman" w:hAnsi="Times New Roman"/>
        </w:rPr>
        <w:t>a primary universal service provider is not required to connect</w:t>
      </w:r>
      <w:r w:rsidR="00343DC1" w:rsidRPr="00727154">
        <w:rPr>
          <w:rFonts w:ascii="Times New Roman" w:hAnsi="Times New Roman"/>
        </w:rPr>
        <w:t xml:space="preserve"> a</w:t>
      </w:r>
      <w:r w:rsidR="00C43683" w:rsidRPr="00727154">
        <w:rPr>
          <w:rFonts w:ascii="Times New Roman" w:hAnsi="Times New Roman"/>
        </w:rPr>
        <w:t xml:space="preserve"> standard telephone service to a </w:t>
      </w:r>
      <w:r w:rsidR="006A4288" w:rsidRPr="00727154">
        <w:rPr>
          <w:rFonts w:ascii="Times New Roman" w:hAnsi="Times New Roman"/>
        </w:rPr>
        <w:t>premise</w:t>
      </w:r>
      <w:r w:rsidR="006A4288">
        <w:rPr>
          <w:rFonts w:ascii="Times New Roman" w:hAnsi="Times New Roman"/>
        </w:rPr>
        <w:t>s</w:t>
      </w:r>
      <w:r w:rsidR="00C43683" w:rsidRPr="00727154">
        <w:rPr>
          <w:rFonts w:ascii="Times New Roman" w:hAnsi="Times New Roman"/>
        </w:rPr>
        <w:t xml:space="preserve"> if the proper consent or authority from any </w:t>
      </w:r>
      <w:r w:rsidR="006A4288">
        <w:rPr>
          <w:rFonts w:ascii="Times New Roman" w:hAnsi="Times New Roman"/>
        </w:rPr>
        <w:t>third party is necessary to arrange installation works.</w:t>
      </w:r>
      <w:r w:rsidR="00C43683" w:rsidRPr="00727154">
        <w:rPr>
          <w:rFonts w:ascii="Times New Roman" w:hAnsi="Times New Roman"/>
        </w:rPr>
        <w:t xml:space="preserve"> This </w:t>
      </w:r>
      <w:r w:rsidR="006A4288">
        <w:rPr>
          <w:rFonts w:ascii="Times New Roman" w:hAnsi="Times New Roman"/>
        </w:rPr>
        <w:t xml:space="preserve">reflects that a primary universal service provider may require </w:t>
      </w:r>
      <w:r w:rsidR="00C43683" w:rsidRPr="00727154">
        <w:rPr>
          <w:rFonts w:ascii="Times New Roman" w:hAnsi="Times New Roman"/>
        </w:rPr>
        <w:t xml:space="preserve">access to </w:t>
      </w:r>
      <w:r w:rsidR="006A4288">
        <w:rPr>
          <w:rFonts w:ascii="Times New Roman" w:hAnsi="Times New Roman"/>
        </w:rPr>
        <w:t>common property</w:t>
      </w:r>
      <w:r w:rsidR="00C43683" w:rsidRPr="00727154">
        <w:rPr>
          <w:rFonts w:ascii="Times New Roman" w:hAnsi="Times New Roman"/>
        </w:rPr>
        <w:t>.</w:t>
      </w:r>
      <w:r w:rsidR="0072522C" w:rsidRPr="00A93C3A">
        <w:rPr>
          <w:rFonts w:ascii="Times New Roman" w:hAnsi="Times New Roman"/>
        </w:rPr>
        <w:t xml:space="preserve"> For example, </w:t>
      </w:r>
      <w:r w:rsidR="00B446AF">
        <w:rPr>
          <w:rFonts w:ascii="Times New Roman" w:hAnsi="Times New Roman"/>
        </w:rPr>
        <w:t xml:space="preserve">if a person makes a request for a standard telephone service for an apartment which is part of a larger complex, </w:t>
      </w:r>
      <w:r w:rsidR="0072522C" w:rsidRPr="00A93C3A">
        <w:rPr>
          <w:rFonts w:ascii="Times New Roman" w:hAnsi="Times New Roman"/>
        </w:rPr>
        <w:t xml:space="preserve">the </w:t>
      </w:r>
      <w:r w:rsidR="0072522C" w:rsidRPr="00727154">
        <w:rPr>
          <w:rFonts w:ascii="Times New Roman" w:hAnsi="Times New Roman"/>
        </w:rPr>
        <w:t>primary universal service provider m</w:t>
      </w:r>
      <w:r w:rsidR="006A4288">
        <w:rPr>
          <w:rFonts w:ascii="Times New Roman" w:hAnsi="Times New Roman"/>
        </w:rPr>
        <w:t xml:space="preserve">ay need to </w:t>
      </w:r>
      <w:r w:rsidR="0072522C" w:rsidRPr="00727154">
        <w:rPr>
          <w:rFonts w:ascii="Times New Roman" w:hAnsi="Times New Roman"/>
        </w:rPr>
        <w:t>seek consent</w:t>
      </w:r>
      <w:r w:rsidR="00B446AF">
        <w:rPr>
          <w:rFonts w:ascii="Times New Roman" w:hAnsi="Times New Roman"/>
        </w:rPr>
        <w:t xml:space="preserve"> from the building manager or owner</w:t>
      </w:r>
      <w:r w:rsidR="0072522C" w:rsidRPr="00727154">
        <w:rPr>
          <w:rFonts w:ascii="Times New Roman" w:hAnsi="Times New Roman"/>
        </w:rPr>
        <w:t xml:space="preserve"> to </w:t>
      </w:r>
      <w:r w:rsidR="006A4288">
        <w:rPr>
          <w:rFonts w:ascii="Times New Roman" w:hAnsi="Times New Roman"/>
        </w:rPr>
        <w:t xml:space="preserve">gain </w:t>
      </w:r>
      <w:r w:rsidR="0072522C" w:rsidRPr="00727154">
        <w:rPr>
          <w:rFonts w:ascii="Times New Roman" w:hAnsi="Times New Roman"/>
        </w:rPr>
        <w:t xml:space="preserve">access </w:t>
      </w:r>
      <w:r w:rsidR="00B446AF">
        <w:rPr>
          <w:rFonts w:ascii="Times New Roman" w:hAnsi="Times New Roman"/>
        </w:rPr>
        <w:t xml:space="preserve">any common equipment rooms or similar facilities in the apartment building </w:t>
      </w:r>
      <w:r w:rsidR="00A037FE">
        <w:rPr>
          <w:rFonts w:ascii="Times New Roman" w:hAnsi="Times New Roman"/>
        </w:rPr>
        <w:t>in order to supply a standard telephone service.</w:t>
      </w:r>
      <w:r w:rsidR="006A4288">
        <w:rPr>
          <w:rFonts w:ascii="Times New Roman" w:hAnsi="Times New Roman"/>
        </w:rPr>
        <w:t xml:space="preserve"> </w:t>
      </w:r>
    </w:p>
    <w:p w14:paraId="1E86F145" w14:textId="77777777" w:rsidR="00B460B0" w:rsidRDefault="00B460B0" w:rsidP="004A4F56">
      <w:pPr>
        <w:spacing w:after="0"/>
        <w:rPr>
          <w:rFonts w:ascii="Times New Roman" w:hAnsi="Times New Roman"/>
        </w:rPr>
      </w:pPr>
    </w:p>
    <w:p w14:paraId="6A49C9C0" w14:textId="712F5853" w:rsidR="00AA6172" w:rsidRDefault="00C43683" w:rsidP="009A367A">
      <w:pPr>
        <w:spacing w:after="0"/>
        <w:ind w:left="567" w:right="-144"/>
        <w:rPr>
          <w:rFonts w:ascii="Times New Roman" w:hAnsi="Times New Roman"/>
        </w:rPr>
      </w:pPr>
      <w:r w:rsidRPr="00FB59AD">
        <w:rPr>
          <w:rFonts w:ascii="Times New Roman" w:hAnsi="Times New Roman"/>
        </w:rPr>
        <w:t>Subparagraph 7(4)(m)</w:t>
      </w:r>
      <w:r w:rsidR="0079200C">
        <w:rPr>
          <w:rFonts w:ascii="Times New Roman" w:hAnsi="Times New Roman"/>
        </w:rPr>
        <w:t>(i)</w:t>
      </w:r>
      <w:r w:rsidRPr="00FB59AD">
        <w:rPr>
          <w:rFonts w:ascii="Times New Roman" w:hAnsi="Times New Roman"/>
        </w:rPr>
        <w:t xml:space="preserve"> </w:t>
      </w:r>
      <w:r w:rsidR="006A4288" w:rsidRPr="00FB59AD">
        <w:rPr>
          <w:rFonts w:ascii="Times New Roman" w:hAnsi="Times New Roman"/>
        </w:rPr>
        <w:t xml:space="preserve">provides </w:t>
      </w:r>
      <w:r w:rsidRPr="00FB59AD">
        <w:rPr>
          <w:rFonts w:ascii="Times New Roman" w:hAnsi="Times New Roman"/>
        </w:rPr>
        <w:t>that t</w:t>
      </w:r>
      <w:r w:rsidR="00B460B0" w:rsidRPr="00FB59AD">
        <w:rPr>
          <w:rFonts w:ascii="Times New Roman" w:hAnsi="Times New Roman"/>
        </w:rPr>
        <w:t>he primary universal service provider is not required to supply</w:t>
      </w:r>
      <w:r w:rsidR="00343DC1" w:rsidRPr="00FB59AD">
        <w:rPr>
          <w:rFonts w:ascii="Times New Roman" w:hAnsi="Times New Roman"/>
        </w:rPr>
        <w:t xml:space="preserve"> a</w:t>
      </w:r>
      <w:r w:rsidR="00B460B0" w:rsidRPr="00FB59AD">
        <w:rPr>
          <w:rFonts w:ascii="Times New Roman" w:hAnsi="Times New Roman"/>
        </w:rPr>
        <w:t xml:space="preserve"> standard telephone service to </w:t>
      </w:r>
      <w:r w:rsidR="0079200C">
        <w:rPr>
          <w:rFonts w:ascii="Times New Roman" w:hAnsi="Times New Roman"/>
        </w:rPr>
        <w:t xml:space="preserve">a </w:t>
      </w:r>
      <w:r w:rsidR="0079200C" w:rsidRPr="00FB59AD">
        <w:rPr>
          <w:rFonts w:ascii="Times New Roman" w:hAnsi="Times New Roman"/>
        </w:rPr>
        <w:t>premise</w:t>
      </w:r>
      <w:r w:rsidR="00B460B0" w:rsidRPr="00FB59AD">
        <w:rPr>
          <w:rFonts w:ascii="Times New Roman" w:hAnsi="Times New Roman"/>
        </w:rPr>
        <w:t xml:space="preserve"> </w:t>
      </w:r>
      <w:r w:rsidR="00FB59AD">
        <w:rPr>
          <w:rFonts w:ascii="Times New Roman" w:hAnsi="Times New Roman"/>
        </w:rPr>
        <w:t>that already ha</w:t>
      </w:r>
      <w:r w:rsidR="0079200C">
        <w:rPr>
          <w:rFonts w:ascii="Times New Roman" w:hAnsi="Times New Roman"/>
        </w:rPr>
        <w:t>s</w:t>
      </w:r>
      <w:r w:rsidR="00D8070D" w:rsidRPr="00FB59AD">
        <w:rPr>
          <w:rFonts w:ascii="Times New Roman" w:hAnsi="Times New Roman"/>
        </w:rPr>
        <w:t xml:space="preserve"> </w:t>
      </w:r>
      <w:r w:rsidR="00FB59AD">
        <w:rPr>
          <w:rFonts w:ascii="Times New Roman" w:hAnsi="Times New Roman"/>
        </w:rPr>
        <w:t xml:space="preserve">a </w:t>
      </w:r>
      <w:r w:rsidR="00B460B0" w:rsidRPr="00FB59AD">
        <w:rPr>
          <w:rFonts w:ascii="Times New Roman" w:hAnsi="Times New Roman"/>
        </w:rPr>
        <w:t xml:space="preserve">pre-existing standard telephone service </w:t>
      </w:r>
      <w:r w:rsidRPr="00FB59AD">
        <w:rPr>
          <w:rFonts w:ascii="Times New Roman" w:hAnsi="Times New Roman"/>
        </w:rPr>
        <w:t xml:space="preserve">that </w:t>
      </w:r>
      <w:r w:rsidR="00D8070D" w:rsidRPr="00FB59AD">
        <w:rPr>
          <w:rFonts w:ascii="Times New Roman" w:hAnsi="Times New Roman"/>
        </w:rPr>
        <w:t xml:space="preserve">is </w:t>
      </w:r>
      <w:r w:rsidR="00B460B0" w:rsidRPr="00FB59AD">
        <w:rPr>
          <w:rFonts w:ascii="Times New Roman" w:hAnsi="Times New Roman"/>
        </w:rPr>
        <w:t xml:space="preserve">supplied by a different carriage service provider. However, </w:t>
      </w:r>
      <w:r w:rsidR="00FB59AD">
        <w:rPr>
          <w:rFonts w:ascii="Times New Roman" w:hAnsi="Times New Roman"/>
        </w:rPr>
        <w:t>the primary universal service provider</w:t>
      </w:r>
      <w:r w:rsidR="00FB59AD" w:rsidRPr="00FB59AD">
        <w:rPr>
          <w:rFonts w:ascii="Times New Roman" w:hAnsi="Times New Roman"/>
        </w:rPr>
        <w:t xml:space="preserve"> </w:t>
      </w:r>
      <w:r w:rsidR="00FB59AD">
        <w:rPr>
          <w:rFonts w:ascii="Times New Roman" w:hAnsi="Times New Roman"/>
        </w:rPr>
        <w:t xml:space="preserve">cannot rely on this exemption </w:t>
      </w:r>
      <w:r w:rsidR="00FB59AD" w:rsidRPr="00FB59AD">
        <w:rPr>
          <w:rFonts w:ascii="Times New Roman" w:hAnsi="Times New Roman"/>
        </w:rPr>
        <w:t xml:space="preserve">where </w:t>
      </w:r>
      <w:r w:rsidR="0079200C">
        <w:rPr>
          <w:rFonts w:ascii="Times New Roman" w:hAnsi="Times New Roman"/>
        </w:rPr>
        <w:t xml:space="preserve">there </w:t>
      </w:r>
      <w:r w:rsidR="006A4288" w:rsidRPr="00FB59AD">
        <w:rPr>
          <w:rFonts w:ascii="Times New Roman" w:hAnsi="Times New Roman"/>
        </w:rPr>
        <w:t xml:space="preserve">a person </w:t>
      </w:r>
      <w:r w:rsidR="00FB59AD" w:rsidRPr="00FB59AD">
        <w:rPr>
          <w:rFonts w:ascii="Times New Roman" w:hAnsi="Times New Roman"/>
        </w:rPr>
        <w:t>at the premises is requesting Priority Assistance and the existing provider does not offer Priority Assistance</w:t>
      </w:r>
      <w:r w:rsidR="00FB59AD">
        <w:rPr>
          <w:rFonts w:ascii="Times New Roman" w:hAnsi="Times New Roman"/>
        </w:rPr>
        <w:t>.</w:t>
      </w:r>
      <w:r w:rsidR="00FB59AD" w:rsidRPr="00FB59AD">
        <w:rPr>
          <w:rFonts w:ascii="Times New Roman" w:hAnsi="Times New Roman"/>
        </w:rPr>
        <w:t xml:space="preserve"> Telstr</w:t>
      </w:r>
      <w:r w:rsidR="00FB59AD">
        <w:rPr>
          <w:rFonts w:ascii="Times New Roman" w:hAnsi="Times New Roman"/>
        </w:rPr>
        <w:t>a is the</w:t>
      </w:r>
      <w:r w:rsidR="00FB59AD" w:rsidRPr="00FB59AD">
        <w:rPr>
          <w:rFonts w:ascii="Times New Roman" w:hAnsi="Times New Roman"/>
        </w:rPr>
        <w:t xml:space="preserve"> current primary universal service provider</w:t>
      </w:r>
      <w:r w:rsidR="00FB59AD">
        <w:rPr>
          <w:rFonts w:ascii="Times New Roman" w:hAnsi="Times New Roman"/>
        </w:rPr>
        <w:t xml:space="preserve">, is subject to separate carrier licence conditions that requires it to offer arrangements which are designed to maximise expedited connection and repair of voice services to people with serious medical conditions. </w:t>
      </w:r>
      <w:r w:rsidR="0079200C">
        <w:rPr>
          <w:rFonts w:ascii="Times New Roman" w:hAnsi="Times New Roman"/>
        </w:rPr>
        <w:t xml:space="preserve">However, subsection 7(6) </w:t>
      </w:r>
      <w:r w:rsidR="009012FE">
        <w:rPr>
          <w:rFonts w:ascii="Times New Roman" w:hAnsi="Times New Roman"/>
        </w:rPr>
        <w:t xml:space="preserve">also </w:t>
      </w:r>
      <w:r w:rsidR="0079200C">
        <w:rPr>
          <w:rFonts w:ascii="Times New Roman" w:hAnsi="Times New Roman"/>
        </w:rPr>
        <w:t xml:space="preserve">provides that </w:t>
      </w:r>
      <w:r w:rsidR="00682A96">
        <w:rPr>
          <w:rFonts w:ascii="Times New Roman" w:hAnsi="Times New Roman"/>
        </w:rPr>
        <w:t xml:space="preserve">subparagraph </w:t>
      </w:r>
      <w:r w:rsidR="0079200C" w:rsidRPr="00FB59AD">
        <w:rPr>
          <w:rFonts w:ascii="Times New Roman" w:hAnsi="Times New Roman"/>
        </w:rPr>
        <w:t>7(4)(m)</w:t>
      </w:r>
      <w:r w:rsidR="0079200C">
        <w:rPr>
          <w:rFonts w:ascii="Times New Roman" w:hAnsi="Times New Roman"/>
        </w:rPr>
        <w:t xml:space="preserve">(i) does not </w:t>
      </w:r>
      <w:r w:rsidR="00FB59AD" w:rsidRPr="0079200C">
        <w:rPr>
          <w:rFonts w:ascii="Times New Roman" w:hAnsi="Times New Roman"/>
        </w:rPr>
        <w:t>apply where the existing standard telephone service is a public mobile telephone service or a mobile satellite service</w:t>
      </w:r>
      <w:r w:rsidR="00B460B0" w:rsidRPr="00FB59AD">
        <w:rPr>
          <w:rFonts w:ascii="Times New Roman" w:hAnsi="Times New Roman"/>
        </w:rPr>
        <w:t xml:space="preserve">. </w:t>
      </w:r>
      <w:r w:rsidR="00AA6172">
        <w:rPr>
          <w:rFonts w:ascii="Times New Roman" w:hAnsi="Times New Roman"/>
        </w:rPr>
        <w:t xml:space="preserve">This reflects that these technologies may be used to provide an </w:t>
      </w:r>
      <w:r w:rsidR="00AA6172" w:rsidRPr="00AA6172">
        <w:rPr>
          <w:rFonts w:ascii="Times New Roman" w:hAnsi="Times New Roman"/>
        </w:rPr>
        <w:t xml:space="preserve">interim priority </w:t>
      </w:r>
      <w:r w:rsidR="00AA6172">
        <w:rPr>
          <w:rFonts w:ascii="Times New Roman" w:hAnsi="Times New Roman"/>
        </w:rPr>
        <w:t xml:space="preserve">assistance </w:t>
      </w:r>
      <w:r w:rsidR="00AA6172" w:rsidRPr="00AA6172">
        <w:rPr>
          <w:rFonts w:ascii="Times New Roman" w:hAnsi="Times New Roman"/>
        </w:rPr>
        <w:t>service</w:t>
      </w:r>
      <w:r w:rsidR="00AA6172">
        <w:rPr>
          <w:rFonts w:ascii="Times New Roman" w:hAnsi="Times New Roman"/>
        </w:rPr>
        <w:t xml:space="preserve">, but are not </w:t>
      </w:r>
      <w:r w:rsidR="00827C0F">
        <w:rPr>
          <w:rFonts w:ascii="Times New Roman" w:hAnsi="Times New Roman"/>
        </w:rPr>
        <w:t>typically used to provide a ongoing priority assistance service.</w:t>
      </w:r>
    </w:p>
    <w:p w14:paraId="0BD99EE7" w14:textId="77777777" w:rsidR="00AA6172" w:rsidRDefault="00AA6172" w:rsidP="009012FE">
      <w:pPr>
        <w:spacing w:after="0"/>
        <w:ind w:left="567"/>
        <w:rPr>
          <w:rFonts w:ascii="Times New Roman" w:hAnsi="Times New Roman"/>
        </w:rPr>
      </w:pPr>
    </w:p>
    <w:p w14:paraId="5D2C8222" w14:textId="2BCDA903" w:rsidR="0079200C" w:rsidRPr="00CF5FE7" w:rsidRDefault="0079200C" w:rsidP="009012FE">
      <w:pPr>
        <w:spacing w:after="0"/>
        <w:ind w:left="567"/>
        <w:rPr>
          <w:rFonts w:ascii="Times New Roman" w:hAnsi="Times New Roman"/>
        </w:rPr>
      </w:pPr>
      <w:r w:rsidRPr="00FB59AD">
        <w:rPr>
          <w:rFonts w:ascii="Times New Roman" w:hAnsi="Times New Roman"/>
        </w:rPr>
        <w:t>Subparagraph 7(4)(m)</w:t>
      </w:r>
      <w:r>
        <w:rPr>
          <w:rFonts w:ascii="Times New Roman" w:hAnsi="Times New Roman"/>
        </w:rPr>
        <w:t>(i</w:t>
      </w:r>
      <w:r w:rsidR="009012FE">
        <w:rPr>
          <w:rFonts w:ascii="Times New Roman" w:hAnsi="Times New Roman"/>
        </w:rPr>
        <w:t>i</w:t>
      </w:r>
      <w:r>
        <w:rPr>
          <w:rFonts w:ascii="Times New Roman" w:hAnsi="Times New Roman"/>
        </w:rPr>
        <w:t>)</w:t>
      </w:r>
      <w:r w:rsidRPr="00FB59AD">
        <w:rPr>
          <w:rFonts w:ascii="Times New Roman" w:hAnsi="Times New Roman"/>
        </w:rPr>
        <w:t xml:space="preserve"> provides that the primary universal service provider is not required to supply a standard telephone service</w:t>
      </w:r>
      <w:r w:rsidR="009012FE">
        <w:rPr>
          <w:rFonts w:ascii="Times New Roman" w:hAnsi="Times New Roman"/>
        </w:rPr>
        <w:t xml:space="preserve"> where it is already providing a standard telephone service in fulfilment of the USO</w:t>
      </w:r>
      <w:r>
        <w:rPr>
          <w:rFonts w:ascii="Times New Roman" w:hAnsi="Times New Roman"/>
        </w:rPr>
        <w:t xml:space="preserve">. </w:t>
      </w:r>
      <w:r w:rsidR="009012FE">
        <w:rPr>
          <w:rFonts w:ascii="Times New Roman" w:hAnsi="Times New Roman"/>
        </w:rPr>
        <w:t xml:space="preserve">This is subject to </w:t>
      </w:r>
      <w:r>
        <w:rPr>
          <w:rFonts w:ascii="Times New Roman" w:hAnsi="Times New Roman"/>
        </w:rPr>
        <w:t>subsection 7(</w:t>
      </w:r>
      <w:r w:rsidR="009012FE">
        <w:rPr>
          <w:rFonts w:ascii="Times New Roman" w:hAnsi="Times New Roman"/>
        </w:rPr>
        <w:t>7</w:t>
      </w:r>
      <w:r>
        <w:rPr>
          <w:rFonts w:ascii="Times New Roman" w:hAnsi="Times New Roman"/>
        </w:rPr>
        <w:t xml:space="preserve">) </w:t>
      </w:r>
      <w:r w:rsidR="009012FE">
        <w:rPr>
          <w:rFonts w:ascii="Times New Roman" w:hAnsi="Times New Roman"/>
        </w:rPr>
        <w:t xml:space="preserve">that </w:t>
      </w:r>
      <w:r>
        <w:rPr>
          <w:rFonts w:ascii="Times New Roman" w:hAnsi="Times New Roman"/>
        </w:rPr>
        <w:t xml:space="preserve">provides that </w:t>
      </w:r>
      <w:r w:rsidR="00682A96">
        <w:rPr>
          <w:rFonts w:ascii="Times New Roman" w:hAnsi="Times New Roman"/>
        </w:rPr>
        <w:t xml:space="preserve">subparagraph </w:t>
      </w:r>
      <w:r w:rsidRPr="00FB59AD">
        <w:rPr>
          <w:rFonts w:ascii="Times New Roman" w:hAnsi="Times New Roman"/>
        </w:rPr>
        <w:t>7(4)(m)</w:t>
      </w:r>
      <w:r>
        <w:rPr>
          <w:rFonts w:ascii="Times New Roman" w:hAnsi="Times New Roman"/>
        </w:rPr>
        <w:t>(i</w:t>
      </w:r>
      <w:r w:rsidR="009012FE">
        <w:rPr>
          <w:rFonts w:ascii="Times New Roman" w:hAnsi="Times New Roman"/>
        </w:rPr>
        <w:t>i</w:t>
      </w:r>
      <w:r>
        <w:rPr>
          <w:rFonts w:ascii="Times New Roman" w:hAnsi="Times New Roman"/>
        </w:rPr>
        <w:t xml:space="preserve">) does not </w:t>
      </w:r>
      <w:r w:rsidRPr="0079200C">
        <w:rPr>
          <w:rFonts w:ascii="Times New Roman" w:hAnsi="Times New Roman"/>
        </w:rPr>
        <w:t>apply where</w:t>
      </w:r>
      <w:r w:rsidR="009012FE">
        <w:rPr>
          <w:rFonts w:ascii="Times New Roman" w:hAnsi="Times New Roman"/>
        </w:rPr>
        <w:t xml:space="preserve"> the request would </w:t>
      </w:r>
      <w:r w:rsidR="009012FE" w:rsidRPr="009012FE">
        <w:rPr>
          <w:rFonts w:ascii="Times New Roman" w:hAnsi="Times New Roman"/>
        </w:rPr>
        <w:t>require the supply of equipment, or other goods or services, under subsection 9E(1) of the Act in order to comply with the </w:t>
      </w:r>
      <w:r w:rsidR="009012FE" w:rsidRPr="009012FE">
        <w:rPr>
          <w:rFonts w:ascii="Times New Roman" w:hAnsi="Times New Roman"/>
          <w:i/>
        </w:rPr>
        <w:t>Disability Discrimination Act 1992</w:t>
      </w:r>
      <w:r w:rsidR="009012FE" w:rsidRPr="009012FE">
        <w:rPr>
          <w:rFonts w:ascii="Times New Roman" w:hAnsi="Times New Roman"/>
        </w:rPr>
        <w:t xml:space="preserve"> and </w:t>
      </w:r>
      <w:r w:rsidR="009012FE">
        <w:rPr>
          <w:rFonts w:ascii="Times New Roman" w:hAnsi="Times New Roman"/>
        </w:rPr>
        <w:t xml:space="preserve">the </w:t>
      </w:r>
      <w:r w:rsidR="009012FE" w:rsidRPr="009012FE">
        <w:rPr>
          <w:rFonts w:ascii="Times New Roman" w:hAnsi="Times New Roman"/>
        </w:rPr>
        <w:t xml:space="preserve">existing </w:t>
      </w:r>
      <w:r w:rsidR="009012FE" w:rsidRPr="009012FE">
        <w:rPr>
          <w:rFonts w:ascii="Times New Roman" w:hAnsi="Times New Roman"/>
        </w:rPr>
        <w:lastRenderedPageBreak/>
        <w:t>standard telephone service does not require the supply of such equipment, or such goods or services.</w:t>
      </w:r>
      <w:r w:rsidRPr="00FB59AD">
        <w:rPr>
          <w:rFonts w:ascii="Times New Roman" w:hAnsi="Times New Roman"/>
        </w:rPr>
        <w:t xml:space="preserve"> </w:t>
      </w:r>
    </w:p>
    <w:p w14:paraId="6CAE25AD" w14:textId="77777777" w:rsidR="00641225" w:rsidRPr="00250AE0" w:rsidRDefault="00641225" w:rsidP="00641225">
      <w:pPr>
        <w:shd w:val="clear" w:color="auto" w:fill="FFFFFF"/>
        <w:spacing w:before="240" w:after="120" w:line="299" w:lineRule="atLeast"/>
        <w:ind w:left="426" w:hanging="360"/>
        <w:rPr>
          <w:rFonts w:ascii="Times" w:hAnsi="Times" w:cs="Times"/>
          <w:b/>
          <w:bCs/>
          <w:color w:val="000000"/>
          <w:sz w:val="26"/>
          <w:szCs w:val="26"/>
        </w:rPr>
      </w:pPr>
      <w:bookmarkStart w:id="4" w:name="OLE_LINK8"/>
      <w:bookmarkStart w:id="5" w:name="_Hlk118470821"/>
      <w:bookmarkEnd w:id="4"/>
      <w:r w:rsidRPr="00250AE0">
        <w:rPr>
          <w:rFonts w:ascii="Times New Roman" w:hAnsi="Times New Roman"/>
          <w:b/>
          <w:bCs/>
          <w:color w:val="000000"/>
        </w:rPr>
        <w:t>8</w:t>
      </w:r>
      <w:r w:rsidRPr="00250AE0">
        <w:rPr>
          <w:rFonts w:ascii="Times New Roman" w:hAnsi="Times New Roman"/>
          <w:b/>
          <w:bCs/>
          <w:color w:val="000000"/>
          <w:sz w:val="14"/>
          <w:szCs w:val="14"/>
        </w:rPr>
        <w:t>        </w:t>
      </w:r>
      <w:r w:rsidRPr="00250AE0">
        <w:rPr>
          <w:rFonts w:ascii="Times New Roman" w:hAnsi="Times New Roman"/>
          <w:b/>
          <w:bCs/>
          <w:color w:val="000000"/>
        </w:rPr>
        <w:t>Notification requirements</w:t>
      </w:r>
    </w:p>
    <w:p w14:paraId="3BD18852" w14:textId="4770B66B" w:rsidR="00AA3CBE" w:rsidRDefault="00F23C30" w:rsidP="001247EA">
      <w:pPr>
        <w:spacing w:after="0"/>
        <w:ind w:left="567"/>
        <w:rPr>
          <w:rFonts w:ascii="Times New Roman" w:hAnsi="Times New Roman"/>
        </w:rPr>
      </w:pPr>
      <w:r>
        <w:rPr>
          <w:rFonts w:ascii="Times New Roman" w:hAnsi="Times New Roman"/>
        </w:rPr>
        <w:t xml:space="preserve">To rely on </w:t>
      </w:r>
      <w:r w:rsidR="00AA6172">
        <w:rPr>
          <w:rFonts w:ascii="Times New Roman" w:hAnsi="Times New Roman"/>
        </w:rPr>
        <w:t>one or more circumstances</w:t>
      </w:r>
      <w:r>
        <w:rPr>
          <w:rFonts w:ascii="Times New Roman" w:hAnsi="Times New Roman"/>
        </w:rPr>
        <w:t xml:space="preserve"> set out in </w:t>
      </w:r>
      <w:r w:rsidR="001247EA">
        <w:rPr>
          <w:rFonts w:ascii="Times New Roman" w:hAnsi="Times New Roman"/>
        </w:rPr>
        <w:t>subparagraph</w:t>
      </w:r>
      <w:r>
        <w:rPr>
          <w:rFonts w:ascii="Times New Roman" w:hAnsi="Times New Roman"/>
        </w:rPr>
        <w:t xml:space="preserve"> 7(1)(a) or </w:t>
      </w:r>
      <w:r w:rsidR="001247EA">
        <w:rPr>
          <w:rFonts w:ascii="Times New Roman" w:hAnsi="Times New Roman"/>
        </w:rPr>
        <w:t>sub</w:t>
      </w:r>
      <w:r>
        <w:rPr>
          <w:rFonts w:ascii="Times New Roman" w:hAnsi="Times New Roman"/>
        </w:rPr>
        <w:t xml:space="preserve">section 7(4), the </w:t>
      </w:r>
      <w:r w:rsidR="00820DCE">
        <w:rPr>
          <w:rFonts w:ascii="Times New Roman" w:hAnsi="Times New Roman"/>
        </w:rPr>
        <w:t xml:space="preserve">primary universal service provider </w:t>
      </w:r>
      <w:r>
        <w:rPr>
          <w:rFonts w:ascii="Times New Roman" w:hAnsi="Times New Roman"/>
        </w:rPr>
        <w:t xml:space="preserve">must </w:t>
      </w:r>
      <w:r w:rsidR="005C7C61">
        <w:rPr>
          <w:rFonts w:ascii="Times New Roman" w:hAnsi="Times New Roman"/>
        </w:rPr>
        <w:t xml:space="preserve">provide </w:t>
      </w:r>
      <w:r w:rsidR="008A47C1">
        <w:rPr>
          <w:rFonts w:ascii="Times New Roman" w:hAnsi="Times New Roman"/>
        </w:rPr>
        <w:t xml:space="preserve">relevant </w:t>
      </w:r>
      <w:r w:rsidR="005C7C61">
        <w:rPr>
          <w:rFonts w:ascii="Times New Roman" w:hAnsi="Times New Roman"/>
        </w:rPr>
        <w:t xml:space="preserve">notifications to </w:t>
      </w:r>
      <w:r w:rsidR="001247EA">
        <w:rPr>
          <w:rFonts w:ascii="Times New Roman" w:hAnsi="Times New Roman"/>
        </w:rPr>
        <w:t>the person making the request</w:t>
      </w:r>
      <w:r w:rsidR="002F7F80">
        <w:rPr>
          <w:rFonts w:ascii="Times New Roman" w:hAnsi="Times New Roman"/>
        </w:rPr>
        <w:t xml:space="preserve"> within 10 working days</w:t>
      </w:r>
      <w:r w:rsidR="00396CB3">
        <w:rPr>
          <w:rFonts w:ascii="Times New Roman" w:hAnsi="Times New Roman"/>
        </w:rPr>
        <w:t xml:space="preserve">. </w:t>
      </w:r>
      <w:r w:rsidR="00827C0F">
        <w:rPr>
          <w:rFonts w:ascii="Times New Roman" w:hAnsi="Times New Roman"/>
        </w:rPr>
        <w:t>As discussed further below, t</w:t>
      </w:r>
      <w:r w:rsidR="00AA3CBE">
        <w:rPr>
          <w:rFonts w:ascii="Times New Roman" w:hAnsi="Times New Roman"/>
        </w:rPr>
        <w:t xml:space="preserve">hese notifications </w:t>
      </w:r>
      <w:r w:rsidR="00AA6172">
        <w:rPr>
          <w:rFonts w:ascii="Times New Roman" w:hAnsi="Times New Roman"/>
        </w:rPr>
        <w:t xml:space="preserve">vary in some instances, but also </w:t>
      </w:r>
      <w:r w:rsidR="00AA3CBE">
        <w:rPr>
          <w:rFonts w:ascii="Times New Roman" w:hAnsi="Times New Roman"/>
        </w:rPr>
        <w:t xml:space="preserve">have some common requirements, including setting out a process whereby </w:t>
      </w:r>
      <w:r w:rsidR="00AA3CBE" w:rsidRPr="002F7F80">
        <w:rPr>
          <w:rFonts w:ascii="Times New Roman" w:hAnsi="Times New Roman"/>
        </w:rPr>
        <w:t xml:space="preserve">the primary universal service </w:t>
      </w:r>
      <w:r w:rsidR="00AA3CBE">
        <w:rPr>
          <w:rFonts w:ascii="Times New Roman" w:hAnsi="Times New Roman"/>
        </w:rPr>
        <w:t xml:space="preserve">can be asked to </w:t>
      </w:r>
      <w:r w:rsidR="00AA3CBE" w:rsidRPr="002F7F80">
        <w:rPr>
          <w:rFonts w:ascii="Times New Roman" w:hAnsi="Times New Roman"/>
        </w:rPr>
        <w:t>reconsider its decision not to supply a service. Such notification</w:t>
      </w:r>
      <w:r w:rsidR="00AA3CBE">
        <w:rPr>
          <w:rFonts w:ascii="Times New Roman" w:hAnsi="Times New Roman"/>
        </w:rPr>
        <w:t>s</w:t>
      </w:r>
      <w:r w:rsidR="00AA3CBE" w:rsidRPr="002F7F80">
        <w:rPr>
          <w:rFonts w:ascii="Times New Roman" w:hAnsi="Times New Roman"/>
        </w:rPr>
        <w:t xml:space="preserve"> </w:t>
      </w:r>
      <w:r w:rsidR="00AA6172">
        <w:rPr>
          <w:rFonts w:ascii="Times New Roman" w:hAnsi="Times New Roman"/>
        </w:rPr>
        <w:t xml:space="preserve">must </w:t>
      </w:r>
      <w:r w:rsidR="00AA3CBE" w:rsidRPr="002F7F80">
        <w:rPr>
          <w:rFonts w:ascii="Times New Roman" w:hAnsi="Times New Roman"/>
        </w:rPr>
        <w:t>also explain that a complaint can be made to the Telecommunications Industry Ombudsman</w:t>
      </w:r>
      <w:r w:rsidR="00AA3CBE">
        <w:rPr>
          <w:rFonts w:ascii="Times New Roman" w:hAnsi="Times New Roman"/>
        </w:rPr>
        <w:t xml:space="preserve"> (TIO)</w:t>
      </w:r>
      <w:r w:rsidR="00AA3CBE" w:rsidRPr="002F7F80">
        <w:rPr>
          <w:rFonts w:ascii="Times New Roman" w:hAnsi="Times New Roman"/>
        </w:rPr>
        <w:t>, following such a request for reconsideration</w:t>
      </w:r>
      <w:r w:rsidR="00AA3CBE">
        <w:rPr>
          <w:rFonts w:ascii="Times New Roman" w:hAnsi="Times New Roman"/>
        </w:rPr>
        <w:t xml:space="preserve"> by the primary universal service provider. However, notes are included throughout section 8 to draw readers attention to the fact that the TIO will only be in a position to </w:t>
      </w:r>
      <w:r w:rsidR="00AA3CBE" w:rsidRPr="00AA3CBE">
        <w:rPr>
          <w:rFonts w:ascii="Times New Roman" w:hAnsi="Times New Roman"/>
        </w:rPr>
        <w:t xml:space="preserve">investigate, or facilitate the resolution of a complaint, if the TIO </w:t>
      </w:r>
      <w:r w:rsidR="00AA3CBE">
        <w:rPr>
          <w:rFonts w:ascii="Times New Roman" w:hAnsi="Times New Roman"/>
        </w:rPr>
        <w:t xml:space="preserve">has the </w:t>
      </w:r>
      <w:r w:rsidR="00AA3CBE" w:rsidRPr="00AA3CBE">
        <w:rPr>
          <w:rFonts w:ascii="Times New Roman" w:hAnsi="Times New Roman"/>
        </w:rPr>
        <w:t>jurisdiction</w:t>
      </w:r>
      <w:r w:rsidR="00AA3CBE">
        <w:rPr>
          <w:rFonts w:ascii="Times New Roman" w:hAnsi="Times New Roman"/>
        </w:rPr>
        <w:t xml:space="preserve"> to do so</w:t>
      </w:r>
      <w:r w:rsidR="00AA3CBE" w:rsidRPr="00AA3CBE">
        <w:rPr>
          <w:rFonts w:ascii="Times New Roman" w:hAnsi="Times New Roman"/>
        </w:rPr>
        <w:t>.</w:t>
      </w:r>
    </w:p>
    <w:bookmarkEnd w:id="5"/>
    <w:p w14:paraId="6E8A18FA" w14:textId="77777777" w:rsidR="00C37177" w:rsidRDefault="00C37177" w:rsidP="00C37177">
      <w:pPr>
        <w:spacing w:after="0"/>
        <w:ind w:left="567"/>
        <w:rPr>
          <w:color w:val="000000"/>
          <w:szCs w:val="22"/>
        </w:rPr>
      </w:pPr>
    </w:p>
    <w:p w14:paraId="6775E837" w14:textId="03CF699A" w:rsidR="001247EA" w:rsidRDefault="001247EA" w:rsidP="00C37177">
      <w:pPr>
        <w:spacing w:after="0"/>
        <w:ind w:left="567"/>
        <w:rPr>
          <w:rFonts w:ascii="Times New Roman" w:hAnsi="Times New Roman"/>
          <w:i/>
        </w:rPr>
      </w:pPr>
      <w:r>
        <w:rPr>
          <w:rFonts w:ascii="Times New Roman" w:hAnsi="Times New Roman"/>
          <w:i/>
        </w:rPr>
        <w:t>Notifications involving c</w:t>
      </w:r>
      <w:r w:rsidRPr="001247EA">
        <w:rPr>
          <w:rFonts w:ascii="Times New Roman" w:hAnsi="Times New Roman"/>
          <w:i/>
        </w:rPr>
        <w:t>ircumstances at subp</w:t>
      </w:r>
      <w:r>
        <w:rPr>
          <w:rFonts w:ascii="Times New Roman" w:hAnsi="Times New Roman"/>
          <w:i/>
        </w:rPr>
        <w:t>aragraphs</w:t>
      </w:r>
      <w:r w:rsidRPr="001247EA">
        <w:rPr>
          <w:rFonts w:ascii="Times New Roman" w:hAnsi="Times New Roman"/>
          <w:i/>
        </w:rPr>
        <w:t xml:space="preserve"> 7(1)(a)</w:t>
      </w:r>
    </w:p>
    <w:p w14:paraId="58853357" w14:textId="77777777" w:rsidR="001247EA" w:rsidRPr="001247EA" w:rsidRDefault="001247EA" w:rsidP="00C37177">
      <w:pPr>
        <w:spacing w:after="0"/>
        <w:ind w:left="567"/>
        <w:rPr>
          <w:rFonts w:ascii="Times New Roman" w:hAnsi="Times New Roman"/>
          <w:i/>
        </w:rPr>
      </w:pPr>
    </w:p>
    <w:p w14:paraId="0773D697" w14:textId="31AAAA3A" w:rsidR="00C37177" w:rsidRDefault="00C37177" w:rsidP="009A367A">
      <w:pPr>
        <w:spacing w:after="0"/>
        <w:ind w:left="567" w:right="-428"/>
        <w:rPr>
          <w:rFonts w:ascii="Times New Roman" w:hAnsi="Times New Roman"/>
        </w:rPr>
      </w:pPr>
      <w:r w:rsidRPr="00792AD5">
        <w:rPr>
          <w:rFonts w:ascii="Times New Roman" w:hAnsi="Times New Roman"/>
        </w:rPr>
        <w:t xml:space="preserve">Subsection 8(3) deals with the </w:t>
      </w:r>
      <w:r w:rsidR="00792AD5">
        <w:rPr>
          <w:rFonts w:ascii="Times New Roman" w:hAnsi="Times New Roman"/>
        </w:rPr>
        <w:t xml:space="preserve">detail of </w:t>
      </w:r>
      <w:r w:rsidRPr="00792AD5">
        <w:rPr>
          <w:rFonts w:ascii="Times New Roman" w:hAnsi="Times New Roman"/>
        </w:rPr>
        <w:t>notifications where a primary universal service provider considers one or more circumstances at 7(1)(a) apply</w:t>
      </w:r>
      <w:r w:rsidR="001247EA">
        <w:rPr>
          <w:rFonts w:ascii="Times New Roman" w:hAnsi="Times New Roman"/>
        </w:rPr>
        <w:t xml:space="preserve">, </w:t>
      </w:r>
      <w:r w:rsidR="00AA3CBE">
        <w:rPr>
          <w:rFonts w:ascii="Times New Roman" w:hAnsi="Times New Roman"/>
        </w:rPr>
        <w:t xml:space="preserve">with the </w:t>
      </w:r>
      <w:r w:rsidR="001247EA">
        <w:rPr>
          <w:rFonts w:ascii="Times New Roman" w:hAnsi="Times New Roman"/>
        </w:rPr>
        <w:t>except</w:t>
      </w:r>
      <w:r w:rsidR="00AA3CBE">
        <w:rPr>
          <w:rFonts w:ascii="Times New Roman" w:hAnsi="Times New Roman"/>
        </w:rPr>
        <w:t xml:space="preserve">ion of </w:t>
      </w:r>
      <w:r w:rsidR="00792AD5">
        <w:rPr>
          <w:rFonts w:ascii="Times New Roman" w:hAnsi="Times New Roman"/>
        </w:rPr>
        <w:t xml:space="preserve">subparagraphs </w:t>
      </w:r>
      <w:r w:rsidR="00792AD5" w:rsidRPr="00792AD5">
        <w:rPr>
          <w:rFonts w:ascii="Times New Roman" w:hAnsi="Times New Roman"/>
        </w:rPr>
        <w:t>7(1)(a)(iv) and (v)</w:t>
      </w:r>
      <w:r w:rsidR="001247EA">
        <w:rPr>
          <w:rFonts w:ascii="Times New Roman" w:hAnsi="Times New Roman"/>
        </w:rPr>
        <w:t>,</w:t>
      </w:r>
      <w:r w:rsidR="00792AD5">
        <w:rPr>
          <w:rFonts w:ascii="Times New Roman" w:hAnsi="Times New Roman"/>
        </w:rPr>
        <w:t xml:space="preserve"> which deal with credit worthiness of customers and fraud respectively. </w:t>
      </w:r>
      <w:r w:rsidR="001247EA">
        <w:rPr>
          <w:rFonts w:ascii="Times New Roman" w:hAnsi="Times New Roman"/>
        </w:rPr>
        <w:t xml:space="preserve">These have </w:t>
      </w:r>
      <w:r w:rsidR="00AA3CBE">
        <w:rPr>
          <w:rFonts w:ascii="Times New Roman" w:hAnsi="Times New Roman"/>
        </w:rPr>
        <w:t xml:space="preserve">different </w:t>
      </w:r>
      <w:r w:rsidR="001247EA">
        <w:rPr>
          <w:rFonts w:ascii="Times New Roman" w:hAnsi="Times New Roman"/>
        </w:rPr>
        <w:t xml:space="preserve">notification requirements </w:t>
      </w:r>
      <w:r w:rsidR="00AA3CBE">
        <w:rPr>
          <w:rFonts w:ascii="Times New Roman" w:hAnsi="Times New Roman"/>
        </w:rPr>
        <w:t xml:space="preserve">as </w:t>
      </w:r>
      <w:r w:rsidR="001247EA">
        <w:rPr>
          <w:rFonts w:ascii="Times New Roman" w:hAnsi="Times New Roman"/>
        </w:rPr>
        <w:t>discussed further below.</w:t>
      </w:r>
    </w:p>
    <w:p w14:paraId="15A21E5F" w14:textId="77777777" w:rsidR="00C37177" w:rsidRDefault="00C37177">
      <w:pPr>
        <w:spacing w:after="0"/>
        <w:ind w:left="567"/>
        <w:rPr>
          <w:rFonts w:ascii="Times New Roman" w:hAnsi="Times New Roman"/>
        </w:rPr>
      </w:pPr>
    </w:p>
    <w:p w14:paraId="1BF9844B" w14:textId="494005DB" w:rsidR="00792AD5" w:rsidRDefault="00792AD5" w:rsidP="002F7F80">
      <w:pPr>
        <w:spacing w:after="0"/>
        <w:ind w:left="567"/>
        <w:rPr>
          <w:rFonts w:ascii="Times New Roman" w:hAnsi="Times New Roman"/>
        </w:rPr>
      </w:pPr>
      <w:r w:rsidRPr="002F7F80">
        <w:rPr>
          <w:rFonts w:ascii="Times New Roman" w:hAnsi="Times New Roman"/>
        </w:rPr>
        <w:t xml:space="preserve">Under subsection 8(3), </w:t>
      </w:r>
      <w:r w:rsidR="002F7F80" w:rsidRPr="002F7F80">
        <w:rPr>
          <w:rFonts w:ascii="Times New Roman" w:hAnsi="Times New Roman"/>
        </w:rPr>
        <w:t xml:space="preserve">the primary universal provider must </w:t>
      </w:r>
      <w:r w:rsidR="002F7F80">
        <w:rPr>
          <w:rFonts w:ascii="Times New Roman" w:hAnsi="Times New Roman"/>
        </w:rPr>
        <w:t>provide a notification setting out the</w:t>
      </w:r>
      <w:r w:rsidR="002F7F80" w:rsidRPr="002F7F80">
        <w:rPr>
          <w:rFonts w:ascii="Times New Roman" w:hAnsi="Times New Roman"/>
        </w:rPr>
        <w:t xml:space="preserve"> circumstances it is relying on, the grounds by which it judges those circumstances apply and the </w:t>
      </w:r>
      <w:r w:rsidRPr="002F7F80">
        <w:rPr>
          <w:rFonts w:ascii="Times New Roman" w:hAnsi="Times New Roman"/>
        </w:rPr>
        <w:t xml:space="preserve">entitlement of the person making the request to </w:t>
      </w:r>
      <w:r w:rsidR="002F7F80" w:rsidRPr="002F7F80">
        <w:rPr>
          <w:rFonts w:ascii="Times New Roman" w:hAnsi="Times New Roman"/>
        </w:rPr>
        <w:t xml:space="preserve">request that the primary universal service provider reconsider its decision not to supply a service. Such a notification must also explain that a complaint can be made to the </w:t>
      </w:r>
      <w:r w:rsidRPr="002F7F80">
        <w:rPr>
          <w:rFonts w:ascii="Times New Roman" w:hAnsi="Times New Roman"/>
        </w:rPr>
        <w:t>Telecommunications Industry Ombudsman</w:t>
      </w:r>
      <w:r w:rsidR="001247EA">
        <w:rPr>
          <w:rFonts w:ascii="Times New Roman" w:hAnsi="Times New Roman"/>
        </w:rPr>
        <w:t xml:space="preserve"> (TIO)</w:t>
      </w:r>
      <w:r w:rsidRPr="002F7F80">
        <w:rPr>
          <w:rFonts w:ascii="Times New Roman" w:hAnsi="Times New Roman"/>
        </w:rPr>
        <w:t>, following such a request for reconsideration</w:t>
      </w:r>
      <w:r w:rsidR="002F7F80">
        <w:rPr>
          <w:rFonts w:ascii="Times New Roman" w:hAnsi="Times New Roman"/>
        </w:rPr>
        <w:t xml:space="preserve"> by the primary universal </w:t>
      </w:r>
      <w:r w:rsidR="007B130E">
        <w:rPr>
          <w:rFonts w:ascii="Times New Roman" w:hAnsi="Times New Roman"/>
        </w:rPr>
        <w:t xml:space="preserve">service provider. </w:t>
      </w:r>
      <w:r w:rsidR="00AA3CBE">
        <w:rPr>
          <w:rFonts w:ascii="Times New Roman" w:hAnsi="Times New Roman"/>
        </w:rPr>
        <w:t>To facilitate these processes, c</w:t>
      </w:r>
      <w:r w:rsidRPr="002F7F80">
        <w:rPr>
          <w:rFonts w:ascii="Times New Roman" w:hAnsi="Times New Roman"/>
        </w:rPr>
        <w:t xml:space="preserve">ontact </w:t>
      </w:r>
      <w:r w:rsidR="007B130E">
        <w:rPr>
          <w:rFonts w:ascii="Times New Roman" w:hAnsi="Times New Roman"/>
        </w:rPr>
        <w:t xml:space="preserve">details must be provided for the </w:t>
      </w:r>
      <w:r w:rsidRPr="002F7F80">
        <w:rPr>
          <w:rFonts w:ascii="Times New Roman" w:hAnsi="Times New Roman"/>
        </w:rPr>
        <w:t xml:space="preserve">primary universal service provider and the </w:t>
      </w:r>
      <w:r w:rsidR="001247EA">
        <w:rPr>
          <w:rFonts w:ascii="Times New Roman" w:hAnsi="Times New Roman"/>
        </w:rPr>
        <w:t>TIO</w:t>
      </w:r>
      <w:r w:rsidRPr="002F7F80">
        <w:rPr>
          <w:rFonts w:ascii="Times New Roman" w:hAnsi="Times New Roman"/>
        </w:rPr>
        <w:t>.</w:t>
      </w:r>
    </w:p>
    <w:p w14:paraId="02E1A590" w14:textId="25992DC7" w:rsidR="001247EA" w:rsidRDefault="001247EA" w:rsidP="002F7F80">
      <w:pPr>
        <w:spacing w:after="0"/>
        <w:ind w:left="567"/>
        <w:rPr>
          <w:rFonts w:ascii="Times New Roman" w:hAnsi="Times New Roman"/>
        </w:rPr>
      </w:pPr>
    </w:p>
    <w:p w14:paraId="0809371E" w14:textId="5F540649" w:rsidR="001247EA" w:rsidRDefault="001247EA" w:rsidP="001247EA">
      <w:pPr>
        <w:spacing w:after="0"/>
        <w:ind w:left="567"/>
        <w:rPr>
          <w:rFonts w:ascii="Times New Roman" w:hAnsi="Times New Roman"/>
          <w:i/>
        </w:rPr>
      </w:pPr>
      <w:r>
        <w:rPr>
          <w:rFonts w:ascii="Times New Roman" w:hAnsi="Times New Roman"/>
          <w:i/>
        </w:rPr>
        <w:t>Notifications involving c</w:t>
      </w:r>
      <w:r w:rsidRPr="001247EA">
        <w:rPr>
          <w:rFonts w:ascii="Times New Roman" w:hAnsi="Times New Roman"/>
          <w:i/>
        </w:rPr>
        <w:t>ircumstances at subp</w:t>
      </w:r>
      <w:r>
        <w:rPr>
          <w:rFonts w:ascii="Times New Roman" w:hAnsi="Times New Roman"/>
          <w:i/>
        </w:rPr>
        <w:t>aragraph</w:t>
      </w:r>
      <w:r w:rsidRPr="001247EA">
        <w:rPr>
          <w:rFonts w:ascii="Times New Roman" w:hAnsi="Times New Roman"/>
          <w:i/>
        </w:rPr>
        <w:t xml:space="preserve"> 7(1)(a)</w:t>
      </w:r>
      <w:r>
        <w:rPr>
          <w:rFonts w:ascii="Times New Roman" w:hAnsi="Times New Roman"/>
          <w:i/>
        </w:rPr>
        <w:t>(iv)</w:t>
      </w:r>
    </w:p>
    <w:p w14:paraId="7F3DFC69" w14:textId="77777777" w:rsidR="001247EA" w:rsidRDefault="001247EA" w:rsidP="00AA3CBE">
      <w:pPr>
        <w:spacing w:after="0"/>
        <w:ind w:left="567"/>
        <w:rPr>
          <w:rFonts w:ascii="Times New Roman" w:hAnsi="Times New Roman"/>
        </w:rPr>
      </w:pPr>
    </w:p>
    <w:p w14:paraId="1D34E420" w14:textId="0890941E" w:rsidR="007B130E" w:rsidRPr="002F7F80" w:rsidRDefault="00AA3CBE" w:rsidP="00AA3CBE">
      <w:pPr>
        <w:spacing w:after="0"/>
        <w:ind w:left="567"/>
        <w:rPr>
          <w:rFonts w:ascii="Times New Roman" w:hAnsi="Times New Roman"/>
        </w:rPr>
      </w:pPr>
      <w:r>
        <w:rPr>
          <w:rFonts w:ascii="Times New Roman" w:hAnsi="Times New Roman"/>
        </w:rPr>
        <w:t>Notifications provided for under subs</w:t>
      </w:r>
      <w:r w:rsidR="007B130E">
        <w:rPr>
          <w:rFonts w:ascii="Times New Roman" w:hAnsi="Times New Roman"/>
        </w:rPr>
        <w:t xml:space="preserve">ections 8(4) and 8(5) are similar to </w:t>
      </w:r>
      <w:r>
        <w:rPr>
          <w:rFonts w:ascii="Times New Roman" w:hAnsi="Times New Roman"/>
        </w:rPr>
        <w:t xml:space="preserve">those required by subsection </w:t>
      </w:r>
      <w:r w:rsidR="007B130E">
        <w:rPr>
          <w:rFonts w:ascii="Times New Roman" w:hAnsi="Times New Roman"/>
        </w:rPr>
        <w:t xml:space="preserve">8(3), but provide </w:t>
      </w:r>
      <w:r w:rsidR="007B130E" w:rsidRPr="007B130E">
        <w:rPr>
          <w:rFonts w:ascii="Times New Roman" w:hAnsi="Times New Roman"/>
          <w:color w:val="000000"/>
        </w:rPr>
        <w:t xml:space="preserve">for two separate notices to be provided to the person </w:t>
      </w:r>
      <w:r w:rsidR="007B130E">
        <w:rPr>
          <w:rFonts w:ascii="Times New Roman" w:hAnsi="Times New Roman"/>
          <w:color w:val="000000"/>
        </w:rPr>
        <w:t xml:space="preserve">where the primary universal service provider has decided that the </w:t>
      </w:r>
      <w:r w:rsidR="007B130E" w:rsidRPr="007B130E">
        <w:rPr>
          <w:rFonts w:ascii="Times New Roman" w:hAnsi="Times New Roman"/>
          <w:color w:val="000000"/>
        </w:rPr>
        <w:t xml:space="preserve">lack of creditworthiness circumstance </w:t>
      </w:r>
      <w:r w:rsidR="007B130E">
        <w:rPr>
          <w:rFonts w:ascii="Times New Roman" w:hAnsi="Times New Roman"/>
          <w:color w:val="000000"/>
        </w:rPr>
        <w:t>(</w:t>
      </w:r>
      <w:r w:rsidR="007B130E" w:rsidRPr="007B130E">
        <w:rPr>
          <w:rFonts w:ascii="Times New Roman" w:hAnsi="Times New Roman"/>
          <w:color w:val="000000"/>
        </w:rPr>
        <w:t>subparagraph 7(1)(a)(iv)</w:t>
      </w:r>
      <w:r w:rsidR="007B130E">
        <w:rPr>
          <w:rFonts w:ascii="Times New Roman" w:hAnsi="Times New Roman"/>
          <w:color w:val="000000"/>
        </w:rPr>
        <w:t xml:space="preserve">) </w:t>
      </w:r>
      <w:r w:rsidR="007B130E" w:rsidRPr="007B130E">
        <w:rPr>
          <w:rFonts w:ascii="Times New Roman" w:hAnsi="Times New Roman"/>
          <w:color w:val="000000"/>
        </w:rPr>
        <w:t xml:space="preserve">applies. </w:t>
      </w:r>
      <w:r w:rsidR="007B130E">
        <w:rPr>
          <w:rFonts w:ascii="Times New Roman" w:hAnsi="Times New Roman"/>
          <w:color w:val="000000"/>
        </w:rPr>
        <w:t>An</w:t>
      </w:r>
      <w:r w:rsidR="007B130E" w:rsidRPr="007B130E">
        <w:rPr>
          <w:rFonts w:ascii="Times New Roman" w:hAnsi="Times New Roman"/>
          <w:color w:val="000000"/>
        </w:rPr>
        <w:t xml:space="preserve"> initial notice must</w:t>
      </w:r>
      <w:r w:rsidR="007B130E">
        <w:rPr>
          <w:rFonts w:ascii="Times New Roman" w:hAnsi="Times New Roman"/>
          <w:color w:val="000000"/>
        </w:rPr>
        <w:t xml:space="preserve"> be provided </w:t>
      </w:r>
      <w:r>
        <w:rPr>
          <w:rFonts w:ascii="Times New Roman" w:hAnsi="Times New Roman"/>
          <w:color w:val="000000"/>
        </w:rPr>
        <w:t xml:space="preserve">by the primary universal service provider </w:t>
      </w:r>
      <w:r w:rsidR="007B130E">
        <w:rPr>
          <w:rFonts w:ascii="Times New Roman" w:hAnsi="Times New Roman"/>
          <w:color w:val="000000"/>
        </w:rPr>
        <w:t xml:space="preserve">within 10 working days and </w:t>
      </w:r>
      <w:r w:rsidR="007B130E" w:rsidRPr="007B130E">
        <w:rPr>
          <w:rFonts w:ascii="Times New Roman" w:hAnsi="Times New Roman"/>
          <w:color w:val="000000"/>
        </w:rPr>
        <w:t>include a statement setting out</w:t>
      </w:r>
      <w:r w:rsidR="007B130E">
        <w:rPr>
          <w:rFonts w:ascii="Times New Roman" w:hAnsi="Times New Roman"/>
          <w:color w:val="000000"/>
        </w:rPr>
        <w:t xml:space="preserve"> </w:t>
      </w:r>
      <w:r w:rsidR="007B130E" w:rsidRPr="007B130E">
        <w:rPr>
          <w:rFonts w:ascii="Times New Roman" w:hAnsi="Times New Roman"/>
          <w:color w:val="000000"/>
        </w:rPr>
        <w:t xml:space="preserve">the decision </w:t>
      </w:r>
      <w:r w:rsidR="007B130E">
        <w:rPr>
          <w:rFonts w:ascii="Times New Roman" w:hAnsi="Times New Roman"/>
          <w:color w:val="000000"/>
        </w:rPr>
        <w:t xml:space="preserve">not </w:t>
      </w:r>
      <w:r w:rsidR="007B130E" w:rsidRPr="007B130E">
        <w:rPr>
          <w:rFonts w:ascii="Times New Roman" w:hAnsi="Times New Roman"/>
          <w:color w:val="000000"/>
        </w:rPr>
        <w:t>to provide a service to the person making the request based on that person’s credit history, or any other relevant grounds; and</w:t>
      </w:r>
      <w:r w:rsidR="007B130E">
        <w:rPr>
          <w:rFonts w:ascii="Times New Roman" w:hAnsi="Times New Roman"/>
          <w:color w:val="000000"/>
        </w:rPr>
        <w:t xml:space="preserve"> </w:t>
      </w:r>
      <w:r w:rsidR="007B130E" w:rsidRPr="007B130E">
        <w:rPr>
          <w:rFonts w:ascii="Times New Roman" w:hAnsi="Times New Roman"/>
          <w:color w:val="000000"/>
        </w:rPr>
        <w:t xml:space="preserve">the entitlement of that person to request that the </w:t>
      </w:r>
      <w:r w:rsidR="007B130E">
        <w:rPr>
          <w:rFonts w:ascii="Times New Roman" w:hAnsi="Times New Roman"/>
          <w:color w:val="000000"/>
        </w:rPr>
        <w:t xml:space="preserve">primary universal service provider </w:t>
      </w:r>
      <w:r w:rsidR="007B130E" w:rsidRPr="007B130E">
        <w:rPr>
          <w:rFonts w:ascii="Times New Roman" w:hAnsi="Times New Roman"/>
          <w:color w:val="000000"/>
        </w:rPr>
        <w:t>reconsider its decision not to supply a service.</w:t>
      </w:r>
      <w:r w:rsidR="007B130E">
        <w:rPr>
          <w:rFonts w:ascii="Times New Roman" w:hAnsi="Times New Roman"/>
          <w:color w:val="000000"/>
        </w:rPr>
        <w:t xml:space="preserve"> </w:t>
      </w:r>
      <w:r w:rsidR="007B130E">
        <w:rPr>
          <w:rFonts w:ascii="Times New Roman" w:hAnsi="Times New Roman"/>
          <w:color w:val="000000"/>
        </w:rPr>
        <w:br/>
      </w:r>
      <w:r w:rsidR="007B130E">
        <w:rPr>
          <w:rFonts w:ascii="Times New Roman" w:hAnsi="Times New Roman"/>
          <w:color w:val="000000"/>
        </w:rPr>
        <w:br/>
      </w:r>
      <w:r w:rsidR="007B130E" w:rsidRPr="007B130E">
        <w:rPr>
          <w:rFonts w:ascii="Times New Roman" w:hAnsi="Times New Roman"/>
          <w:color w:val="000000"/>
        </w:rPr>
        <w:t>If the person requests a reconsideration</w:t>
      </w:r>
      <w:r w:rsidR="007B130E">
        <w:rPr>
          <w:rFonts w:ascii="Times New Roman" w:hAnsi="Times New Roman"/>
          <w:color w:val="000000"/>
        </w:rPr>
        <w:t>, and the primary universal service provider</w:t>
      </w:r>
      <w:r w:rsidR="007B130E" w:rsidRPr="007B130E">
        <w:rPr>
          <w:rFonts w:ascii="Times New Roman" w:hAnsi="Times New Roman"/>
          <w:color w:val="000000"/>
        </w:rPr>
        <w:t xml:space="preserve"> decides that the circumstance in subparagraph 7(1)(a)(iv) </w:t>
      </w:r>
      <w:r w:rsidR="007B130E">
        <w:rPr>
          <w:rFonts w:ascii="Times New Roman" w:hAnsi="Times New Roman"/>
          <w:color w:val="000000"/>
        </w:rPr>
        <w:t xml:space="preserve">still </w:t>
      </w:r>
      <w:r w:rsidR="007B130E" w:rsidRPr="007B130E">
        <w:rPr>
          <w:rFonts w:ascii="Times New Roman" w:hAnsi="Times New Roman"/>
          <w:color w:val="000000"/>
        </w:rPr>
        <w:t>applies to that person,</w:t>
      </w:r>
      <w:r w:rsidR="007B130E">
        <w:rPr>
          <w:rFonts w:ascii="Times New Roman" w:hAnsi="Times New Roman"/>
          <w:color w:val="000000"/>
        </w:rPr>
        <w:t xml:space="preserve"> within </w:t>
      </w:r>
      <w:r w:rsidR="007B130E" w:rsidRPr="007B130E">
        <w:rPr>
          <w:rFonts w:ascii="Times New Roman" w:hAnsi="Times New Roman"/>
          <w:color w:val="000000"/>
        </w:rPr>
        <w:t xml:space="preserve">10 business days of making that decision, </w:t>
      </w:r>
      <w:r>
        <w:rPr>
          <w:rFonts w:ascii="Times New Roman" w:hAnsi="Times New Roman"/>
          <w:color w:val="000000"/>
        </w:rPr>
        <w:t xml:space="preserve">it must </w:t>
      </w:r>
      <w:r w:rsidR="007B130E" w:rsidRPr="007B130E">
        <w:rPr>
          <w:rFonts w:ascii="Times New Roman" w:hAnsi="Times New Roman"/>
          <w:color w:val="000000"/>
        </w:rPr>
        <w:t xml:space="preserve">send to that person a second written </w:t>
      </w:r>
      <w:r w:rsidR="007B130E">
        <w:rPr>
          <w:rFonts w:ascii="Times New Roman" w:hAnsi="Times New Roman"/>
          <w:color w:val="000000"/>
        </w:rPr>
        <w:t xml:space="preserve">notification. This must be provided within 10 working days and </w:t>
      </w:r>
      <w:r w:rsidR="007B130E" w:rsidRPr="007B130E">
        <w:rPr>
          <w:rFonts w:ascii="Times New Roman" w:hAnsi="Times New Roman"/>
          <w:color w:val="000000"/>
        </w:rPr>
        <w:t>include a statement setting out</w:t>
      </w:r>
      <w:r w:rsidR="007B130E">
        <w:rPr>
          <w:rFonts w:ascii="Times New Roman" w:hAnsi="Times New Roman"/>
          <w:color w:val="000000"/>
        </w:rPr>
        <w:t xml:space="preserve"> </w:t>
      </w:r>
      <w:r w:rsidR="007B130E" w:rsidRPr="007B130E">
        <w:rPr>
          <w:rFonts w:ascii="Times New Roman" w:hAnsi="Times New Roman"/>
          <w:color w:val="000000"/>
        </w:rPr>
        <w:t xml:space="preserve">the decision </w:t>
      </w:r>
      <w:r w:rsidR="007B130E">
        <w:rPr>
          <w:rFonts w:ascii="Times New Roman" w:hAnsi="Times New Roman"/>
          <w:color w:val="000000"/>
        </w:rPr>
        <w:t xml:space="preserve">not </w:t>
      </w:r>
      <w:r w:rsidR="007B130E" w:rsidRPr="007B130E">
        <w:rPr>
          <w:rFonts w:ascii="Times New Roman" w:hAnsi="Times New Roman"/>
          <w:color w:val="000000"/>
        </w:rPr>
        <w:t>to provide a service to the person making the request based on that person’s credit history, or any other relevant grounds; and</w:t>
      </w:r>
      <w:r w:rsidR="007B130E">
        <w:rPr>
          <w:rFonts w:ascii="Times New Roman" w:hAnsi="Times New Roman"/>
          <w:color w:val="000000"/>
        </w:rPr>
        <w:t xml:space="preserve"> </w:t>
      </w:r>
      <w:r w:rsidR="007B130E" w:rsidRPr="007B130E">
        <w:rPr>
          <w:rFonts w:ascii="Times New Roman" w:hAnsi="Times New Roman"/>
          <w:color w:val="000000"/>
        </w:rPr>
        <w:t xml:space="preserve">the </w:t>
      </w:r>
      <w:r w:rsidR="007B130E" w:rsidRPr="007B130E">
        <w:rPr>
          <w:rFonts w:ascii="Times New Roman" w:hAnsi="Times New Roman"/>
          <w:color w:val="000000"/>
        </w:rPr>
        <w:lastRenderedPageBreak/>
        <w:t xml:space="preserve">entitlement of that person to request that the </w:t>
      </w:r>
      <w:r w:rsidR="007B130E">
        <w:rPr>
          <w:rFonts w:ascii="Times New Roman" w:hAnsi="Times New Roman"/>
          <w:color w:val="000000"/>
        </w:rPr>
        <w:t xml:space="preserve">primary universal service provider </w:t>
      </w:r>
      <w:r w:rsidR="007B130E" w:rsidRPr="007B130E">
        <w:rPr>
          <w:rFonts w:ascii="Times New Roman" w:hAnsi="Times New Roman"/>
          <w:color w:val="000000"/>
        </w:rPr>
        <w:t>reconsider its decision not to supply a service</w:t>
      </w:r>
      <w:r w:rsidR="007B130E">
        <w:rPr>
          <w:rFonts w:ascii="Times New Roman" w:hAnsi="Times New Roman"/>
          <w:color w:val="000000"/>
        </w:rPr>
        <w:t xml:space="preserve">. This second </w:t>
      </w:r>
      <w:r w:rsidR="007B130E" w:rsidRPr="002F7F80">
        <w:rPr>
          <w:rFonts w:ascii="Times New Roman" w:hAnsi="Times New Roman"/>
        </w:rPr>
        <w:t xml:space="preserve">notification must also explain that a complaint can be made to the </w:t>
      </w:r>
      <w:r>
        <w:rPr>
          <w:rFonts w:ascii="Times New Roman" w:hAnsi="Times New Roman"/>
        </w:rPr>
        <w:t>TIO</w:t>
      </w:r>
      <w:r w:rsidR="007B130E" w:rsidRPr="002F7F80">
        <w:rPr>
          <w:rFonts w:ascii="Times New Roman" w:hAnsi="Times New Roman"/>
        </w:rPr>
        <w:t>, following such a request for reconsideration</w:t>
      </w:r>
      <w:r w:rsidR="007B130E">
        <w:rPr>
          <w:rFonts w:ascii="Times New Roman" w:hAnsi="Times New Roman"/>
        </w:rPr>
        <w:t xml:space="preserve"> by the primary universal service provider. </w:t>
      </w:r>
      <w:r>
        <w:rPr>
          <w:rFonts w:ascii="Times New Roman" w:hAnsi="Times New Roman"/>
        </w:rPr>
        <w:t>Similar to 8(3) notifications, c</w:t>
      </w:r>
      <w:r w:rsidR="007B130E" w:rsidRPr="002F7F80">
        <w:rPr>
          <w:rFonts w:ascii="Times New Roman" w:hAnsi="Times New Roman"/>
        </w:rPr>
        <w:t xml:space="preserve">ontact </w:t>
      </w:r>
      <w:r w:rsidR="007B130E">
        <w:rPr>
          <w:rFonts w:ascii="Times New Roman" w:hAnsi="Times New Roman"/>
        </w:rPr>
        <w:t xml:space="preserve">details must be provided for the </w:t>
      </w:r>
      <w:r w:rsidR="007B130E" w:rsidRPr="002F7F80">
        <w:rPr>
          <w:rFonts w:ascii="Times New Roman" w:hAnsi="Times New Roman"/>
        </w:rPr>
        <w:t xml:space="preserve">primary universal service provider and the </w:t>
      </w:r>
      <w:r>
        <w:rPr>
          <w:rFonts w:ascii="Times New Roman" w:hAnsi="Times New Roman"/>
        </w:rPr>
        <w:t>TIO</w:t>
      </w:r>
      <w:r w:rsidR="007B130E" w:rsidRPr="002F7F80">
        <w:rPr>
          <w:rFonts w:ascii="Times New Roman" w:hAnsi="Times New Roman"/>
        </w:rPr>
        <w:t>.</w:t>
      </w:r>
    </w:p>
    <w:p w14:paraId="6064FC6E" w14:textId="77777777" w:rsidR="007B130E" w:rsidRPr="007B130E" w:rsidRDefault="007B130E" w:rsidP="007B130E">
      <w:pPr>
        <w:spacing w:after="0"/>
        <w:ind w:left="567"/>
        <w:rPr>
          <w:rFonts w:ascii="Times New Roman" w:hAnsi="Times New Roman"/>
          <w:color w:val="000000"/>
        </w:rPr>
      </w:pPr>
    </w:p>
    <w:p w14:paraId="2E11B096" w14:textId="77B04766" w:rsidR="001247EA" w:rsidRDefault="001247EA" w:rsidP="001247EA">
      <w:pPr>
        <w:spacing w:after="0"/>
        <w:ind w:left="567"/>
        <w:rPr>
          <w:rFonts w:ascii="Times New Roman" w:hAnsi="Times New Roman"/>
          <w:i/>
        </w:rPr>
      </w:pPr>
      <w:r>
        <w:rPr>
          <w:rFonts w:ascii="Times New Roman" w:hAnsi="Times New Roman"/>
          <w:i/>
        </w:rPr>
        <w:t>Notifications involving c</w:t>
      </w:r>
      <w:r w:rsidRPr="001247EA">
        <w:rPr>
          <w:rFonts w:ascii="Times New Roman" w:hAnsi="Times New Roman"/>
          <w:i/>
        </w:rPr>
        <w:t>ircumstances at subp</w:t>
      </w:r>
      <w:r>
        <w:rPr>
          <w:rFonts w:ascii="Times New Roman" w:hAnsi="Times New Roman"/>
          <w:i/>
        </w:rPr>
        <w:t>aragraph</w:t>
      </w:r>
      <w:r w:rsidRPr="001247EA">
        <w:rPr>
          <w:rFonts w:ascii="Times New Roman" w:hAnsi="Times New Roman"/>
          <w:i/>
        </w:rPr>
        <w:t xml:space="preserve"> 7(1)(a)</w:t>
      </w:r>
      <w:r>
        <w:rPr>
          <w:rFonts w:ascii="Times New Roman" w:hAnsi="Times New Roman"/>
          <w:i/>
        </w:rPr>
        <w:t>(v)</w:t>
      </w:r>
    </w:p>
    <w:p w14:paraId="267693D2" w14:textId="77777777" w:rsidR="001247EA" w:rsidRDefault="001247EA" w:rsidP="00365C40">
      <w:pPr>
        <w:spacing w:after="0"/>
        <w:ind w:left="567"/>
        <w:rPr>
          <w:rFonts w:ascii="Times New Roman" w:hAnsi="Times New Roman"/>
        </w:rPr>
      </w:pPr>
    </w:p>
    <w:p w14:paraId="289D25AB" w14:textId="5885F78C" w:rsidR="00365C40" w:rsidRDefault="00365C40" w:rsidP="00365C40">
      <w:pPr>
        <w:spacing w:after="0"/>
        <w:ind w:left="567"/>
        <w:rPr>
          <w:rFonts w:ascii="Times New Roman" w:hAnsi="Times New Roman"/>
        </w:rPr>
      </w:pPr>
      <w:r>
        <w:rPr>
          <w:rFonts w:ascii="Times New Roman" w:hAnsi="Times New Roman"/>
        </w:rPr>
        <w:t xml:space="preserve">Section 8(6) </w:t>
      </w:r>
      <w:r w:rsidR="002F7F80">
        <w:rPr>
          <w:rFonts w:ascii="Times New Roman" w:hAnsi="Times New Roman"/>
        </w:rPr>
        <w:t>sets of how the</w:t>
      </w:r>
      <w:r w:rsidRPr="00CD2D7F">
        <w:rPr>
          <w:rFonts w:ascii="Times New Roman" w:hAnsi="Times New Roman"/>
        </w:rPr>
        <w:t xml:space="preserve"> </w:t>
      </w:r>
      <w:r>
        <w:rPr>
          <w:rFonts w:ascii="Times New Roman" w:hAnsi="Times New Roman"/>
        </w:rPr>
        <w:t>primary universal service provider must provide written notification</w:t>
      </w:r>
      <w:r w:rsidR="002F7F80">
        <w:rPr>
          <w:rFonts w:ascii="Times New Roman" w:hAnsi="Times New Roman"/>
        </w:rPr>
        <w:t>s</w:t>
      </w:r>
      <w:r>
        <w:rPr>
          <w:rFonts w:ascii="Times New Roman" w:hAnsi="Times New Roman"/>
        </w:rPr>
        <w:t xml:space="preserve"> if </w:t>
      </w:r>
      <w:r w:rsidR="00031C5D">
        <w:rPr>
          <w:rFonts w:ascii="Times New Roman" w:hAnsi="Times New Roman"/>
        </w:rPr>
        <w:t xml:space="preserve">it reasonably believes </w:t>
      </w:r>
      <w:r>
        <w:rPr>
          <w:rFonts w:ascii="Times New Roman" w:hAnsi="Times New Roman"/>
        </w:rPr>
        <w:t>a request for</w:t>
      </w:r>
      <w:r w:rsidR="00343DC1">
        <w:rPr>
          <w:rFonts w:ascii="Times New Roman" w:hAnsi="Times New Roman"/>
        </w:rPr>
        <w:t xml:space="preserve"> a</w:t>
      </w:r>
      <w:r>
        <w:rPr>
          <w:rFonts w:ascii="Times New Roman" w:hAnsi="Times New Roman"/>
        </w:rPr>
        <w:t xml:space="preserve"> standard telephone service at a premises is fraudulent, as per subparagraph 7(1)(a)(v).</w:t>
      </w:r>
    </w:p>
    <w:p w14:paraId="028D08E8" w14:textId="779B5A36" w:rsidR="001247EA" w:rsidRDefault="001247EA" w:rsidP="00365C40">
      <w:pPr>
        <w:spacing w:after="0"/>
        <w:ind w:left="567"/>
        <w:rPr>
          <w:rFonts w:ascii="Times New Roman" w:hAnsi="Times New Roman"/>
        </w:rPr>
      </w:pPr>
    </w:p>
    <w:p w14:paraId="4413453A" w14:textId="4CA66286" w:rsidR="001247EA" w:rsidRPr="001247EA" w:rsidRDefault="001247EA" w:rsidP="001247EA">
      <w:pPr>
        <w:spacing w:after="0"/>
        <w:ind w:left="567"/>
        <w:rPr>
          <w:rFonts w:ascii="Times New Roman" w:hAnsi="Times New Roman"/>
        </w:rPr>
      </w:pPr>
      <w:r w:rsidRPr="001247EA">
        <w:rPr>
          <w:rFonts w:ascii="Times New Roman" w:hAnsi="Times New Roman"/>
        </w:rPr>
        <w:t xml:space="preserve">The requirements for this </w:t>
      </w:r>
      <w:r>
        <w:rPr>
          <w:rFonts w:ascii="Times New Roman" w:hAnsi="Times New Roman"/>
        </w:rPr>
        <w:t xml:space="preserve">notification </w:t>
      </w:r>
      <w:r w:rsidRPr="001247EA">
        <w:rPr>
          <w:rFonts w:ascii="Times New Roman" w:hAnsi="Times New Roman"/>
        </w:rPr>
        <w:t xml:space="preserve">are </w:t>
      </w:r>
      <w:r w:rsidR="00AA3CBE">
        <w:rPr>
          <w:rFonts w:ascii="Times New Roman" w:hAnsi="Times New Roman"/>
        </w:rPr>
        <w:t xml:space="preserve">similar to </w:t>
      </w:r>
      <w:r w:rsidRPr="001247EA">
        <w:rPr>
          <w:rFonts w:ascii="Times New Roman" w:hAnsi="Times New Roman"/>
        </w:rPr>
        <w:t xml:space="preserve">those applying </w:t>
      </w:r>
      <w:r>
        <w:rPr>
          <w:rFonts w:ascii="Times New Roman" w:hAnsi="Times New Roman"/>
        </w:rPr>
        <w:t xml:space="preserve">under </w:t>
      </w:r>
      <w:r w:rsidRPr="001247EA">
        <w:rPr>
          <w:rFonts w:ascii="Times New Roman" w:hAnsi="Times New Roman"/>
        </w:rPr>
        <w:t>subsection 8(3)</w:t>
      </w:r>
      <w:r>
        <w:rPr>
          <w:rFonts w:ascii="Times New Roman" w:hAnsi="Times New Roman"/>
        </w:rPr>
        <w:t xml:space="preserve">, except the notification </w:t>
      </w:r>
      <w:r w:rsidR="00AA3CBE">
        <w:rPr>
          <w:rFonts w:ascii="Times New Roman" w:hAnsi="Times New Roman"/>
        </w:rPr>
        <w:t xml:space="preserve">here </w:t>
      </w:r>
      <w:r w:rsidRPr="001247EA">
        <w:rPr>
          <w:rFonts w:ascii="Times New Roman" w:hAnsi="Times New Roman"/>
        </w:rPr>
        <w:t xml:space="preserve">does not need to specify the precise circumstance (i.e. fraud). </w:t>
      </w:r>
      <w:r>
        <w:rPr>
          <w:rFonts w:ascii="Times New Roman" w:hAnsi="Times New Roman"/>
        </w:rPr>
        <w:t xml:space="preserve">Instead, a general statement must be provided that the primary universal service provider has </w:t>
      </w:r>
      <w:r w:rsidRPr="001247EA">
        <w:rPr>
          <w:rFonts w:ascii="Times New Roman" w:hAnsi="Times New Roman"/>
        </w:rPr>
        <w:t xml:space="preserve">decided that the obligation to supply a </w:t>
      </w:r>
      <w:r>
        <w:rPr>
          <w:rFonts w:ascii="Times New Roman" w:hAnsi="Times New Roman"/>
        </w:rPr>
        <w:t xml:space="preserve">standard telephone services </w:t>
      </w:r>
      <w:r w:rsidRPr="001247EA">
        <w:rPr>
          <w:rFonts w:ascii="Times New Roman" w:hAnsi="Times New Roman"/>
        </w:rPr>
        <w:t>does not apply to the request; and</w:t>
      </w:r>
      <w:r>
        <w:rPr>
          <w:rFonts w:ascii="Times New Roman" w:hAnsi="Times New Roman"/>
        </w:rPr>
        <w:t xml:space="preserve"> that the primary universal service provider,</w:t>
      </w:r>
      <w:r w:rsidRPr="001247EA">
        <w:rPr>
          <w:rFonts w:ascii="Times New Roman" w:hAnsi="Times New Roman"/>
        </w:rPr>
        <w:t xml:space="preserve"> in making that decision, relied on the information provided to it by the person requesting</w:t>
      </w:r>
      <w:r>
        <w:rPr>
          <w:rFonts w:ascii="Times New Roman" w:hAnsi="Times New Roman"/>
        </w:rPr>
        <w:t xml:space="preserve"> the service</w:t>
      </w:r>
      <w:r w:rsidRPr="001247EA">
        <w:rPr>
          <w:rFonts w:ascii="Times New Roman" w:hAnsi="Times New Roman"/>
        </w:rPr>
        <w:t>.</w:t>
      </w:r>
      <w:r>
        <w:rPr>
          <w:rFonts w:ascii="Times New Roman" w:hAnsi="Times New Roman"/>
        </w:rPr>
        <w:t xml:space="preserve"> This is intended to </w:t>
      </w:r>
      <w:r w:rsidRPr="001247EA">
        <w:rPr>
          <w:rFonts w:ascii="Times New Roman" w:hAnsi="Times New Roman"/>
        </w:rPr>
        <w:t xml:space="preserve">ensure that any fraud inquiry being undertaken is not potentially undermined by the </w:t>
      </w:r>
      <w:r w:rsidR="00AA3CBE">
        <w:rPr>
          <w:rFonts w:ascii="Times New Roman" w:hAnsi="Times New Roman"/>
        </w:rPr>
        <w:t>primary universal service provider</w:t>
      </w:r>
      <w:r w:rsidRPr="001247EA">
        <w:rPr>
          <w:rFonts w:ascii="Times New Roman" w:hAnsi="Times New Roman"/>
        </w:rPr>
        <w:t xml:space="preserve"> having to make that person aware at a preliminary stage that they are being investigated for fraud, or by the </w:t>
      </w:r>
      <w:r w:rsidR="00AA3CBE">
        <w:rPr>
          <w:rFonts w:ascii="Times New Roman" w:hAnsi="Times New Roman"/>
        </w:rPr>
        <w:t>primary universal service provider</w:t>
      </w:r>
      <w:r w:rsidRPr="001247EA">
        <w:rPr>
          <w:rFonts w:ascii="Times New Roman" w:hAnsi="Times New Roman"/>
        </w:rPr>
        <w:t xml:space="preserve"> having to provide the person with the detailed grounds for such an investigation.</w:t>
      </w:r>
    </w:p>
    <w:p w14:paraId="6EB13615" w14:textId="1F74BE4A" w:rsidR="00CB675C" w:rsidRDefault="00CB675C" w:rsidP="00365C40">
      <w:pPr>
        <w:spacing w:after="0"/>
        <w:ind w:left="567"/>
        <w:rPr>
          <w:rFonts w:ascii="Times New Roman" w:hAnsi="Times New Roman"/>
        </w:rPr>
      </w:pPr>
    </w:p>
    <w:p w14:paraId="7347EDCF" w14:textId="18056B36" w:rsidR="00AA3CBE" w:rsidRDefault="00AA3CBE" w:rsidP="00AA3CBE">
      <w:pPr>
        <w:spacing w:after="0"/>
        <w:ind w:left="567"/>
        <w:rPr>
          <w:rFonts w:ascii="Times New Roman" w:hAnsi="Times New Roman"/>
          <w:i/>
        </w:rPr>
      </w:pPr>
      <w:r>
        <w:rPr>
          <w:rFonts w:ascii="Times New Roman" w:hAnsi="Times New Roman"/>
          <w:i/>
        </w:rPr>
        <w:t>Notifications involving c</w:t>
      </w:r>
      <w:r w:rsidRPr="001247EA">
        <w:rPr>
          <w:rFonts w:ascii="Times New Roman" w:hAnsi="Times New Roman"/>
          <w:i/>
        </w:rPr>
        <w:t>ircumstances at sub</w:t>
      </w:r>
      <w:r>
        <w:rPr>
          <w:rFonts w:ascii="Times New Roman" w:hAnsi="Times New Roman"/>
          <w:i/>
        </w:rPr>
        <w:t>section 7(4)</w:t>
      </w:r>
    </w:p>
    <w:p w14:paraId="7EC8AAA8" w14:textId="77777777" w:rsidR="00AA3CBE" w:rsidRDefault="00AA3CBE" w:rsidP="00CB675C">
      <w:pPr>
        <w:spacing w:after="0"/>
        <w:ind w:left="567"/>
        <w:rPr>
          <w:rFonts w:ascii="Times New Roman" w:hAnsi="Times New Roman"/>
        </w:rPr>
      </w:pPr>
    </w:p>
    <w:p w14:paraId="6D0939B0" w14:textId="16F5C6C3" w:rsidR="00CB675C" w:rsidRPr="00AA3CBE" w:rsidRDefault="00792AD5" w:rsidP="00CB675C">
      <w:pPr>
        <w:spacing w:after="0"/>
        <w:ind w:left="567"/>
        <w:rPr>
          <w:rFonts w:ascii="Times New Roman" w:hAnsi="Times New Roman"/>
        </w:rPr>
      </w:pPr>
      <w:r w:rsidRPr="00AA3CBE">
        <w:rPr>
          <w:rFonts w:ascii="Times New Roman" w:hAnsi="Times New Roman"/>
        </w:rPr>
        <w:t>Subs</w:t>
      </w:r>
      <w:r w:rsidR="006C5067" w:rsidRPr="00AA3CBE">
        <w:rPr>
          <w:rFonts w:ascii="Times New Roman" w:hAnsi="Times New Roman"/>
        </w:rPr>
        <w:t>ection</w:t>
      </w:r>
      <w:r w:rsidR="00AA3CBE" w:rsidRPr="00AA3CBE">
        <w:rPr>
          <w:rFonts w:ascii="Times New Roman" w:hAnsi="Times New Roman"/>
        </w:rPr>
        <w:t>s</w:t>
      </w:r>
      <w:r w:rsidR="006C5067" w:rsidRPr="00AA3CBE">
        <w:rPr>
          <w:rFonts w:ascii="Times New Roman" w:hAnsi="Times New Roman"/>
        </w:rPr>
        <w:t xml:space="preserve"> 8(7) </w:t>
      </w:r>
      <w:r w:rsidRPr="00AA3CBE">
        <w:rPr>
          <w:rFonts w:ascii="Times New Roman" w:hAnsi="Times New Roman"/>
        </w:rPr>
        <w:t xml:space="preserve">and (8) </w:t>
      </w:r>
      <w:r w:rsidR="002F7F80" w:rsidRPr="00AA3CBE">
        <w:rPr>
          <w:rFonts w:ascii="Times New Roman" w:hAnsi="Times New Roman"/>
        </w:rPr>
        <w:t xml:space="preserve">set out the detail of written </w:t>
      </w:r>
      <w:r w:rsidRPr="00AA3CBE">
        <w:rPr>
          <w:rFonts w:ascii="Times New Roman" w:hAnsi="Times New Roman"/>
        </w:rPr>
        <w:t xml:space="preserve">notifications </w:t>
      </w:r>
      <w:r w:rsidR="002F7F80" w:rsidRPr="00AA3CBE">
        <w:rPr>
          <w:rFonts w:ascii="Times New Roman" w:hAnsi="Times New Roman"/>
        </w:rPr>
        <w:t xml:space="preserve">that must be provided </w:t>
      </w:r>
      <w:r w:rsidRPr="00AA3CBE">
        <w:rPr>
          <w:rFonts w:ascii="Times New Roman" w:hAnsi="Times New Roman"/>
        </w:rPr>
        <w:t xml:space="preserve">where </w:t>
      </w:r>
      <w:r w:rsidR="00CB675C" w:rsidRPr="00AA3CBE">
        <w:rPr>
          <w:rFonts w:ascii="Times New Roman" w:hAnsi="Times New Roman"/>
        </w:rPr>
        <w:t>the primary universal service provider believes that one or more of the circumstances listed in subsection 7(4) appl</w:t>
      </w:r>
      <w:r w:rsidR="002F7F80" w:rsidRPr="00AA3CBE">
        <w:rPr>
          <w:rFonts w:ascii="Times New Roman" w:hAnsi="Times New Roman"/>
        </w:rPr>
        <w:t xml:space="preserve">y </w:t>
      </w:r>
      <w:r w:rsidR="00CB675C" w:rsidRPr="00AA3CBE">
        <w:rPr>
          <w:rFonts w:ascii="Times New Roman" w:hAnsi="Times New Roman"/>
        </w:rPr>
        <w:t xml:space="preserve">to </w:t>
      </w:r>
      <w:r w:rsidR="002F7F80" w:rsidRPr="00AA3CBE">
        <w:rPr>
          <w:rFonts w:ascii="Times New Roman" w:hAnsi="Times New Roman"/>
        </w:rPr>
        <w:t>a</w:t>
      </w:r>
      <w:r w:rsidR="00CB675C" w:rsidRPr="00AA3CBE">
        <w:rPr>
          <w:rFonts w:ascii="Times New Roman" w:hAnsi="Times New Roman"/>
        </w:rPr>
        <w:t xml:space="preserve"> request</w:t>
      </w:r>
      <w:r w:rsidRPr="00AA3CBE">
        <w:rPr>
          <w:rFonts w:ascii="Times New Roman" w:hAnsi="Times New Roman"/>
        </w:rPr>
        <w:t xml:space="preserve">. In such cases, </w:t>
      </w:r>
      <w:r w:rsidR="00CB675C" w:rsidRPr="00AA3CBE">
        <w:rPr>
          <w:rFonts w:ascii="Times New Roman" w:hAnsi="Times New Roman"/>
        </w:rPr>
        <w:t xml:space="preserve">a </w:t>
      </w:r>
      <w:r w:rsidR="006C5067" w:rsidRPr="00AA3CBE">
        <w:rPr>
          <w:rFonts w:ascii="Times New Roman" w:hAnsi="Times New Roman"/>
        </w:rPr>
        <w:t xml:space="preserve">written notification </w:t>
      </w:r>
      <w:r w:rsidRPr="00AA3CBE">
        <w:rPr>
          <w:rFonts w:ascii="Times New Roman" w:hAnsi="Times New Roman"/>
        </w:rPr>
        <w:t xml:space="preserve">that is similar to the notification required </w:t>
      </w:r>
      <w:r w:rsidR="002F7F80" w:rsidRPr="00AA3CBE">
        <w:rPr>
          <w:rFonts w:ascii="Times New Roman" w:hAnsi="Times New Roman"/>
        </w:rPr>
        <w:t xml:space="preserve">by subsection </w:t>
      </w:r>
      <w:r w:rsidRPr="00AA3CBE">
        <w:rPr>
          <w:rFonts w:ascii="Times New Roman" w:hAnsi="Times New Roman"/>
        </w:rPr>
        <w:t>8(3). However, subsection 7(4) deals with</w:t>
      </w:r>
      <w:r w:rsidRPr="00AA3CBE">
        <w:rPr>
          <w:rFonts w:ascii="Times New Roman" w:hAnsi="Times New Roman"/>
          <w:color w:val="000000"/>
          <w:shd w:val="clear" w:color="auto" w:fill="FFFFFF"/>
        </w:rPr>
        <w:t> </w:t>
      </w:r>
      <w:r w:rsidR="00827C0F">
        <w:rPr>
          <w:rFonts w:ascii="Times New Roman" w:hAnsi="Times New Roman"/>
          <w:color w:val="000000"/>
          <w:shd w:val="clear" w:color="auto" w:fill="FFFFFF"/>
        </w:rPr>
        <w:t xml:space="preserve">temporary </w:t>
      </w:r>
      <w:r w:rsidRPr="00AA3CBE">
        <w:rPr>
          <w:rFonts w:ascii="Times New Roman" w:hAnsi="Times New Roman"/>
          <w:color w:val="000000"/>
          <w:shd w:val="clear" w:color="auto" w:fill="FFFFFF"/>
        </w:rPr>
        <w:t xml:space="preserve">circumstances which are not expected to be </w:t>
      </w:r>
      <w:r w:rsidR="00827C0F">
        <w:rPr>
          <w:rFonts w:ascii="Times New Roman" w:hAnsi="Times New Roman"/>
          <w:color w:val="000000"/>
          <w:shd w:val="clear" w:color="auto" w:fill="FFFFFF"/>
        </w:rPr>
        <w:t>ongoing.</w:t>
      </w:r>
      <w:r w:rsidRPr="00AA3CBE">
        <w:rPr>
          <w:rFonts w:ascii="Times New Roman" w:hAnsi="Times New Roman"/>
          <w:color w:val="000000"/>
          <w:shd w:val="clear" w:color="auto" w:fill="FFFFFF"/>
        </w:rPr>
        <w:t xml:space="preserve"> Accordingly, the notification requirements here are slightly modified, as the primary universal service provide</w:t>
      </w:r>
      <w:r w:rsidR="002F7F80" w:rsidRPr="00AA3CBE">
        <w:rPr>
          <w:rFonts w:ascii="Times New Roman" w:hAnsi="Times New Roman"/>
          <w:color w:val="000000"/>
          <w:shd w:val="clear" w:color="auto" w:fill="FFFFFF"/>
        </w:rPr>
        <w:t>r</w:t>
      </w:r>
      <w:r w:rsidRPr="00AA3CBE">
        <w:rPr>
          <w:rFonts w:ascii="Times New Roman" w:hAnsi="Times New Roman"/>
          <w:color w:val="000000"/>
          <w:shd w:val="clear" w:color="auto" w:fill="FFFFFF"/>
        </w:rPr>
        <w:t xml:space="preserve"> must also include, if practical, an estimate of how long those circumstances may apply</w:t>
      </w:r>
      <w:r w:rsidR="002F7F80" w:rsidRPr="00AA3CBE">
        <w:rPr>
          <w:rFonts w:ascii="Times New Roman" w:hAnsi="Times New Roman"/>
          <w:color w:val="000000"/>
          <w:shd w:val="clear" w:color="auto" w:fill="FFFFFF"/>
        </w:rPr>
        <w:t xml:space="preserve">. </w:t>
      </w:r>
      <w:r w:rsidR="00CB675C" w:rsidRPr="00AA3CBE">
        <w:rPr>
          <w:rFonts w:ascii="Times New Roman" w:hAnsi="Times New Roman"/>
        </w:rPr>
        <w:t xml:space="preserve">Section 8(8) </w:t>
      </w:r>
      <w:r w:rsidR="002F7F80" w:rsidRPr="00AA3CBE">
        <w:rPr>
          <w:rFonts w:ascii="Times New Roman" w:hAnsi="Times New Roman"/>
        </w:rPr>
        <w:t xml:space="preserve">provides that for the purposes of making that estimate, the primary universal service provider is to have regard to the circumstances and the resources that would need to be commit to </w:t>
      </w:r>
      <w:r w:rsidR="00827C0F">
        <w:rPr>
          <w:rFonts w:ascii="Times New Roman" w:hAnsi="Times New Roman"/>
        </w:rPr>
        <w:t xml:space="preserve">mitigate the </w:t>
      </w:r>
      <w:r w:rsidR="002F7F80" w:rsidRPr="00AA3CBE">
        <w:rPr>
          <w:rFonts w:ascii="Times New Roman" w:hAnsi="Times New Roman"/>
        </w:rPr>
        <w:t>consequences and minimise the duration of any grounds identified by the provider as the basis for the claimed circumstance.</w:t>
      </w:r>
    </w:p>
    <w:p w14:paraId="771E2D58" w14:textId="5E15C2C0" w:rsidR="006C5067" w:rsidRPr="00F23C30" w:rsidRDefault="006C5067" w:rsidP="00F23C30">
      <w:pPr>
        <w:shd w:val="clear" w:color="auto" w:fill="FFFFFF"/>
        <w:spacing w:before="240" w:after="120" w:line="299" w:lineRule="atLeast"/>
        <w:ind w:left="357" w:hanging="357"/>
        <w:rPr>
          <w:rFonts w:ascii="Times New Roman" w:hAnsi="Times New Roman"/>
          <w:b/>
          <w:bCs/>
          <w:color w:val="000000"/>
        </w:rPr>
      </w:pPr>
      <w:r w:rsidRPr="00F23C30">
        <w:rPr>
          <w:rFonts w:ascii="Times New Roman" w:hAnsi="Times New Roman"/>
          <w:b/>
          <w:bCs/>
          <w:color w:val="000000"/>
        </w:rPr>
        <w:t>Schedule 1 – Repeals</w:t>
      </w:r>
    </w:p>
    <w:p w14:paraId="2CF21DCA" w14:textId="2C181D3D" w:rsidR="00365C40" w:rsidRDefault="006C5067" w:rsidP="00365C40">
      <w:pPr>
        <w:spacing w:after="0"/>
        <w:ind w:left="567"/>
        <w:rPr>
          <w:rFonts w:ascii="Times New Roman" w:hAnsi="Times New Roman"/>
        </w:rPr>
      </w:pPr>
      <w:r>
        <w:rPr>
          <w:rFonts w:ascii="Times New Roman" w:hAnsi="Times New Roman"/>
        </w:rPr>
        <w:t xml:space="preserve">The </w:t>
      </w:r>
      <w:r w:rsidRPr="00827C0F">
        <w:rPr>
          <w:rFonts w:ascii="Times New Roman" w:hAnsi="Times New Roman"/>
        </w:rPr>
        <w:t>Determination</w:t>
      </w:r>
      <w:r>
        <w:rPr>
          <w:rFonts w:ascii="Times New Roman" w:hAnsi="Times New Roman"/>
        </w:rPr>
        <w:t xml:space="preserve"> </w:t>
      </w:r>
      <w:r w:rsidR="00F23C30">
        <w:rPr>
          <w:rFonts w:ascii="Times New Roman" w:hAnsi="Times New Roman"/>
        </w:rPr>
        <w:t xml:space="preserve">is a replacement for the </w:t>
      </w:r>
      <w:r w:rsidRPr="00727154">
        <w:rPr>
          <w:rFonts w:ascii="Times New Roman" w:hAnsi="Times New Roman"/>
          <w:i/>
        </w:rPr>
        <w:t>Tel</w:t>
      </w:r>
      <w:r>
        <w:rPr>
          <w:rFonts w:ascii="Times New Roman" w:hAnsi="Times New Roman"/>
          <w:i/>
        </w:rPr>
        <w:t>ecommunications Universal Obligation (Standard Telephone Service – Requirements and Circumstances) Determination (No. 1) 2011.</w:t>
      </w:r>
      <w:r w:rsidR="00F23C30">
        <w:rPr>
          <w:rFonts w:ascii="Times New Roman" w:hAnsi="Times New Roman"/>
          <w:i/>
        </w:rPr>
        <w:t xml:space="preserve"> </w:t>
      </w:r>
      <w:r w:rsidR="00F23C30">
        <w:rPr>
          <w:rFonts w:ascii="Times New Roman" w:hAnsi="Times New Roman"/>
        </w:rPr>
        <w:t xml:space="preserve">Accordingly, this schedule entirely </w:t>
      </w:r>
      <w:r w:rsidR="008A47C1">
        <w:rPr>
          <w:rFonts w:ascii="Times New Roman" w:hAnsi="Times New Roman"/>
        </w:rPr>
        <w:t>repe</w:t>
      </w:r>
      <w:r w:rsidR="00827C0F">
        <w:rPr>
          <w:rFonts w:ascii="Times New Roman" w:hAnsi="Times New Roman"/>
        </w:rPr>
        <w:t>a</w:t>
      </w:r>
      <w:r w:rsidR="008A47C1">
        <w:rPr>
          <w:rFonts w:ascii="Times New Roman" w:hAnsi="Times New Roman"/>
        </w:rPr>
        <w:t>ls</w:t>
      </w:r>
      <w:r w:rsidR="00F23C30">
        <w:rPr>
          <w:rFonts w:ascii="Times New Roman" w:hAnsi="Times New Roman"/>
        </w:rPr>
        <w:t xml:space="preserve"> that earlier instrument.</w:t>
      </w:r>
    </w:p>
    <w:p w14:paraId="555EEDB6" w14:textId="77777777" w:rsidR="0095290F" w:rsidRDefault="0095290F">
      <w:pPr>
        <w:spacing w:after="160" w:line="259" w:lineRule="auto"/>
        <w:rPr>
          <w:rFonts w:ascii="Times New Roman" w:hAnsi="Times New Roman"/>
          <w:b/>
          <w:sz w:val="28"/>
          <w:szCs w:val="28"/>
        </w:rPr>
        <w:sectPr w:rsidR="0095290F" w:rsidSect="000A2F7D">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20" w:footer="720" w:gutter="0"/>
          <w:cols w:space="720"/>
          <w:docGrid w:linePitch="360"/>
        </w:sectPr>
      </w:pPr>
    </w:p>
    <w:p w14:paraId="69B2A289" w14:textId="77777777" w:rsidR="00615E4D" w:rsidRDefault="00615E4D" w:rsidP="00615E4D">
      <w:pPr>
        <w:spacing w:after="160" w:line="256" w:lineRule="auto"/>
        <w:ind w:left="6480" w:firstLine="720"/>
        <w:rPr>
          <w:rFonts w:ascii="Times New Roman" w:hAnsi="Times New Roman"/>
          <w:b/>
          <w:sz w:val="28"/>
          <w:szCs w:val="28"/>
        </w:rPr>
      </w:pPr>
      <w:r>
        <w:rPr>
          <w:rFonts w:ascii="Times New Roman" w:hAnsi="Times New Roman"/>
          <w:b/>
          <w:sz w:val="28"/>
          <w:szCs w:val="28"/>
        </w:rPr>
        <w:lastRenderedPageBreak/>
        <w:t>Attachment B</w:t>
      </w:r>
    </w:p>
    <w:p w14:paraId="051241AF" w14:textId="77777777" w:rsidR="00615E4D" w:rsidRDefault="00615E4D" w:rsidP="00FA355E">
      <w:pPr>
        <w:pStyle w:val="Heading2"/>
        <w:spacing w:before="240" w:after="240"/>
        <w:rPr>
          <w:rFonts w:eastAsiaTheme="minorHAnsi"/>
        </w:rPr>
      </w:pPr>
      <w:r>
        <w:rPr>
          <w:rFonts w:eastAsiaTheme="minorHAnsi"/>
        </w:rPr>
        <w:t>Statement of Compatibility with Human Rights</w:t>
      </w:r>
    </w:p>
    <w:p w14:paraId="286E76DF" w14:textId="77777777" w:rsidR="00615E4D" w:rsidRDefault="00615E4D" w:rsidP="00FA355E">
      <w:pPr>
        <w:spacing w:after="0"/>
        <w:jc w:val="center"/>
        <w:rPr>
          <w:rFonts w:ascii="Times New Roman" w:hAnsi="Times New Roman"/>
        </w:rPr>
      </w:pPr>
      <w:r>
        <w:rPr>
          <w:rFonts w:ascii="Times New Roman" w:hAnsi="Times New Roman"/>
          <w:i/>
        </w:rPr>
        <w:t>Prepared in accordance with Part 3 of the Human Rights (Parliamentary Scrutiny) Act 2011</w:t>
      </w:r>
    </w:p>
    <w:p w14:paraId="30D30781" w14:textId="77777777" w:rsidR="00615E4D" w:rsidRDefault="00615E4D" w:rsidP="00615E4D">
      <w:pPr>
        <w:spacing w:after="0"/>
        <w:jc w:val="center"/>
        <w:rPr>
          <w:rFonts w:ascii="Times New Roman" w:hAnsi="Times New Roman"/>
        </w:rPr>
      </w:pPr>
    </w:p>
    <w:p w14:paraId="2AD3A613" w14:textId="77777777" w:rsidR="00615E4D" w:rsidRDefault="00615E4D" w:rsidP="00615E4D">
      <w:pPr>
        <w:shd w:val="clear" w:color="auto" w:fill="FFFFFF"/>
        <w:spacing w:before="100" w:beforeAutospacing="1" w:after="160"/>
        <w:contextualSpacing/>
        <w:jc w:val="center"/>
        <w:rPr>
          <w:rFonts w:ascii="Times New Roman" w:hAnsi="Times New Roman"/>
          <w:b/>
          <w:sz w:val="28"/>
          <w:szCs w:val="28"/>
        </w:rPr>
      </w:pPr>
      <w:r>
        <w:rPr>
          <w:rFonts w:ascii="Times New Roman" w:hAnsi="Times New Roman"/>
          <w:b/>
          <w:iCs/>
          <w:color w:val="000000"/>
          <w:sz w:val="28"/>
          <w:szCs w:val="28"/>
        </w:rPr>
        <w:t>Telecommunications Universal Service Obligation (Standard Telephone Service—Requirements and Circumstances) Determination 2022</w:t>
      </w:r>
    </w:p>
    <w:p w14:paraId="1496E1F3" w14:textId="77777777" w:rsidR="00615E4D" w:rsidRDefault="00615E4D" w:rsidP="00615E4D">
      <w:pPr>
        <w:shd w:val="clear" w:color="auto" w:fill="FFFFFF"/>
        <w:spacing w:before="100" w:beforeAutospacing="1" w:after="160"/>
        <w:contextualSpacing/>
        <w:jc w:val="center"/>
        <w:rPr>
          <w:rFonts w:ascii="Times New Roman" w:hAnsi="Times New Roman"/>
          <w:b/>
          <w:sz w:val="28"/>
          <w:szCs w:val="28"/>
        </w:rPr>
      </w:pPr>
    </w:p>
    <w:p w14:paraId="34A666FE" w14:textId="77777777" w:rsidR="00615E4D" w:rsidRDefault="00615E4D" w:rsidP="00615E4D">
      <w:pPr>
        <w:rPr>
          <w:rFonts w:ascii="Times New Roman" w:hAnsi="Times New Roman"/>
          <w:b/>
          <w:i/>
        </w:rPr>
      </w:pPr>
      <w:r>
        <w:rPr>
          <w:rFonts w:ascii="Times New Roman" w:hAnsi="Times New Roman"/>
          <w:b/>
          <w:i/>
        </w:rPr>
        <w:t xml:space="preserve">Overview </w:t>
      </w:r>
    </w:p>
    <w:p w14:paraId="6EC9EC1F" w14:textId="77777777" w:rsidR="00615E4D" w:rsidRDefault="00615E4D" w:rsidP="00615E4D">
      <w:pPr>
        <w:spacing w:before="100" w:beforeAutospacing="1" w:after="100" w:afterAutospacing="1"/>
        <w:rPr>
          <w:rFonts w:ascii="Times New Roman" w:hAnsi="Times New Roman"/>
          <w:color w:val="000000"/>
          <w:shd w:val="clear" w:color="auto" w:fill="FFFFFF"/>
        </w:rPr>
      </w:pPr>
      <w:r>
        <w:rPr>
          <w:rFonts w:ascii="Times New Roman" w:hAnsi="Times New Roman"/>
          <w:color w:val="000000"/>
          <w:shd w:val="clear" w:color="auto" w:fill="FFFFFF"/>
        </w:rPr>
        <w:t>The Universal Service Obligation (USO) is a long-standing legislated consumer safeguard that provides that standard telephone services (STS) and payphones are reasonably accessible to all people in Australia on an equitable basis, wherever they reside or carry on business. The USO is set out in the </w:t>
      </w:r>
      <w:r>
        <w:rPr>
          <w:rFonts w:ascii="Times New Roman" w:hAnsi="Times New Roman"/>
          <w:i/>
          <w:iCs/>
          <w:color w:val="000000"/>
          <w:shd w:val="clear" w:color="auto" w:fill="FFFFFF"/>
        </w:rPr>
        <w:t>Telecommunications (Consumer Protection and Service Standards) Act 1999</w:t>
      </w:r>
      <w:r>
        <w:rPr>
          <w:rFonts w:ascii="Times New Roman" w:hAnsi="Times New Roman"/>
          <w:color w:val="000000"/>
          <w:shd w:val="clear" w:color="auto" w:fill="FFFFFF"/>
        </w:rPr>
        <w:t xml:space="preserve"> (‘the Act’). </w:t>
      </w:r>
    </w:p>
    <w:p w14:paraId="40D7C058" w14:textId="38300571" w:rsidR="00615E4D" w:rsidRDefault="00615E4D" w:rsidP="001A3C51">
      <w:pPr>
        <w:shd w:val="clear" w:color="auto" w:fill="FFFFFF"/>
        <w:spacing w:after="0"/>
        <w:rPr>
          <w:rFonts w:ascii="Times New Roman" w:hAnsi="Times New Roman"/>
          <w:color w:val="000000"/>
        </w:rPr>
      </w:pPr>
      <w:r>
        <w:rPr>
          <w:rFonts w:ascii="Times New Roman" w:hAnsi="Times New Roman"/>
          <w:color w:val="000000"/>
        </w:rPr>
        <w:t>Subsection 9(2D) of the Act enables the Minister</w:t>
      </w:r>
      <w:r w:rsidR="003E369B">
        <w:rPr>
          <w:rFonts w:ascii="Times New Roman" w:hAnsi="Times New Roman"/>
          <w:color w:val="000000"/>
        </w:rPr>
        <w:t xml:space="preserve"> </w:t>
      </w:r>
      <w:r>
        <w:rPr>
          <w:rFonts w:ascii="Times New Roman" w:hAnsi="Times New Roman"/>
          <w:color w:val="000000"/>
        </w:rPr>
        <w:t>to determine</w:t>
      </w:r>
      <w:r w:rsidR="003E369B">
        <w:rPr>
          <w:rFonts w:ascii="Times New Roman" w:hAnsi="Times New Roman"/>
          <w:color w:val="000000"/>
        </w:rPr>
        <w:t xml:space="preserve"> by legislative instrument </w:t>
      </w:r>
      <w:r>
        <w:rPr>
          <w:rFonts w:ascii="Times New Roman" w:hAnsi="Times New Roman"/>
          <w:color w:val="000000"/>
        </w:rPr>
        <w:t xml:space="preserve"> requirements for requests for a standard telephone service such as the form of the request or information to be provided in a request.</w:t>
      </w:r>
      <w:r w:rsidR="00827C0F">
        <w:rPr>
          <w:rFonts w:ascii="Times New Roman" w:hAnsi="Times New Roman"/>
          <w:color w:val="000000"/>
        </w:rPr>
        <w:t xml:space="preserve"> </w:t>
      </w:r>
      <w:r>
        <w:rPr>
          <w:rFonts w:ascii="Times New Roman" w:hAnsi="Times New Roman"/>
          <w:color w:val="000000"/>
        </w:rPr>
        <w:t>Subsection 9(3) of the Act enables the Minister to determine circumstances under which an obligation to supply a standard telephone service under the USO does not arise.</w:t>
      </w:r>
      <w:r w:rsidR="001A3C51">
        <w:rPr>
          <w:rFonts w:ascii="Times New Roman" w:hAnsi="Times New Roman"/>
          <w:color w:val="000000"/>
        </w:rPr>
        <w:t xml:space="preserve"> </w:t>
      </w:r>
      <w:r>
        <w:rPr>
          <w:rFonts w:ascii="Times New Roman" w:hAnsi="Times New Roman"/>
          <w:color w:val="000000"/>
          <w:shd w:val="clear" w:color="auto" w:fill="FFFFFF"/>
        </w:rPr>
        <w:t>T</w:t>
      </w:r>
      <w:r>
        <w:rPr>
          <w:rFonts w:ascii="Times New Roman" w:hAnsi="Times New Roman"/>
        </w:rPr>
        <w:t>he Determination</w:t>
      </w:r>
      <w:r w:rsidR="00827C0F">
        <w:rPr>
          <w:rFonts w:ascii="Times New Roman" w:hAnsi="Times New Roman"/>
        </w:rPr>
        <w:t xml:space="preserve"> provides </w:t>
      </w:r>
      <w:r>
        <w:rPr>
          <w:rFonts w:ascii="Times New Roman" w:hAnsi="Times New Roman"/>
        </w:rPr>
        <w:t xml:space="preserve">clarity and consistency for stakeholders by setting </w:t>
      </w:r>
      <w:r w:rsidR="003E369B">
        <w:rPr>
          <w:rFonts w:ascii="Times New Roman" w:hAnsi="Times New Roman"/>
        </w:rPr>
        <w:t xml:space="preserve">out </w:t>
      </w:r>
      <w:r w:rsidR="003E369B">
        <w:rPr>
          <w:rFonts w:ascii="Times New Roman" w:hAnsi="Times New Roman"/>
          <w:color w:val="000000"/>
        </w:rPr>
        <w:t>requirements for valid request</w:t>
      </w:r>
      <w:r w:rsidR="003E369B">
        <w:rPr>
          <w:rFonts w:ascii="Times New Roman" w:hAnsi="Times New Roman"/>
          <w:color w:val="000000"/>
        </w:rPr>
        <w:t xml:space="preserve">s and </w:t>
      </w:r>
      <w:r w:rsidR="001A3C51">
        <w:rPr>
          <w:rFonts w:ascii="Times New Roman" w:hAnsi="Times New Roman"/>
        </w:rPr>
        <w:t xml:space="preserve">limited </w:t>
      </w:r>
      <w:r>
        <w:rPr>
          <w:rFonts w:ascii="Times New Roman" w:hAnsi="Times New Roman"/>
        </w:rPr>
        <w:t>circumstances where t</w:t>
      </w:r>
      <w:r>
        <w:rPr>
          <w:rFonts w:ascii="Times New Roman" w:hAnsi="Times New Roman"/>
          <w:color w:val="000000"/>
        </w:rPr>
        <w:t>he primary universal service provider is not required to provide a standard telephone service under the USO</w:t>
      </w:r>
      <w:r w:rsidR="003E369B">
        <w:rPr>
          <w:rFonts w:ascii="Times New Roman" w:hAnsi="Times New Roman"/>
          <w:color w:val="000000"/>
        </w:rPr>
        <w:t>, noting the default obligation is to provide access to a service</w:t>
      </w:r>
      <w:r>
        <w:rPr>
          <w:rFonts w:ascii="Times New Roman" w:hAnsi="Times New Roman"/>
          <w:color w:val="000000"/>
        </w:rPr>
        <w:t>.</w:t>
      </w:r>
    </w:p>
    <w:p w14:paraId="46D03ECD" w14:textId="77777777" w:rsidR="001A3C51" w:rsidRDefault="001A3C51" w:rsidP="001A3C51">
      <w:pPr>
        <w:shd w:val="clear" w:color="auto" w:fill="FFFFFF"/>
        <w:spacing w:after="0"/>
        <w:rPr>
          <w:rFonts w:ascii="Times New Roman" w:hAnsi="Times New Roman"/>
          <w:color w:val="000000"/>
        </w:rPr>
      </w:pPr>
    </w:p>
    <w:p w14:paraId="28159E86" w14:textId="6F6E5FD8" w:rsidR="008C5A9B" w:rsidRDefault="00923AC3" w:rsidP="00923AC3">
      <w:pPr>
        <w:shd w:val="clear" w:color="auto" w:fill="FFFFFF"/>
        <w:spacing w:after="0"/>
        <w:rPr>
          <w:rFonts w:ascii="Times New Roman" w:hAnsi="Times New Roman"/>
        </w:rPr>
      </w:pPr>
      <w:r>
        <w:rPr>
          <w:rFonts w:ascii="Times New Roman" w:hAnsi="Times New Roman"/>
          <w:color w:val="000000"/>
        </w:rPr>
        <w:t xml:space="preserve">Alongside the statutory infrastructure provider regime set out in Part 19 of the </w:t>
      </w:r>
      <w:r>
        <w:rPr>
          <w:rFonts w:ascii="Times New Roman" w:hAnsi="Times New Roman"/>
          <w:i/>
          <w:color w:val="000000"/>
        </w:rPr>
        <w:t>Telecommunications Act 1997</w:t>
      </w:r>
      <w:r>
        <w:rPr>
          <w:rFonts w:ascii="Times New Roman" w:hAnsi="Times New Roman"/>
          <w:color w:val="000000"/>
        </w:rPr>
        <w:t xml:space="preserve">, which is focused on maximising access to baseline broadband services, the USO regime </w:t>
      </w:r>
      <w:r>
        <w:rPr>
          <w:rFonts w:ascii="Times New Roman" w:hAnsi="Times New Roman"/>
        </w:rPr>
        <w:t xml:space="preserve">is focused on maximising access to baseline voice services. </w:t>
      </w:r>
      <w:r w:rsidR="003E369B">
        <w:rPr>
          <w:rFonts w:ascii="Times New Roman" w:hAnsi="Times New Roman"/>
          <w:color w:val="000000"/>
        </w:rPr>
        <w:t xml:space="preserve">Access to telecommunications services is increasingly seen as important to broader social, economic, political and cultural participation. </w:t>
      </w:r>
      <w:r>
        <w:rPr>
          <w:rFonts w:ascii="Times New Roman" w:hAnsi="Times New Roman"/>
        </w:rPr>
        <w:t>Accordingly, the Determination starts from the principle that each premises in Australia should have</w:t>
      </w:r>
      <w:r w:rsidR="003E369B">
        <w:rPr>
          <w:rFonts w:ascii="Times New Roman" w:hAnsi="Times New Roman"/>
        </w:rPr>
        <w:t xml:space="preserve"> reasonable</w:t>
      </w:r>
      <w:r>
        <w:rPr>
          <w:rFonts w:ascii="Times New Roman" w:hAnsi="Times New Roman"/>
        </w:rPr>
        <w:t xml:space="preserve"> access to a standard telephone service as the default, and it is only in specific and exceptional circumstances that this principle should be limited. In applying the Determination, the primary universal service provider should preference supply over refusing such requests. </w:t>
      </w:r>
    </w:p>
    <w:p w14:paraId="258C77B8" w14:textId="77777777" w:rsidR="008C5A9B" w:rsidRDefault="008C5A9B" w:rsidP="00923AC3">
      <w:pPr>
        <w:shd w:val="clear" w:color="auto" w:fill="FFFFFF"/>
        <w:spacing w:after="0"/>
        <w:rPr>
          <w:rFonts w:ascii="Times New Roman" w:hAnsi="Times New Roman"/>
        </w:rPr>
      </w:pPr>
    </w:p>
    <w:p w14:paraId="71AC38B2" w14:textId="606D7602" w:rsidR="00923AC3" w:rsidRDefault="00923AC3" w:rsidP="00923AC3">
      <w:pPr>
        <w:shd w:val="clear" w:color="auto" w:fill="FFFFFF"/>
        <w:spacing w:after="0"/>
        <w:rPr>
          <w:rFonts w:ascii="Times New Roman" w:hAnsi="Times New Roman"/>
        </w:rPr>
      </w:pPr>
      <w:r>
        <w:rPr>
          <w:rFonts w:ascii="Times New Roman" w:hAnsi="Times New Roman"/>
        </w:rPr>
        <w:t xml:space="preserve">However, the Determination recognises that there may be circumstances where it is simply impractical, unsafe, </w:t>
      </w:r>
      <w:r w:rsidR="008C5A9B">
        <w:rPr>
          <w:rFonts w:ascii="Times New Roman" w:hAnsi="Times New Roman"/>
        </w:rPr>
        <w:t xml:space="preserve">or </w:t>
      </w:r>
      <w:r>
        <w:rPr>
          <w:rFonts w:ascii="Times New Roman" w:hAnsi="Times New Roman"/>
        </w:rPr>
        <w:t>unreasonable for the primary universal service provider to provide USO services and specifies these limited set of circumstances for the greater confidence and certainty of consumers and other stakeholders.</w:t>
      </w:r>
    </w:p>
    <w:p w14:paraId="2FFACCBB" w14:textId="5A2EDEB8" w:rsidR="00615E4D" w:rsidRDefault="00615E4D" w:rsidP="00615E4D">
      <w:pPr>
        <w:shd w:val="clear" w:color="auto" w:fill="FFFFFF"/>
        <w:spacing w:before="120" w:after="0"/>
        <w:rPr>
          <w:rFonts w:ascii="Times New Roman" w:hAnsi="Times New Roman"/>
          <w:color w:val="000000"/>
          <w:sz w:val="20"/>
          <w:szCs w:val="20"/>
        </w:rPr>
      </w:pPr>
      <w:r>
        <w:rPr>
          <w:rFonts w:ascii="Times New Roman" w:hAnsi="Times New Roman"/>
          <w:b/>
          <w:bCs/>
          <w:i/>
          <w:iCs/>
          <w:color w:val="000000"/>
        </w:rPr>
        <w:t>Human rights implications</w:t>
      </w:r>
    </w:p>
    <w:p w14:paraId="438CF6D4" w14:textId="77777777" w:rsidR="00615E4D" w:rsidRDefault="00615E4D" w:rsidP="00615E4D">
      <w:pPr>
        <w:shd w:val="clear" w:color="auto" w:fill="FFFFFF"/>
        <w:spacing w:after="0"/>
        <w:rPr>
          <w:rFonts w:ascii="Times New Roman" w:hAnsi="Times New Roman"/>
          <w:color w:val="000000"/>
        </w:rPr>
      </w:pPr>
      <w:r>
        <w:rPr>
          <w:rFonts w:ascii="Times New Roman" w:hAnsi="Times New Roman"/>
          <w:color w:val="000000"/>
          <w:sz w:val="12"/>
          <w:szCs w:val="12"/>
        </w:rPr>
        <w:br/>
      </w:r>
      <w:r>
        <w:rPr>
          <w:rFonts w:ascii="Times New Roman" w:hAnsi="Times New Roman"/>
          <w:color w:val="000000"/>
          <w:highlight w:val="lightGray"/>
        </w:rPr>
        <w:t>No human rights issues were raised during the consultation process.</w:t>
      </w:r>
      <w:r>
        <w:rPr>
          <w:rFonts w:ascii="Times New Roman" w:hAnsi="Times New Roman"/>
          <w:color w:val="000000"/>
        </w:rPr>
        <w:t xml:space="preserve"> The Determination does not engage any of the applicable rights or freedoms, and is compatible with the rights and freedoms recognised or declared by the international instruments listed in subsection 3(1) of the </w:t>
      </w:r>
      <w:r>
        <w:rPr>
          <w:rFonts w:ascii="Times New Roman" w:hAnsi="Times New Roman"/>
          <w:i/>
          <w:iCs/>
          <w:color w:val="000000"/>
        </w:rPr>
        <w:t>Human Rights (Parliamentary Scrutiny) Act 2011</w:t>
      </w:r>
      <w:r>
        <w:rPr>
          <w:rFonts w:ascii="Times New Roman" w:hAnsi="Times New Roman"/>
          <w:color w:val="000000"/>
        </w:rPr>
        <w:t xml:space="preserve"> as they apply to Australia. </w:t>
      </w:r>
      <w:bookmarkStart w:id="6" w:name="_GoBack"/>
      <w:bookmarkEnd w:id="6"/>
    </w:p>
    <w:p w14:paraId="1806ED4B" w14:textId="77777777" w:rsidR="00615E4D" w:rsidRDefault="00615E4D" w:rsidP="00615E4D">
      <w:pPr>
        <w:shd w:val="clear" w:color="auto" w:fill="FFFFFF"/>
        <w:spacing w:before="120" w:after="120"/>
        <w:rPr>
          <w:rFonts w:ascii="Times New Roman" w:hAnsi="Times New Roman"/>
          <w:color w:val="000000"/>
          <w:sz w:val="20"/>
          <w:szCs w:val="20"/>
        </w:rPr>
      </w:pPr>
      <w:r>
        <w:rPr>
          <w:rFonts w:ascii="Times New Roman" w:hAnsi="Times New Roman"/>
          <w:b/>
          <w:bCs/>
          <w:i/>
          <w:iCs/>
          <w:color w:val="000000"/>
        </w:rPr>
        <w:t>Conclusion</w:t>
      </w:r>
    </w:p>
    <w:p w14:paraId="61F959BB" w14:textId="2A680079" w:rsidR="00EA46BC" w:rsidRPr="00635AB8" w:rsidRDefault="00615E4D" w:rsidP="009A367A">
      <w:pPr>
        <w:shd w:val="clear" w:color="auto" w:fill="FFFFFF"/>
        <w:spacing w:after="120"/>
        <w:ind w:right="-286"/>
        <w:rPr>
          <w:rFonts w:ascii="Times New Roman" w:hAnsi="Times New Roman"/>
        </w:rPr>
      </w:pPr>
      <w:r>
        <w:rPr>
          <w:rFonts w:ascii="Times New Roman" w:hAnsi="Times New Roman"/>
          <w:color w:val="000000"/>
        </w:rPr>
        <w:t>The Determination is compatible with human rights as it does not raise any human rights issues.</w:t>
      </w:r>
    </w:p>
    <w:sectPr w:rsidR="00EA46BC" w:rsidRPr="00635AB8" w:rsidSect="00B96FEE">
      <w:pgSz w:w="11906" w:h="16838"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2BD15" w14:textId="77777777" w:rsidR="0079200C" w:rsidRDefault="0079200C">
      <w:pPr>
        <w:spacing w:after="0"/>
      </w:pPr>
      <w:r>
        <w:separator/>
      </w:r>
    </w:p>
  </w:endnote>
  <w:endnote w:type="continuationSeparator" w:id="0">
    <w:p w14:paraId="202C52A2" w14:textId="77777777" w:rsidR="0079200C" w:rsidRDefault="0079200C">
      <w:pPr>
        <w:spacing w:after="0"/>
      </w:pPr>
      <w:r>
        <w:continuationSeparator/>
      </w:r>
    </w:p>
  </w:endnote>
  <w:endnote w:type="continuationNotice" w:id="1">
    <w:p w14:paraId="201873D0" w14:textId="77777777" w:rsidR="0079200C" w:rsidRDefault="007920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63AFB" w14:textId="77777777" w:rsidR="00DB41EB" w:rsidRDefault="00DB4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2"/>
        <w:szCs w:val="22"/>
      </w:rPr>
      <w:id w:val="-1699624166"/>
      <w:docPartObj>
        <w:docPartGallery w:val="Page Numbers (Bottom of Page)"/>
        <w:docPartUnique/>
      </w:docPartObj>
    </w:sdtPr>
    <w:sdtEndPr>
      <w:rPr>
        <w:noProof/>
        <w:sz w:val="24"/>
        <w:szCs w:val="24"/>
      </w:rPr>
    </w:sdtEndPr>
    <w:sdtContent>
      <w:p w14:paraId="376D3A7C" w14:textId="2384A774" w:rsidR="0079200C" w:rsidRPr="00E90BCB" w:rsidRDefault="0079200C">
        <w:pPr>
          <w:pStyle w:val="Footer"/>
          <w:rPr>
            <w:rFonts w:ascii="Times New Roman" w:hAnsi="Times New Roman"/>
            <w:sz w:val="24"/>
          </w:rPr>
        </w:pPr>
        <w:r w:rsidRPr="00E90BCB">
          <w:rPr>
            <w:rFonts w:ascii="Times New Roman" w:hAnsi="Times New Roman"/>
            <w:sz w:val="24"/>
          </w:rPr>
          <w:fldChar w:fldCharType="begin"/>
        </w:r>
        <w:r w:rsidRPr="00E90BCB">
          <w:rPr>
            <w:rFonts w:ascii="Times New Roman" w:hAnsi="Times New Roman"/>
            <w:sz w:val="24"/>
          </w:rPr>
          <w:instrText xml:space="preserve"> PAGE   \* MERGEFORMAT </w:instrText>
        </w:r>
        <w:r w:rsidRPr="00E90BCB">
          <w:rPr>
            <w:rFonts w:ascii="Times New Roman" w:hAnsi="Times New Roman"/>
            <w:sz w:val="24"/>
          </w:rPr>
          <w:fldChar w:fldCharType="separate"/>
        </w:r>
        <w:r>
          <w:rPr>
            <w:rFonts w:ascii="Times New Roman" w:hAnsi="Times New Roman"/>
            <w:noProof/>
            <w:sz w:val="24"/>
          </w:rPr>
          <w:t>1</w:t>
        </w:r>
        <w:r w:rsidRPr="00E90BCB">
          <w:rPr>
            <w:rFonts w:ascii="Times New Roman" w:hAnsi="Times New Roman"/>
            <w:noProof/>
            <w:sz w:val="24"/>
          </w:rPr>
          <w:fldChar w:fldCharType="end"/>
        </w:r>
      </w:p>
    </w:sdtContent>
  </w:sdt>
  <w:p w14:paraId="7CF761DA" w14:textId="77777777" w:rsidR="0079200C" w:rsidRDefault="007920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711DB" w14:textId="761E9E6A" w:rsidR="0079200C" w:rsidRPr="00767979" w:rsidRDefault="0079200C" w:rsidP="007B5AE0">
    <w:pPr>
      <w:pStyle w:val="Header"/>
      <w:jc w:val="center"/>
      <w:rPr>
        <w:rFonts w:ascii="Times New Roman" w:hAnsi="Times New Roman"/>
      </w:rPr>
    </w:pPr>
    <w:r w:rsidRPr="009027D6">
      <w:rPr>
        <w:rStyle w:val="PageNumber"/>
        <w:rFonts w:ascii="Times New Roman" w:hAnsi="Times New Roman"/>
      </w:rPr>
      <w:fldChar w:fldCharType="begin"/>
    </w:r>
    <w:r w:rsidRPr="009027D6">
      <w:rPr>
        <w:rStyle w:val="PageNumber"/>
        <w:rFonts w:ascii="Times New Roman" w:hAnsi="Times New Roman"/>
      </w:rPr>
      <w:instrText xml:space="preserve"> PAGE </w:instrText>
    </w:r>
    <w:r w:rsidRPr="009027D6">
      <w:rPr>
        <w:rStyle w:val="PageNumber"/>
        <w:rFonts w:ascii="Times New Roman" w:hAnsi="Times New Roman"/>
      </w:rPr>
      <w:fldChar w:fldCharType="separate"/>
    </w:r>
    <w:r>
      <w:rPr>
        <w:rStyle w:val="PageNumber"/>
        <w:rFonts w:ascii="Times New Roman" w:hAnsi="Times New Roman"/>
        <w:noProof/>
      </w:rPr>
      <w:t>10</w:t>
    </w:r>
    <w:r w:rsidRPr="009027D6">
      <w:rPr>
        <w:rStyle w:val="PageNumber"/>
        <w:rFonts w:ascii="Times New Roman" w:hAnsi="Times New Roman"/>
      </w:rPr>
      <w:fldChar w:fldCharType="end"/>
    </w:r>
  </w:p>
  <w:p w14:paraId="79BC001D" w14:textId="77777777" w:rsidR="0079200C" w:rsidRDefault="00792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0729B" w14:textId="77777777" w:rsidR="0079200C" w:rsidRDefault="0079200C">
      <w:pPr>
        <w:spacing w:after="0"/>
      </w:pPr>
      <w:r>
        <w:separator/>
      </w:r>
    </w:p>
  </w:footnote>
  <w:footnote w:type="continuationSeparator" w:id="0">
    <w:p w14:paraId="2C2DFFE8" w14:textId="77777777" w:rsidR="0079200C" w:rsidRDefault="0079200C">
      <w:pPr>
        <w:spacing w:after="0"/>
      </w:pPr>
      <w:r>
        <w:continuationSeparator/>
      </w:r>
    </w:p>
  </w:footnote>
  <w:footnote w:type="continuationNotice" w:id="1">
    <w:p w14:paraId="736B9158" w14:textId="77777777" w:rsidR="0079200C" w:rsidRDefault="0079200C">
      <w:pPr>
        <w:spacing w:after="0"/>
      </w:pPr>
    </w:p>
  </w:footnote>
  <w:footnote w:id="2">
    <w:p w14:paraId="3F884C2C" w14:textId="10C0A396" w:rsidR="0079200C" w:rsidRDefault="0079200C" w:rsidP="00615E4D">
      <w:pPr>
        <w:pStyle w:val="FootnoteText"/>
        <w:rPr>
          <w:lang w:val="en-US"/>
        </w:rPr>
      </w:pPr>
      <w:r>
        <w:rPr>
          <w:rStyle w:val="FootnoteReference"/>
        </w:rPr>
        <w:footnoteRef/>
      </w:r>
      <w:r>
        <w:t xml:space="preserve"> </w:t>
      </w:r>
      <w:r w:rsidRPr="00A93C3A">
        <w:rPr>
          <w:rFonts w:ascii="Times New Roman" w:hAnsi="Times New Roman"/>
        </w:rPr>
        <w:t xml:space="preserve">The </w:t>
      </w:r>
      <w:hyperlink r:id="rId1" w:history="1">
        <w:r w:rsidRPr="00A93C3A">
          <w:rPr>
            <w:rStyle w:val="Hyperlink"/>
            <w:rFonts w:ascii="Times New Roman" w:hAnsi="Times New Roman"/>
            <w:i/>
          </w:rPr>
          <w:t>Legislation (Deferral of Sunsetting—Telecommunications Universal Service Obligation (Standard Telephone Service—Requirements and Circumstances) Determination) Certificate 2020</w:t>
        </w:r>
      </w:hyperlink>
      <w:r w:rsidRPr="00A93C3A">
        <w:rPr>
          <w:rFonts w:ascii="Times New Roman" w:hAnsi="Times New Roman"/>
        </w:rPr>
        <w:t xml:space="preserve"> and its explanatory material provide further background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99835" w14:textId="77777777" w:rsidR="00DB41EB" w:rsidRDefault="00DB4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3AB0C" w14:textId="446C43BA" w:rsidR="0079200C" w:rsidRPr="009A367A" w:rsidRDefault="00DB41EB" w:rsidP="009A367A">
    <w:pPr>
      <w:pStyle w:val="Header"/>
      <w:jc w:val="center"/>
      <w:rPr>
        <w:rFonts w:ascii="Times New Roman" w:hAnsi="Times New Roman"/>
      </w:rPr>
    </w:pPr>
    <w:r w:rsidRPr="009A367A">
      <w:rPr>
        <w:rFonts w:ascii="Times New Roman" w:hAnsi="Times New Roman"/>
      </w:rPr>
      <w:t>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21091" w14:textId="15578BF9" w:rsidR="0079200C" w:rsidRPr="00767979" w:rsidRDefault="0079200C" w:rsidP="000A2F7D">
    <w:pPr>
      <w:pStyle w:val="Header"/>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130"/>
    <w:multiLevelType w:val="hybridMultilevel"/>
    <w:tmpl w:val="DA86EA72"/>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B60B78"/>
    <w:multiLevelType w:val="hybridMultilevel"/>
    <w:tmpl w:val="3E74543A"/>
    <w:lvl w:ilvl="0" w:tplc="AF6E88C4">
      <w:start w:val="1"/>
      <w:numFmt w:val="lowerLetter"/>
      <w:lvlText w:val="(%1)"/>
      <w:lvlJc w:val="left"/>
      <w:pPr>
        <w:ind w:left="360" w:hanging="360"/>
      </w:pPr>
      <w:rPr>
        <w:rFonts w:hint="default"/>
      </w:rPr>
    </w:lvl>
    <w:lvl w:ilvl="1" w:tplc="013EFFA6">
      <w:start w:val="1"/>
      <w:numFmt w:val="lowerRoman"/>
      <w:lvlText w:val="(%2)"/>
      <w:lvlJc w:val="left"/>
      <w:pPr>
        <w:ind w:left="1080" w:hanging="360"/>
      </w:pPr>
      <w:rPr>
        <w:rFonts w:ascii="Times New Roman" w:eastAsia="Times New Roman" w:hAnsi="Times New Roman" w:cs="Times New Roman"/>
      </w:rPr>
    </w:lvl>
    <w:lvl w:ilvl="2" w:tplc="96523F02">
      <w:start w:val="1"/>
      <w:numFmt w:val="upperLetter"/>
      <w:lvlText w:val="%3."/>
      <w:lvlJc w:val="right"/>
      <w:pPr>
        <w:ind w:left="1800" w:hanging="180"/>
      </w:pPr>
      <w:rPr>
        <w:rFonts w:ascii="Times New Roman" w:eastAsia="Times New Roman" w:hAnsi="Times New Roman" w:cs="Times New Roman"/>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5862659"/>
    <w:multiLevelType w:val="hybridMultilevel"/>
    <w:tmpl w:val="8824723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1823CF"/>
    <w:multiLevelType w:val="hybridMultilevel"/>
    <w:tmpl w:val="F7808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7561D0"/>
    <w:multiLevelType w:val="hybridMultilevel"/>
    <w:tmpl w:val="7C3C6F7C"/>
    <w:lvl w:ilvl="0" w:tplc="25C8E688">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80F3024"/>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CF4F82"/>
    <w:multiLevelType w:val="multilevel"/>
    <w:tmpl w:val="D776769E"/>
    <w:lvl w:ilvl="0">
      <w:start w:val="1"/>
      <w:numFmt w:val="lowerRoman"/>
      <w:lvlText w:val="(%1)"/>
      <w:lvlJc w:val="left"/>
      <w:pPr>
        <w:tabs>
          <w:tab w:val="left" w:pos="2064"/>
        </w:tabs>
        <w:ind w:left="1560" w:firstLine="0"/>
      </w:pPr>
      <w:rPr>
        <w:rFonts w:ascii="Times New Roman" w:eastAsia="Times New Roman" w:hAnsi="Times New Roman"/>
        <w:color w:val="000000"/>
        <w:spacing w:val="0"/>
        <w:w w:val="100"/>
        <w:sz w:val="22"/>
        <w:szCs w:val="22"/>
        <w:vertAlign w:val="baseline"/>
        <w:lang w:val="en-US"/>
      </w:rPr>
    </w:lvl>
    <w:lvl w:ilvl="1">
      <w:numFmt w:val="decimal"/>
      <w:lvlText w:val=""/>
      <w:lvlJc w:val="left"/>
      <w:pPr>
        <w:ind w:left="1560" w:firstLine="0"/>
      </w:pPr>
    </w:lvl>
    <w:lvl w:ilvl="2">
      <w:numFmt w:val="decimal"/>
      <w:lvlText w:val=""/>
      <w:lvlJc w:val="left"/>
      <w:pPr>
        <w:ind w:left="1560" w:firstLine="0"/>
      </w:pPr>
    </w:lvl>
    <w:lvl w:ilvl="3">
      <w:numFmt w:val="decimal"/>
      <w:lvlText w:val=""/>
      <w:lvlJc w:val="left"/>
      <w:pPr>
        <w:ind w:left="1560" w:firstLine="0"/>
      </w:pPr>
    </w:lvl>
    <w:lvl w:ilvl="4">
      <w:numFmt w:val="decimal"/>
      <w:lvlText w:val=""/>
      <w:lvlJc w:val="left"/>
      <w:pPr>
        <w:ind w:left="1560" w:firstLine="0"/>
      </w:pPr>
    </w:lvl>
    <w:lvl w:ilvl="5">
      <w:numFmt w:val="decimal"/>
      <w:lvlText w:val=""/>
      <w:lvlJc w:val="left"/>
      <w:pPr>
        <w:ind w:left="1560" w:firstLine="0"/>
      </w:pPr>
    </w:lvl>
    <w:lvl w:ilvl="6">
      <w:numFmt w:val="decimal"/>
      <w:lvlText w:val=""/>
      <w:lvlJc w:val="left"/>
      <w:pPr>
        <w:ind w:left="1560" w:firstLine="0"/>
      </w:pPr>
    </w:lvl>
    <w:lvl w:ilvl="7">
      <w:numFmt w:val="decimal"/>
      <w:lvlText w:val=""/>
      <w:lvlJc w:val="left"/>
      <w:pPr>
        <w:ind w:left="1560" w:firstLine="0"/>
      </w:pPr>
    </w:lvl>
    <w:lvl w:ilvl="8">
      <w:numFmt w:val="decimal"/>
      <w:lvlText w:val=""/>
      <w:lvlJc w:val="left"/>
      <w:pPr>
        <w:ind w:left="1560" w:firstLine="0"/>
      </w:pPr>
    </w:lvl>
  </w:abstractNum>
  <w:abstractNum w:abstractNumId="7" w15:restartNumberingAfterBreak="0">
    <w:nsid w:val="1B3336AF"/>
    <w:multiLevelType w:val="hybridMultilevel"/>
    <w:tmpl w:val="3D904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EB6171"/>
    <w:multiLevelType w:val="hybridMultilevel"/>
    <w:tmpl w:val="CEB81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521EC0"/>
    <w:multiLevelType w:val="hybridMultilevel"/>
    <w:tmpl w:val="CF323BFA"/>
    <w:lvl w:ilvl="0" w:tplc="66A0A50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AC3079"/>
    <w:multiLevelType w:val="hybridMultilevel"/>
    <w:tmpl w:val="A0B27A8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C606C7"/>
    <w:multiLevelType w:val="hybridMultilevel"/>
    <w:tmpl w:val="465CA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8C6EF2"/>
    <w:multiLevelType w:val="hybridMultilevel"/>
    <w:tmpl w:val="54CC7B28"/>
    <w:lvl w:ilvl="0" w:tplc="197617E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2103CAD"/>
    <w:multiLevelType w:val="hybridMultilevel"/>
    <w:tmpl w:val="6076FE9E"/>
    <w:lvl w:ilvl="0" w:tplc="8C18F97C">
      <w:start w:val="3"/>
      <w:numFmt w:val="lowerRoman"/>
      <w:lvlText w:val="(%1)"/>
      <w:lvlJc w:val="left"/>
      <w:pPr>
        <w:ind w:left="1440" w:hanging="720"/>
      </w:pPr>
      <w:rPr>
        <w:rFonts w:ascii="Times New Roman"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56C1EEF"/>
    <w:multiLevelType w:val="hybridMultilevel"/>
    <w:tmpl w:val="D68EBF2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434917"/>
    <w:multiLevelType w:val="hybridMultilevel"/>
    <w:tmpl w:val="5FD00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1C4900"/>
    <w:multiLevelType w:val="hybridMultilevel"/>
    <w:tmpl w:val="B00408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392123"/>
    <w:multiLevelType w:val="hybridMultilevel"/>
    <w:tmpl w:val="00C6268A"/>
    <w:lvl w:ilvl="0" w:tplc="013EFFA6">
      <w:start w:val="1"/>
      <w:numFmt w:val="lowerRoman"/>
      <w:lvlText w:val="(%1)"/>
      <w:lvlJc w:val="left"/>
      <w:pPr>
        <w:ind w:left="228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6A7FB0"/>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8332AB"/>
    <w:multiLevelType w:val="hybridMultilevel"/>
    <w:tmpl w:val="0932313E"/>
    <w:lvl w:ilvl="0" w:tplc="59E418AE">
      <w:start w:val="6"/>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02628D"/>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B77533B"/>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036DBD"/>
    <w:multiLevelType w:val="multilevel"/>
    <w:tmpl w:val="C688EA2E"/>
    <w:lvl w:ilvl="0">
      <w:start w:val="1"/>
      <w:numFmt w:val="lowerLetter"/>
      <w:lvlText w:val="(%1)"/>
      <w:lvlJc w:val="left"/>
      <w:pPr>
        <w:tabs>
          <w:tab w:val="left" w:pos="1566"/>
        </w:tabs>
        <w:ind w:left="1134" w:firstLine="0"/>
      </w:pPr>
      <w:rPr>
        <w:rFonts w:ascii="Times New Roman" w:eastAsia="Times New Roman" w:hAnsi="Times New Roman" w:cstheme="minorBidi"/>
        <w:color w:val="000000"/>
        <w:spacing w:val="0"/>
        <w:w w:val="100"/>
        <w:sz w:val="22"/>
        <w:szCs w:val="22"/>
        <w:vertAlign w:val="baseline"/>
        <w:lang w:val="en-US"/>
      </w:rPr>
    </w:lvl>
    <w:lvl w:ilvl="1">
      <w:numFmt w:val="decimal"/>
      <w:lvlText w:val=""/>
      <w:lvlJc w:val="left"/>
      <w:pPr>
        <w:ind w:left="1134" w:firstLine="0"/>
      </w:pPr>
    </w:lvl>
    <w:lvl w:ilvl="2">
      <w:numFmt w:val="decimal"/>
      <w:lvlText w:val=""/>
      <w:lvlJc w:val="left"/>
      <w:pPr>
        <w:ind w:left="1134" w:firstLine="0"/>
      </w:pPr>
    </w:lvl>
    <w:lvl w:ilvl="3">
      <w:numFmt w:val="decimal"/>
      <w:lvlText w:val=""/>
      <w:lvlJc w:val="left"/>
      <w:pPr>
        <w:ind w:left="1134" w:firstLine="0"/>
      </w:pPr>
    </w:lvl>
    <w:lvl w:ilvl="4">
      <w:numFmt w:val="decimal"/>
      <w:lvlText w:val=""/>
      <w:lvlJc w:val="left"/>
      <w:pPr>
        <w:ind w:left="1134" w:firstLine="0"/>
      </w:pPr>
    </w:lvl>
    <w:lvl w:ilvl="5">
      <w:numFmt w:val="decimal"/>
      <w:lvlText w:val=""/>
      <w:lvlJc w:val="left"/>
      <w:pPr>
        <w:ind w:left="1134" w:firstLine="0"/>
      </w:pPr>
    </w:lvl>
    <w:lvl w:ilvl="6">
      <w:numFmt w:val="decimal"/>
      <w:lvlText w:val=""/>
      <w:lvlJc w:val="left"/>
      <w:pPr>
        <w:ind w:left="1134" w:firstLine="0"/>
      </w:pPr>
    </w:lvl>
    <w:lvl w:ilvl="7">
      <w:numFmt w:val="decimal"/>
      <w:lvlText w:val=""/>
      <w:lvlJc w:val="left"/>
      <w:pPr>
        <w:ind w:left="1134" w:firstLine="0"/>
      </w:pPr>
    </w:lvl>
    <w:lvl w:ilvl="8">
      <w:numFmt w:val="decimal"/>
      <w:lvlText w:val=""/>
      <w:lvlJc w:val="left"/>
      <w:pPr>
        <w:ind w:left="1134" w:firstLine="0"/>
      </w:pPr>
    </w:lvl>
  </w:abstractNum>
  <w:abstractNum w:abstractNumId="23" w15:restartNumberingAfterBreak="0">
    <w:nsid w:val="51322431"/>
    <w:multiLevelType w:val="hybridMultilevel"/>
    <w:tmpl w:val="625A803C"/>
    <w:lvl w:ilvl="0" w:tplc="B9D00B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2F7408"/>
    <w:multiLevelType w:val="hybridMultilevel"/>
    <w:tmpl w:val="36C477EC"/>
    <w:lvl w:ilvl="0" w:tplc="FF4226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777EF7"/>
    <w:multiLevelType w:val="multilevel"/>
    <w:tmpl w:val="E1505FA0"/>
    <w:lvl w:ilvl="0">
      <w:start w:val="2"/>
      <w:numFmt w:val="lowerLetter"/>
      <w:lvlText w:val="(%1)"/>
      <w:lvlJc w:val="left"/>
      <w:pPr>
        <w:tabs>
          <w:tab w:val="left" w:pos="504"/>
        </w:tabs>
        <w:ind w:left="0" w:firstLine="0"/>
      </w:pPr>
      <w:rPr>
        <w:rFonts w:ascii="Times New Roman" w:eastAsia="Times New Roman" w:hAnsi="Times New Roman"/>
        <w:color w:val="000000"/>
        <w:spacing w:val="0"/>
        <w:w w:val="100"/>
        <w:sz w:val="22"/>
        <w:szCs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5B690BF5"/>
    <w:multiLevelType w:val="multilevel"/>
    <w:tmpl w:val="D0F2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0D3BB8"/>
    <w:multiLevelType w:val="hybridMultilevel"/>
    <w:tmpl w:val="DC5C5EA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235F2A"/>
    <w:multiLevelType w:val="hybridMultilevel"/>
    <w:tmpl w:val="230E4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C7382E"/>
    <w:multiLevelType w:val="hybridMultilevel"/>
    <w:tmpl w:val="FEB6199E"/>
    <w:lvl w:ilvl="0" w:tplc="435C85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62667B"/>
    <w:multiLevelType w:val="hybridMultilevel"/>
    <w:tmpl w:val="9ABA6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F516EB"/>
    <w:multiLevelType w:val="hybridMultilevel"/>
    <w:tmpl w:val="C8E46B00"/>
    <w:lvl w:ilvl="0" w:tplc="AF6E88C4">
      <w:start w:val="1"/>
      <w:numFmt w:val="lowerLetter"/>
      <w:lvlText w:val="(%1)"/>
      <w:lvlJc w:val="left"/>
      <w:pPr>
        <w:ind w:left="1025" w:hanging="360"/>
      </w:pPr>
      <w:rPr>
        <w:rFonts w:hint="default"/>
      </w:rPr>
    </w:lvl>
    <w:lvl w:ilvl="1" w:tplc="013EFFA6">
      <w:start w:val="1"/>
      <w:numFmt w:val="lowerRoman"/>
      <w:lvlText w:val="(%2)"/>
      <w:lvlJc w:val="left"/>
      <w:pPr>
        <w:ind w:left="1745" w:hanging="360"/>
      </w:pPr>
      <w:rPr>
        <w:rFonts w:ascii="Times New Roman" w:eastAsia="Times New Roman" w:hAnsi="Times New Roman" w:cs="Times New Roman"/>
      </w:rPr>
    </w:lvl>
    <w:lvl w:ilvl="2" w:tplc="96523F02">
      <w:start w:val="1"/>
      <w:numFmt w:val="upperLetter"/>
      <w:lvlText w:val="%3."/>
      <w:lvlJc w:val="right"/>
      <w:pPr>
        <w:ind w:left="2465" w:hanging="180"/>
      </w:pPr>
      <w:rPr>
        <w:rFonts w:ascii="Times New Roman" w:eastAsia="Times New Roman" w:hAnsi="Times New Roman" w:cs="Times New Roman"/>
      </w:rPr>
    </w:lvl>
    <w:lvl w:ilvl="3" w:tplc="0C09000F" w:tentative="1">
      <w:start w:val="1"/>
      <w:numFmt w:val="decimal"/>
      <w:lvlText w:val="%4."/>
      <w:lvlJc w:val="left"/>
      <w:pPr>
        <w:ind w:left="3185" w:hanging="360"/>
      </w:pPr>
    </w:lvl>
    <w:lvl w:ilvl="4" w:tplc="0C090019" w:tentative="1">
      <w:start w:val="1"/>
      <w:numFmt w:val="lowerLetter"/>
      <w:lvlText w:val="%5."/>
      <w:lvlJc w:val="left"/>
      <w:pPr>
        <w:ind w:left="3905" w:hanging="360"/>
      </w:pPr>
    </w:lvl>
    <w:lvl w:ilvl="5" w:tplc="0C09001B" w:tentative="1">
      <w:start w:val="1"/>
      <w:numFmt w:val="lowerRoman"/>
      <w:lvlText w:val="%6."/>
      <w:lvlJc w:val="right"/>
      <w:pPr>
        <w:ind w:left="4625" w:hanging="180"/>
      </w:pPr>
    </w:lvl>
    <w:lvl w:ilvl="6" w:tplc="0C09000F" w:tentative="1">
      <w:start w:val="1"/>
      <w:numFmt w:val="decimal"/>
      <w:lvlText w:val="%7."/>
      <w:lvlJc w:val="left"/>
      <w:pPr>
        <w:ind w:left="5345" w:hanging="360"/>
      </w:pPr>
    </w:lvl>
    <w:lvl w:ilvl="7" w:tplc="0C090019" w:tentative="1">
      <w:start w:val="1"/>
      <w:numFmt w:val="lowerLetter"/>
      <w:lvlText w:val="%8."/>
      <w:lvlJc w:val="left"/>
      <w:pPr>
        <w:ind w:left="6065" w:hanging="360"/>
      </w:pPr>
    </w:lvl>
    <w:lvl w:ilvl="8" w:tplc="0C09001B" w:tentative="1">
      <w:start w:val="1"/>
      <w:numFmt w:val="lowerRoman"/>
      <w:lvlText w:val="%9."/>
      <w:lvlJc w:val="right"/>
      <w:pPr>
        <w:ind w:left="6785" w:hanging="180"/>
      </w:pPr>
    </w:lvl>
  </w:abstractNum>
  <w:abstractNum w:abstractNumId="32" w15:restartNumberingAfterBreak="0">
    <w:nsid w:val="6D7D337D"/>
    <w:multiLevelType w:val="hybridMultilevel"/>
    <w:tmpl w:val="058E855A"/>
    <w:lvl w:ilvl="0" w:tplc="AF6E88C4">
      <w:start w:val="1"/>
      <w:numFmt w:val="lowerLetter"/>
      <w:lvlText w:val="(%1)"/>
      <w:lvlJc w:val="left"/>
      <w:pPr>
        <w:ind w:left="1560" w:hanging="360"/>
      </w:pPr>
      <w:rPr>
        <w:rFonts w:hint="default"/>
      </w:rPr>
    </w:lvl>
    <w:lvl w:ilvl="1" w:tplc="0C090019">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33" w15:restartNumberingAfterBreak="0">
    <w:nsid w:val="6FA71C7B"/>
    <w:multiLevelType w:val="hybridMultilevel"/>
    <w:tmpl w:val="4FA2774C"/>
    <w:lvl w:ilvl="0" w:tplc="2E54C0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5772EF"/>
    <w:multiLevelType w:val="hybridMultilevel"/>
    <w:tmpl w:val="2520A12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926BD2"/>
    <w:multiLevelType w:val="hybridMultilevel"/>
    <w:tmpl w:val="E912E93A"/>
    <w:lvl w:ilvl="0" w:tplc="4E3850F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76FA2A9F"/>
    <w:multiLevelType w:val="hybridMultilevel"/>
    <w:tmpl w:val="D68EBF2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8C56E1E"/>
    <w:multiLevelType w:val="hybridMultilevel"/>
    <w:tmpl w:val="64C8AC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23"/>
  </w:num>
  <w:num w:numId="4">
    <w:abstractNumId w:val="21"/>
  </w:num>
  <w:num w:numId="5">
    <w:abstractNumId w:val="18"/>
  </w:num>
  <w:num w:numId="6">
    <w:abstractNumId w:val="5"/>
  </w:num>
  <w:num w:numId="7">
    <w:abstractNumId w:val="20"/>
  </w:num>
  <w:num w:numId="8">
    <w:abstractNumId w:val="2"/>
  </w:num>
  <w:num w:numId="9">
    <w:abstractNumId w:val="36"/>
  </w:num>
  <w:num w:numId="10">
    <w:abstractNumId w:val="7"/>
  </w:num>
  <w:num w:numId="11">
    <w:abstractNumId w:val="34"/>
  </w:num>
  <w:num w:numId="12">
    <w:abstractNumId w:val="29"/>
  </w:num>
  <w:num w:numId="13">
    <w:abstractNumId w:val="30"/>
  </w:num>
  <w:num w:numId="14">
    <w:abstractNumId w:val="32"/>
  </w:num>
  <w:num w:numId="15">
    <w:abstractNumId w:val="31"/>
  </w:num>
  <w:num w:numId="16">
    <w:abstractNumId w:val="3"/>
  </w:num>
  <w:num w:numId="17">
    <w:abstractNumId w:val="19"/>
  </w:num>
  <w:num w:numId="18">
    <w:abstractNumId w:val="12"/>
  </w:num>
  <w:num w:numId="19">
    <w:abstractNumId w:val="4"/>
  </w:num>
  <w:num w:numId="20">
    <w:abstractNumId w:val="35"/>
  </w:num>
  <w:num w:numId="21">
    <w:abstractNumId w:val="13"/>
  </w:num>
  <w:num w:numId="22">
    <w:abstractNumId w:val="1"/>
  </w:num>
  <w:num w:numId="23">
    <w:abstractNumId w:val="17"/>
  </w:num>
  <w:num w:numId="24">
    <w:abstractNumId w:val="37"/>
  </w:num>
  <w:num w:numId="25">
    <w:abstractNumId w:val="27"/>
  </w:num>
  <w:num w:numId="26">
    <w:abstractNumId w:val="15"/>
  </w:num>
  <w:num w:numId="27">
    <w:abstractNumId w:val="33"/>
  </w:num>
  <w:num w:numId="28">
    <w:abstractNumId w:val="0"/>
  </w:num>
  <w:num w:numId="29">
    <w:abstractNumId w:val="28"/>
  </w:num>
  <w:num w:numId="30">
    <w:abstractNumId w:val="16"/>
  </w:num>
  <w:num w:numId="31">
    <w:abstractNumId w:val="26"/>
  </w:num>
  <w:num w:numId="32">
    <w:abstractNumId w:val="11"/>
  </w:num>
  <w:num w:numId="33">
    <w:abstractNumId w:val="9"/>
  </w:num>
  <w:num w:numId="34">
    <w:abstractNumId w:val="8"/>
  </w:num>
  <w:num w:numId="35">
    <w:abstractNumId w:val="25"/>
    <w:lvlOverride w:ilvl="0">
      <w:startOverride w:val="2"/>
    </w:lvlOverride>
    <w:lvlOverride w:ilvl="1"/>
    <w:lvlOverride w:ilvl="2"/>
    <w:lvlOverride w:ilvl="3"/>
    <w:lvlOverride w:ilvl="4"/>
    <w:lvlOverride w:ilvl="5"/>
    <w:lvlOverride w:ilvl="6"/>
    <w:lvlOverride w:ilvl="7"/>
    <w:lvlOverride w:ilvl="8"/>
  </w:num>
  <w:num w:numId="36">
    <w:abstractNumId w:val="24"/>
  </w:num>
  <w:num w:numId="37">
    <w:abstractNumId w:val="6"/>
    <w:lvlOverride w:ilvl="0">
      <w:startOverride w:val="1"/>
    </w:lvlOverride>
    <w:lvlOverride w:ilvl="1"/>
    <w:lvlOverride w:ilvl="2"/>
    <w:lvlOverride w:ilvl="3"/>
    <w:lvlOverride w:ilvl="4"/>
    <w:lvlOverride w:ilvl="5"/>
    <w:lvlOverride w:ilvl="6"/>
    <w:lvlOverride w:ilvl="7"/>
    <w:lvlOverride w:ilvl="8"/>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092"/>
    <w:rsid w:val="00002163"/>
    <w:rsid w:val="0000436C"/>
    <w:rsid w:val="00004635"/>
    <w:rsid w:val="00004CB5"/>
    <w:rsid w:val="000050B9"/>
    <w:rsid w:val="00006D7F"/>
    <w:rsid w:val="00012CC2"/>
    <w:rsid w:val="00014872"/>
    <w:rsid w:val="00017084"/>
    <w:rsid w:val="0002143C"/>
    <w:rsid w:val="00024670"/>
    <w:rsid w:val="0002761C"/>
    <w:rsid w:val="00030F40"/>
    <w:rsid w:val="00031C5D"/>
    <w:rsid w:val="00033908"/>
    <w:rsid w:val="0003453E"/>
    <w:rsid w:val="00035567"/>
    <w:rsid w:val="00036446"/>
    <w:rsid w:val="0003740F"/>
    <w:rsid w:val="000408A9"/>
    <w:rsid w:val="000408CF"/>
    <w:rsid w:val="00042326"/>
    <w:rsid w:val="0004396E"/>
    <w:rsid w:val="00043C5D"/>
    <w:rsid w:val="00046B29"/>
    <w:rsid w:val="0005001E"/>
    <w:rsid w:val="00052FB9"/>
    <w:rsid w:val="0005314F"/>
    <w:rsid w:val="000556EC"/>
    <w:rsid w:val="00055915"/>
    <w:rsid w:val="0005693D"/>
    <w:rsid w:val="00057861"/>
    <w:rsid w:val="00062F28"/>
    <w:rsid w:val="000630A6"/>
    <w:rsid w:val="00065374"/>
    <w:rsid w:val="00065AAA"/>
    <w:rsid w:val="00065B5F"/>
    <w:rsid w:val="00066831"/>
    <w:rsid w:val="00067C99"/>
    <w:rsid w:val="00067F33"/>
    <w:rsid w:val="0007195B"/>
    <w:rsid w:val="00071FED"/>
    <w:rsid w:val="00073851"/>
    <w:rsid w:val="0007453D"/>
    <w:rsid w:val="00075910"/>
    <w:rsid w:val="00075CF5"/>
    <w:rsid w:val="0007698C"/>
    <w:rsid w:val="00082E6F"/>
    <w:rsid w:val="000860EF"/>
    <w:rsid w:val="000864BF"/>
    <w:rsid w:val="00086703"/>
    <w:rsid w:val="000906B9"/>
    <w:rsid w:val="000968BF"/>
    <w:rsid w:val="000A0950"/>
    <w:rsid w:val="000A1521"/>
    <w:rsid w:val="000A2F7D"/>
    <w:rsid w:val="000A6E2D"/>
    <w:rsid w:val="000A77EC"/>
    <w:rsid w:val="000B10B5"/>
    <w:rsid w:val="000B18DE"/>
    <w:rsid w:val="000B2CE2"/>
    <w:rsid w:val="000B31BC"/>
    <w:rsid w:val="000B7CEF"/>
    <w:rsid w:val="000C5386"/>
    <w:rsid w:val="000D04CB"/>
    <w:rsid w:val="000D061A"/>
    <w:rsid w:val="000D091B"/>
    <w:rsid w:val="000D15DA"/>
    <w:rsid w:val="000D2E8D"/>
    <w:rsid w:val="000E07CC"/>
    <w:rsid w:val="000E0F4A"/>
    <w:rsid w:val="000E4509"/>
    <w:rsid w:val="000F163C"/>
    <w:rsid w:val="001004B5"/>
    <w:rsid w:val="00103BCB"/>
    <w:rsid w:val="00104653"/>
    <w:rsid w:val="001059DC"/>
    <w:rsid w:val="00105AFE"/>
    <w:rsid w:val="00105DCC"/>
    <w:rsid w:val="00106A13"/>
    <w:rsid w:val="00112B82"/>
    <w:rsid w:val="001133B0"/>
    <w:rsid w:val="00113A31"/>
    <w:rsid w:val="00115A53"/>
    <w:rsid w:val="00115CFE"/>
    <w:rsid w:val="00120CF7"/>
    <w:rsid w:val="00121910"/>
    <w:rsid w:val="0012349C"/>
    <w:rsid w:val="00124034"/>
    <w:rsid w:val="001247EA"/>
    <w:rsid w:val="00124826"/>
    <w:rsid w:val="00125ABC"/>
    <w:rsid w:val="001307E5"/>
    <w:rsid w:val="00133B44"/>
    <w:rsid w:val="001432C9"/>
    <w:rsid w:val="00144278"/>
    <w:rsid w:val="001451E7"/>
    <w:rsid w:val="001509C1"/>
    <w:rsid w:val="001510F5"/>
    <w:rsid w:val="001606AF"/>
    <w:rsid w:val="00162101"/>
    <w:rsid w:val="001626C5"/>
    <w:rsid w:val="00163C60"/>
    <w:rsid w:val="00164CE9"/>
    <w:rsid w:val="00164EAD"/>
    <w:rsid w:val="00165409"/>
    <w:rsid w:val="00165819"/>
    <w:rsid w:val="00166F31"/>
    <w:rsid w:val="00171812"/>
    <w:rsid w:val="0017248D"/>
    <w:rsid w:val="0017360D"/>
    <w:rsid w:val="00174A72"/>
    <w:rsid w:val="00174B0E"/>
    <w:rsid w:val="00175038"/>
    <w:rsid w:val="00177CD2"/>
    <w:rsid w:val="00180130"/>
    <w:rsid w:val="001806EB"/>
    <w:rsid w:val="001823AB"/>
    <w:rsid w:val="0018322A"/>
    <w:rsid w:val="001841F4"/>
    <w:rsid w:val="00184E13"/>
    <w:rsid w:val="001907CD"/>
    <w:rsid w:val="00191736"/>
    <w:rsid w:val="00191BAA"/>
    <w:rsid w:val="00192BBB"/>
    <w:rsid w:val="0019331D"/>
    <w:rsid w:val="001940F6"/>
    <w:rsid w:val="001A1640"/>
    <w:rsid w:val="001A1A92"/>
    <w:rsid w:val="001A3476"/>
    <w:rsid w:val="001A36D3"/>
    <w:rsid w:val="001A3C51"/>
    <w:rsid w:val="001A5AE0"/>
    <w:rsid w:val="001A628D"/>
    <w:rsid w:val="001A71E7"/>
    <w:rsid w:val="001B2FEA"/>
    <w:rsid w:val="001B32C6"/>
    <w:rsid w:val="001B57CB"/>
    <w:rsid w:val="001B7EB6"/>
    <w:rsid w:val="001C1E0E"/>
    <w:rsid w:val="001C2A7E"/>
    <w:rsid w:val="001C3688"/>
    <w:rsid w:val="001C6C75"/>
    <w:rsid w:val="001C73AD"/>
    <w:rsid w:val="001D0379"/>
    <w:rsid w:val="001D2423"/>
    <w:rsid w:val="001D39CE"/>
    <w:rsid w:val="001D3AE5"/>
    <w:rsid w:val="001D3DF3"/>
    <w:rsid w:val="001D4488"/>
    <w:rsid w:val="001D44F8"/>
    <w:rsid w:val="001E0512"/>
    <w:rsid w:val="001E0AA0"/>
    <w:rsid w:val="001E10ED"/>
    <w:rsid w:val="001E2A87"/>
    <w:rsid w:val="001E37A8"/>
    <w:rsid w:val="001E5706"/>
    <w:rsid w:val="001E7AF7"/>
    <w:rsid w:val="001F17AD"/>
    <w:rsid w:val="001F21C8"/>
    <w:rsid w:val="001F23CA"/>
    <w:rsid w:val="001F72ED"/>
    <w:rsid w:val="001F75C3"/>
    <w:rsid w:val="00200F5F"/>
    <w:rsid w:val="002023E6"/>
    <w:rsid w:val="00202F90"/>
    <w:rsid w:val="00203A2E"/>
    <w:rsid w:val="00204F36"/>
    <w:rsid w:val="0020767B"/>
    <w:rsid w:val="0021093D"/>
    <w:rsid w:val="00210AF8"/>
    <w:rsid w:val="002112E8"/>
    <w:rsid w:val="00211D55"/>
    <w:rsid w:val="002123F3"/>
    <w:rsid w:val="002147DF"/>
    <w:rsid w:val="002164D6"/>
    <w:rsid w:val="002166F3"/>
    <w:rsid w:val="002205FC"/>
    <w:rsid w:val="00222843"/>
    <w:rsid w:val="002244D0"/>
    <w:rsid w:val="002258DD"/>
    <w:rsid w:val="00225C54"/>
    <w:rsid w:val="00225E00"/>
    <w:rsid w:val="00227C70"/>
    <w:rsid w:val="00231869"/>
    <w:rsid w:val="00232AB6"/>
    <w:rsid w:val="002356B8"/>
    <w:rsid w:val="00235ADC"/>
    <w:rsid w:val="00242062"/>
    <w:rsid w:val="00242168"/>
    <w:rsid w:val="00245892"/>
    <w:rsid w:val="002471B3"/>
    <w:rsid w:val="002504E6"/>
    <w:rsid w:val="00250C17"/>
    <w:rsid w:val="0025114C"/>
    <w:rsid w:val="00253F76"/>
    <w:rsid w:val="00254065"/>
    <w:rsid w:val="002569B2"/>
    <w:rsid w:val="00256C04"/>
    <w:rsid w:val="00261B4F"/>
    <w:rsid w:val="00263563"/>
    <w:rsid w:val="00263B1E"/>
    <w:rsid w:val="00263DCB"/>
    <w:rsid w:val="00264632"/>
    <w:rsid w:val="00270EAD"/>
    <w:rsid w:val="002716CC"/>
    <w:rsid w:val="002723A6"/>
    <w:rsid w:val="00273A0F"/>
    <w:rsid w:val="00274E79"/>
    <w:rsid w:val="002763F7"/>
    <w:rsid w:val="00282A56"/>
    <w:rsid w:val="00283F84"/>
    <w:rsid w:val="00284ED6"/>
    <w:rsid w:val="00287092"/>
    <w:rsid w:val="0028738F"/>
    <w:rsid w:val="00291929"/>
    <w:rsid w:val="00292938"/>
    <w:rsid w:val="00297DD5"/>
    <w:rsid w:val="002A017B"/>
    <w:rsid w:val="002A24E8"/>
    <w:rsid w:val="002A33FD"/>
    <w:rsid w:val="002A44BC"/>
    <w:rsid w:val="002A457B"/>
    <w:rsid w:val="002A605F"/>
    <w:rsid w:val="002A7D24"/>
    <w:rsid w:val="002B0212"/>
    <w:rsid w:val="002B0A5B"/>
    <w:rsid w:val="002B24C4"/>
    <w:rsid w:val="002B2876"/>
    <w:rsid w:val="002B3522"/>
    <w:rsid w:val="002B51E6"/>
    <w:rsid w:val="002B5618"/>
    <w:rsid w:val="002B772A"/>
    <w:rsid w:val="002C3347"/>
    <w:rsid w:val="002C3594"/>
    <w:rsid w:val="002C381C"/>
    <w:rsid w:val="002C4505"/>
    <w:rsid w:val="002C46D5"/>
    <w:rsid w:val="002C6F4E"/>
    <w:rsid w:val="002D039F"/>
    <w:rsid w:val="002D5176"/>
    <w:rsid w:val="002D6C6E"/>
    <w:rsid w:val="002D706E"/>
    <w:rsid w:val="002D7DA1"/>
    <w:rsid w:val="002E1002"/>
    <w:rsid w:val="002E267B"/>
    <w:rsid w:val="002E4102"/>
    <w:rsid w:val="002E462A"/>
    <w:rsid w:val="002E4867"/>
    <w:rsid w:val="002E59FB"/>
    <w:rsid w:val="002E5C21"/>
    <w:rsid w:val="002E5C8D"/>
    <w:rsid w:val="002F2BDA"/>
    <w:rsid w:val="002F2BF6"/>
    <w:rsid w:val="002F50E1"/>
    <w:rsid w:val="002F5EE1"/>
    <w:rsid w:val="002F7F80"/>
    <w:rsid w:val="003041A2"/>
    <w:rsid w:val="00306CC6"/>
    <w:rsid w:val="00307C56"/>
    <w:rsid w:val="00307F03"/>
    <w:rsid w:val="003115E2"/>
    <w:rsid w:val="00313CCA"/>
    <w:rsid w:val="00313D71"/>
    <w:rsid w:val="003142BD"/>
    <w:rsid w:val="003143B4"/>
    <w:rsid w:val="00316C8E"/>
    <w:rsid w:val="003172B0"/>
    <w:rsid w:val="0031795D"/>
    <w:rsid w:val="00320E7B"/>
    <w:rsid w:val="00322362"/>
    <w:rsid w:val="00322899"/>
    <w:rsid w:val="003230D3"/>
    <w:rsid w:val="0032423A"/>
    <w:rsid w:val="0032456F"/>
    <w:rsid w:val="003253AB"/>
    <w:rsid w:val="00325A3B"/>
    <w:rsid w:val="00326F10"/>
    <w:rsid w:val="00326F96"/>
    <w:rsid w:val="00330163"/>
    <w:rsid w:val="00333592"/>
    <w:rsid w:val="003355A6"/>
    <w:rsid w:val="00336274"/>
    <w:rsid w:val="0034077B"/>
    <w:rsid w:val="00343DC1"/>
    <w:rsid w:val="003502FE"/>
    <w:rsid w:val="00350696"/>
    <w:rsid w:val="003514F4"/>
    <w:rsid w:val="00352002"/>
    <w:rsid w:val="0035337E"/>
    <w:rsid w:val="00356526"/>
    <w:rsid w:val="0035778E"/>
    <w:rsid w:val="00361782"/>
    <w:rsid w:val="00362558"/>
    <w:rsid w:val="00362FE1"/>
    <w:rsid w:val="00363FBC"/>
    <w:rsid w:val="00365C40"/>
    <w:rsid w:val="00365D87"/>
    <w:rsid w:val="00367531"/>
    <w:rsid w:val="00371461"/>
    <w:rsid w:val="0037363D"/>
    <w:rsid w:val="003736EF"/>
    <w:rsid w:val="00377D8F"/>
    <w:rsid w:val="0038254F"/>
    <w:rsid w:val="00383E01"/>
    <w:rsid w:val="00384FA7"/>
    <w:rsid w:val="00385E0E"/>
    <w:rsid w:val="00386A08"/>
    <w:rsid w:val="00386FF7"/>
    <w:rsid w:val="0038793C"/>
    <w:rsid w:val="0038794B"/>
    <w:rsid w:val="003913FF"/>
    <w:rsid w:val="00391733"/>
    <w:rsid w:val="00393139"/>
    <w:rsid w:val="00393BF8"/>
    <w:rsid w:val="00396CB3"/>
    <w:rsid w:val="00397604"/>
    <w:rsid w:val="003A0CFA"/>
    <w:rsid w:val="003A0EA2"/>
    <w:rsid w:val="003A1B52"/>
    <w:rsid w:val="003A2C7C"/>
    <w:rsid w:val="003A396B"/>
    <w:rsid w:val="003A4975"/>
    <w:rsid w:val="003A5D5E"/>
    <w:rsid w:val="003A634B"/>
    <w:rsid w:val="003A6C45"/>
    <w:rsid w:val="003A78CC"/>
    <w:rsid w:val="003B02A8"/>
    <w:rsid w:val="003B2874"/>
    <w:rsid w:val="003B7184"/>
    <w:rsid w:val="003C1685"/>
    <w:rsid w:val="003C2263"/>
    <w:rsid w:val="003C2DA8"/>
    <w:rsid w:val="003C332C"/>
    <w:rsid w:val="003C498B"/>
    <w:rsid w:val="003C4C96"/>
    <w:rsid w:val="003C7B14"/>
    <w:rsid w:val="003D1A55"/>
    <w:rsid w:val="003D23D2"/>
    <w:rsid w:val="003D3FF7"/>
    <w:rsid w:val="003D7998"/>
    <w:rsid w:val="003E02A4"/>
    <w:rsid w:val="003E1210"/>
    <w:rsid w:val="003E369B"/>
    <w:rsid w:val="003E3F31"/>
    <w:rsid w:val="003E41C1"/>
    <w:rsid w:val="003E74FE"/>
    <w:rsid w:val="003E7EE1"/>
    <w:rsid w:val="003F2071"/>
    <w:rsid w:val="003F5923"/>
    <w:rsid w:val="003F706E"/>
    <w:rsid w:val="00401AD7"/>
    <w:rsid w:val="00403320"/>
    <w:rsid w:val="004038FE"/>
    <w:rsid w:val="00403DDC"/>
    <w:rsid w:val="00404481"/>
    <w:rsid w:val="00405556"/>
    <w:rsid w:val="00406126"/>
    <w:rsid w:val="00410A4C"/>
    <w:rsid w:val="00410FF2"/>
    <w:rsid w:val="00412946"/>
    <w:rsid w:val="00414EB3"/>
    <w:rsid w:val="004176B7"/>
    <w:rsid w:val="004209DE"/>
    <w:rsid w:val="00421FBB"/>
    <w:rsid w:val="00422631"/>
    <w:rsid w:val="004269FE"/>
    <w:rsid w:val="00426EA0"/>
    <w:rsid w:val="00433572"/>
    <w:rsid w:val="00435470"/>
    <w:rsid w:val="00435CFC"/>
    <w:rsid w:val="0043622D"/>
    <w:rsid w:val="004400E7"/>
    <w:rsid w:val="00442BE6"/>
    <w:rsid w:val="0044404B"/>
    <w:rsid w:val="00444515"/>
    <w:rsid w:val="0044558E"/>
    <w:rsid w:val="004467FC"/>
    <w:rsid w:val="00447E74"/>
    <w:rsid w:val="00452BC1"/>
    <w:rsid w:val="00460A43"/>
    <w:rsid w:val="00461C52"/>
    <w:rsid w:val="00465BB0"/>
    <w:rsid w:val="004671BC"/>
    <w:rsid w:val="00467619"/>
    <w:rsid w:val="00470E85"/>
    <w:rsid w:val="00471B0E"/>
    <w:rsid w:val="00475C71"/>
    <w:rsid w:val="00476394"/>
    <w:rsid w:val="00476C7E"/>
    <w:rsid w:val="004819E5"/>
    <w:rsid w:val="00483BC9"/>
    <w:rsid w:val="0048418F"/>
    <w:rsid w:val="00486222"/>
    <w:rsid w:val="0048710F"/>
    <w:rsid w:val="00487640"/>
    <w:rsid w:val="00487AB1"/>
    <w:rsid w:val="004913DE"/>
    <w:rsid w:val="00491B4F"/>
    <w:rsid w:val="00492D8C"/>
    <w:rsid w:val="004933DB"/>
    <w:rsid w:val="00495859"/>
    <w:rsid w:val="004A15F0"/>
    <w:rsid w:val="004A38F9"/>
    <w:rsid w:val="004A43C8"/>
    <w:rsid w:val="004A4F56"/>
    <w:rsid w:val="004A558C"/>
    <w:rsid w:val="004A567C"/>
    <w:rsid w:val="004A69F8"/>
    <w:rsid w:val="004B0103"/>
    <w:rsid w:val="004B622D"/>
    <w:rsid w:val="004B68AC"/>
    <w:rsid w:val="004B789F"/>
    <w:rsid w:val="004C16E7"/>
    <w:rsid w:val="004C3063"/>
    <w:rsid w:val="004C4061"/>
    <w:rsid w:val="004C7DD5"/>
    <w:rsid w:val="004D159C"/>
    <w:rsid w:val="004D2628"/>
    <w:rsid w:val="004D44CF"/>
    <w:rsid w:val="004D7BAF"/>
    <w:rsid w:val="004E0FFA"/>
    <w:rsid w:val="004E345B"/>
    <w:rsid w:val="004E5A3B"/>
    <w:rsid w:val="004E711A"/>
    <w:rsid w:val="004F1A12"/>
    <w:rsid w:val="004F1B52"/>
    <w:rsid w:val="004F2551"/>
    <w:rsid w:val="004F3968"/>
    <w:rsid w:val="004F44E5"/>
    <w:rsid w:val="004F69DF"/>
    <w:rsid w:val="004F70A9"/>
    <w:rsid w:val="004F766F"/>
    <w:rsid w:val="004F7BFC"/>
    <w:rsid w:val="0050079C"/>
    <w:rsid w:val="00501F7B"/>
    <w:rsid w:val="0050224F"/>
    <w:rsid w:val="0050440A"/>
    <w:rsid w:val="005046E5"/>
    <w:rsid w:val="0050566C"/>
    <w:rsid w:val="00510031"/>
    <w:rsid w:val="00511379"/>
    <w:rsid w:val="005138A6"/>
    <w:rsid w:val="00513FE7"/>
    <w:rsid w:val="00515A21"/>
    <w:rsid w:val="005171FA"/>
    <w:rsid w:val="005226F0"/>
    <w:rsid w:val="0052363C"/>
    <w:rsid w:val="00523CD3"/>
    <w:rsid w:val="005261A2"/>
    <w:rsid w:val="00526C1F"/>
    <w:rsid w:val="00527FF5"/>
    <w:rsid w:val="005311DF"/>
    <w:rsid w:val="0053270C"/>
    <w:rsid w:val="00532EC0"/>
    <w:rsid w:val="00534B36"/>
    <w:rsid w:val="0054288A"/>
    <w:rsid w:val="00543F61"/>
    <w:rsid w:val="0054469C"/>
    <w:rsid w:val="00544E96"/>
    <w:rsid w:val="0054598B"/>
    <w:rsid w:val="00547150"/>
    <w:rsid w:val="005472B9"/>
    <w:rsid w:val="00550C19"/>
    <w:rsid w:val="0055107D"/>
    <w:rsid w:val="00552A6F"/>
    <w:rsid w:val="0055789B"/>
    <w:rsid w:val="00557B02"/>
    <w:rsid w:val="005618F1"/>
    <w:rsid w:val="00561E10"/>
    <w:rsid w:val="0056429F"/>
    <w:rsid w:val="0056578D"/>
    <w:rsid w:val="00566D73"/>
    <w:rsid w:val="0057181F"/>
    <w:rsid w:val="00574243"/>
    <w:rsid w:val="005744E8"/>
    <w:rsid w:val="00574600"/>
    <w:rsid w:val="0057508E"/>
    <w:rsid w:val="00575F52"/>
    <w:rsid w:val="00581619"/>
    <w:rsid w:val="005822AC"/>
    <w:rsid w:val="00582FE7"/>
    <w:rsid w:val="00583898"/>
    <w:rsid w:val="005849BD"/>
    <w:rsid w:val="00586EAA"/>
    <w:rsid w:val="00586FD4"/>
    <w:rsid w:val="005875F7"/>
    <w:rsid w:val="00592BCC"/>
    <w:rsid w:val="005943E5"/>
    <w:rsid w:val="005948CC"/>
    <w:rsid w:val="005955C1"/>
    <w:rsid w:val="00596EFD"/>
    <w:rsid w:val="00596FE6"/>
    <w:rsid w:val="0059791B"/>
    <w:rsid w:val="005A09D3"/>
    <w:rsid w:val="005A1112"/>
    <w:rsid w:val="005A1DB5"/>
    <w:rsid w:val="005A1F48"/>
    <w:rsid w:val="005A36C9"/>
    <w:rsid w:val="005A47DE"/>
    <w:rsid w:val="005A4FA6"/>
    <w:rsid w:val="005B1834"/>
    <w:rsid w:val="005B21E6"/>
    <w:rsid w:val="005B2C9F"/>
    <w:rsid w:val="005B321E"/>
    <w:rsid w:val="005B366E"/>
    <w:rsid w:val="005B4DAA"/>
    <w:rsid w:val="005C2177"/>
    <w:rsid w:val="005C31EB"/>
    <w:rsid w:val="005C3D21"/>
    <w:rsid w:val="005C7C61"/>
    <w:rsid w:val="005D0295"/>
    <w:rsid w:val="005D1482"/>
    <w:rsid w:val="005D1A0B"/>
    <w:rsid w:val="005D1F44"/>
    <w:rsid w:val="005D1F6A"/>
    <w:rsid w:val="005D2652"/>
    <w:rsid w:val="005D2F8B"/>
    <w:rsid w:val="005D7720"/>
    <w:rsid w:val="005D7A0E"/>
    <w:rsid w:val="005E05F1"/>
    <w:rsid w:val="005E0CC4"/>
    <w:rsid w:val="005E4DCF"/>
    <w:rsid w:val="005F06E6"/>
    <w:rsid w:val="005F20D4"/>
    <w:rsid w:val="005F28C2"/>
    <w:rsid w:val="005F301E"/>
    <w:rsid w:val="005F5BFD"/>
    <w:rsid w:val="00602BFE"/>
    <w:rsid w:val="00603241"/>
    <w:rsid w:val="00603689"/>
    <w:rsid w:val="00603C32"/>
    <w:rsid w:val="00604A3F"/>
    <w:rsid w:val="00610142"/>
    <w:rsid w:val="006103EE"/>
    <w:rsid w:val="00610FA6"/>
    <w:rsid w:val="006114F6"/>
    <w:rsid w:val="00611BD0"/>
    <w:rsid w:val="0061209F"/>
    <w:rsid w:val="00613DDB"/>
    <w:rsid w:val="006154B6"/>
    <w:rsid w:val="00615E4D"/>
    <w:rsid w:val="006161B9"/>
    <w:rsid w:val="0061645C"/>
    <w:rsid w:val="00616FB0"/>
    <w:rsid w:val="006201C7"/>
    <w:rsid w:val="00620B7C"/>
    <w:rsid w:val="006229B0"/>
    <w:rsid w:val="00622AA2"/>
    <w:rsid w:val="0062498D"/>
    <w:rsid w:val="00625859"/>
    <w:rsid w:val="0062782D"/>
    <w:rsid w:val="00627E24"/>
    <w:rsid w:val="00633C2F"/>
    <w:rsid w:val="006340CC"/>
    <w:rsid w:val="00634935"/>
    <w:rsid w:val="00635AB8"/>
    <w:rsid w:val="00635B8F"/>
    <w:rsid w:val="0063620B"/>
    <w:rsid w:val="00640197"/>
    <w:rsid w:val="006407B9"/>
    <w:rsid w:val="00641225"/>
    <w:rsid w:val="0064280F"/>
    <w:rsid w:val="00642F0E"/>
    <w:rsid w:val="00643572"/>
    <w:rsid w:val="00644640"/>
    <w:rsid w:val="00651207"/>
    <w:rsid w:val="006516A4"/>
    <w:rsid w:val="00651EED"/>
    <w:rsid w:val="00652786"/>
    <w:rsid w:val="00653D55"/>
    <w:rsid w:val="00654E0D"/>
    <w:rsid w:val="00660254"/>
    <w:rsid w:val="00660290"/>
    <w:rsid w:val="00664A18"/>
    <w:rsid w:val="0066786D"/>
    <w:rsid w:val="00667ED6"/>
    <w:rsid w:val="006716FD"/>
    <w:rsid w:val="0067402A"/>
    <w:rsid w:val="00677AA8"/>
    <w:rsid w:val="0068077E"/>
    <w:rsid w:val="00680B8C"/>
    <w:rsid w:val="0068261C"/>
    <w:rsid w:val="00682A96"/>
    <w:rsid w:val="00683B78"/>
    <w:rsid w:val="00684187"/>
    <w:rsid w:val="006849FF"/>
    <w:rsid w:val="00684DA3"/>
    <w:rsid w:val="00685003"/>
    <w:rsid w:val="006850C4"/>
    <w:rsid w:val="00685909"/>
    <w:rsid w:val="00691AE4"/>
    <w:rsid w:val="00691FAD"/>
    <w:rsid w:val="00692D4C"/>
    <w:rsid w:val="00693061"/>
    <w:rsid w:val="006930A4"/>
    <w:rsid w:val="0069312B"/>
    <w:rsid w:val="006A037F"/>
    <w:rsid w:val="006A076A"/>
    <w:rsid w:val="006A349F"/>
    <w:rsid w:val="006A4288"/>
    <w:rsid w:val="006A526D"/>
    <w:rsid w:val="006A5B40"/>
    <w:rsid w:val="006A688A"/>
    <w:rsid w:val="006A7E87"/>
    <w:rsid w:val="006B10E3"/>
    <w:rsid w:val="006B1260"/>
    <w:rsid w:val="006B157D"/>
    <w:rsid w:val="006B1763"/>
    <w:rsid w:val="006B2FA5"/>
    <w:rsid w:val="006B3F93"/>
    <w:rsid w:val="006B49AC"/>
    <w:rsid w:val="006B5AEC"/>
    <w:rsid w:val="006B5C8A"/>
    <w:rsid w:val="006B6AAC"/>
    <w:rsid w:val="006B6B79"/>
    <w:rsid w:val="006C319E"/>
    <w:rsid w:val="006C4964"/>
    <w:rsid w:val="006C4C26"/>
    <w:rsid w:val="006C5067"/>
    <w:rsid w:val="006C5868"/>
    <w:rsid w:val="006C5C49"/>
    <w:rsid w:val="006C76CA"/>
    <w:rsid w:val="006D1E7D"/>
    <w:rsid w:val="006D355D"/>
    <w:rsid w:val="006D3A20"/>
    <w:rsid w:val="006D3F0B"/>
    <w:rsid w:val="006D4C19"/>
    <w:rsid w:val="006D4F2B"/>
    <w:rsid w:val="006D6312"/>
    <w:rsid w:val="006D6F41"/>
    <w:rsid w:val="006E506F"/>
    <w:rsid w:val="006E6C66"/>
    <w:rsid w:val="006F0571"/>
    <w:rsid w:val="006F63CD"/>
    <w:rsid w:val="006F6C1E"/>
    <w:rsid w:val="00701BE6"/>
    <w:rsid w:val="007049EF"/>
    <w:rsid w:val="00705F22"/>
    <w:rsid w:val="0070628E"/>
    <w:rsid w:val="007063F3"/>
    <w:rsid w:val="00710042"/>
    <w:rsid w:val="007112EB"/>
    <w:rsid w:val="0071215C"/>
    <w:rsid w:val="00713ECB"/>
    <w:rsid w:val="00716740"/>
    <w:rsid w:val="00716FF8"/>
    <w:rsid w:val="007179AF"/>
    <w:rsid w:val="00720247"/>
    <w:rsid w:val="00720B36"/>
    <w:rsid w:val="00722416"/>
    <w:rsid w:val="007242E5"/>
    <w:rsid w:val="00724B0E"/>
    <w:rsid w:val="0072522C"/>
    <w:rsid w:val="0072522F"/>
    <w:rsid w:val="00727154"/>
    <w:rsid w:val="007305A9"/>
    <w:rsid w:val="0073270D"/>
    <w:rsid w:val="00732A2B"/>
    <w:rsid w:val="00733B8B"/>
    <w:rsid w:val="0073557C"/>
    <w:rsid w:val="00735EDF"/>
    <w:rsid w:val="00736EAE"/>
    <w:rsid w:val="00737A40"/>
    <w:rsid w:val="00740029"/>
    <w:rsid w:val="00741888"/>
    <w:rsid w:val="00743FEE"/>
    <w:rsid w:val="00745F94"/>
    <w:rsid w:val="00746066"/>
    <w:rsid w:val="00746FD5"/>
    <w:rsid w:val="00747B81"/>
    <w:rsid w:val="0075284B"/>
    <w:rsid w:val="0075336C"/>
    <w:rsid w:val="00753E1C"/>
    <w:rsid w:val="00754F53"/>
    <w:rsid w:val="00755237"/>
    <w:rsid w:val="007552EB"/>
    <w:rsid w:val="00761039"/>
    <w:rsid w:val="00761663"/>
    <w:rsid w:val="00763BBF"/>
    <w:rsid w:val="00763BF6"/>
    <w:rsid w:val="00763F1B"/>
    <w:rsid w:val="00765CF5"/>
    <w:rsid w:val="00765D01"/>
    <w:rsid w:val="00765D64"/>
    <w:rsid w:val="00766EE0"/>
    <w:rsid w:val="00766F5F"/>
    <w:rsid w:val="0076721B"/>
    <w:rsid w:val="00767979"/>
    <w:rsid w:val="00770F4C"/>
    <w:rsid w:val="0077247C"/>
    <w:rsid w:val="00773171"/>
    <w:rsid w:val="00773AEF"/>
    <w:rsid w:val="00777874"/>
    <w:rsid w:val="00777922"/>
    <w:rsid w:val="00784DFD"/>
    <w:rsid w:val="00785835"/>
    <w:rsid w:val="00786E6D"/>
    <w:rsid w:val="0079200C"/>
    <w:rsid w:val="00792AD5"/>
    <w:rsid w:val="00792D98"/>
    <w:rsid w:val="00793387"/>
    <w:rsid w:val="0079527C"/>
    <w:rsid w:val="007A1FCC"/>
    <w:rsid w:val="007A44D1"/>
    <w:rsid w:val="007A6EE1"/>
    <w:rsid w:val="007B130E"/>
    <w:rsid w:val="007B1F26"/>
    <w:rsid w:val="007B23F8"/>
    <w:rsid w:val="007B3CED"/>
    <w:rsid w:val="007B5AE0"/>
    <w:rsid w:val="007C1639"/>
    <w:rsid w:val="007C1DD1"/>
    <w:rsid w:val="007D0821"/>
    <w:rsid w:val="007D0A6F"/>
    <w:rsid w:val="007D15BD"/>
    <w:rsid w:val="007D290E"/>
    <w:rsid w:val="007D3176"/>
    <w:rsid w:val="007D4F1A"/>
    <w:rsid w:val="007D534F"/>
    <w:rsid w:val="007D5BBF"/>
    <w:rsid w:val="007E081C"/>
    <w:rsid w:val="007E1668"/>
    <w:rsid w:val="007E41F2"/>
    <w:rsid w:val="007E4B5F"/>
    <w:rsid w:val="007E6EB5"/>
    <w:rsid w:val="007E6F15"/>
    <w:rsid w:val="007F2E2F"/>
    <w:rsid w:val="007F300D"/>
    <w:rsid w:val="007F347B"/>
    <w:rsid w:val="007F4AE9"/>
    <w:rsid w:val="007F59A0"/>
    <w:rsid w:val="007F5E20"/>
    <w:rsid w:val="007F61C5"/>
    <w:rsid w:val="007F74A0"/>
    <w:rsid w:val="00800E7C"/>
    <w:rsid w:val="0080261E"/>
    <w:rsid w:val="00802966"/>
    <w:rsid w:val="00803C08"/>
    <w:rsid w:val="00804A6E"/>
    <w:rsid w:val="00807174"/>
    <w:rsid w:val="00811F67"/>
    <w:rsid w:val="00812A3B"/>
    <w:rsid w:val="008146AD"/>
    <w:rsid w:val="00814FED"/>
    <w:rsid w:val="008162A4"/>
    <w:rsid w:val="00817FAC"/>
    <w:rsid w:val="00820DCE"/>
    <w:rsid w:val="008253F5"/>
    <w:rsid w:val="008279BD"/>
    <w:rsid w:val="00827C0F"/>
    <w:rsid w:val="00830197"/>
    <w:rsid w:val="00831101"/>
    <w:rsid w:val="0083188C"/>
    <w:rsid w:val="00831C54"/>
    <w:rsid w:val="0083383A"/>
    <w:rsid w:val="00833E5E"/>
    <w:rsid w:val="00833EB7"/>
    <w:rsid w:val="0083402C"/>
    <w:rsid w:val="008362CA"/>
    <w:rsid w:val="00836E65"/>
    <w:rsid w:val="00840024"/>
    <w:rsid w:val="008430F9"/>
    <w:rsid w:val="00843650"/>
    <w:rsid w:val="00847325"/>
    <w:rsid w:val="00847F94"/>
    <w:rsid w:val="00852102"/>
    <w:rsid w:val="0085436D"/>
    <w:rsid w:val="00854755"/>
    <w:rsid w:val="00854AF3"/>
    <w:rsid w:val="008558D2"/>
    <w:rsid w:val="008579D6"/>
    <w:rsid w:val="008669FF"/>
    <w:rsid w:val="00866F0F"/>
    <w:rsid w:val="00867931"/>
    <w:rsid w:val="00871C1E"/>
    <w:rsid w:val="00873E5A"/>
    <w:rsid w:val="008753C4"/>
    <w:rsid w:val="00875F8D"/>
    <w:rsid w:val="00876588"/>
    <w:rsid w:val="00885297"/>
    <w:rsid w:val="00885972"/>
    <w:rsid w:val="00890B88"/>
    <w:rsid w:val="00892095"/>
    <w:rsid w:val="00893A8B"/>
    <w:rsid w:val="00894AA8"/>
    <w:rsid w:val="00894CA6"/>
    <w:rsid w:val="008957D4"/>
    <w:rsid w:val="0089601F"/>
    <w:rsid w:val="00897BC7"/>
    <w:rsid w:val="008A1F3C"/>
    <w:rsid w:val="008A3CEF"/>
    <w:rsid w:val="008A47C1"/>
    <w:rsid w:val="008A5785"/>
    <w:rsid w:val="008A5FF1"/>
    <w:rsid w:val="008A614D"/>
    <w:rsid w:val="008A62A4"/>
    <w:rsid w:val="008A719C"/>
    <w:rsid w:val="008A77A6"/>
    <w:rsid w:val="008B03DD"/>
    <w:rsid w:val="008B0477"/>
    <w:rsid w:val="008B15F5"/>
    <w:rsid w:val="008B2448"/>
    <w:rsid w:val="008B3FB3"/>
    <w:rsid w:val="008B4F12"/>
    <w:rsid w:val="008C0173"/>
    <w:rsid w:val="008C23AE"/>
    <w:rsid w:val="008C4A38"/>
    <w:rsid w:val="008C4BB8"/>
    <w:rsid w:val="008C51D2"/>
    <w:rsid w:val="008C5A9B"/>
    <w:rsid w:val="008C6013"/>
    <w:rsid w:val="008C7B34"/>
    <w:rsid w:val="008D01DE"/>
    <w:rsid w:val="008D0F7F"/>
    <w:rsid w:val="008D2A40"/>
    <w:rsid w:val="008D3F8D"/>
    <w:rsid w:val="008D4FCE"/>
    <w:rsid w:val="008D6F5C"/>
    <w:rsid w:val="008D7957"/>
    <w:rsid w:val="008E07A0"/>
    <w:rsid w:val="008E0B7E"/>
    <w:rsid w:val="008E212B"/>
    <w:rsid w:val="008E34EF"/>
    <w:rsid w:val="008E377E"/>
    <w:rsid w:val="008E5F65"/>
    <w:rsid w:val="008E74ED"/>
    <w:rsid w:val="008F1E07"/>
    <w:rsid w:val="008F6317"/>
    <w:rsid w:val="008F6FD3"/>
    <w:rsid w:val="009012FE"/>
    <w:rsid w:val="00901501"/>
    <w:rsid w:val="009024F7"/>
    <w:rsid w:val="009034E0"/>
    <w:rsid w:val="0090426D"/>
    <w:rsid w:val="00906360"/>
    <w:rsid w:val="009065B3"/>
    <w:rsid w:val="00906DC4"/>
    <w:rsid w:val="00907999"/>
    <w:rsid w:val="00916A9A"/>
    <w:rsid w:val="0091740B"/>
    <w:rsid w:val="00922DBC"/>
    <w:rsid w:val="00923AC3"/>
    <w:rsid w:val="009255A1"/>
    <w:rsid w:val="00926488"/>
    <w:rsid w:val="00932CBA"/>
    <w:rsid w:val="00933C05"/>
    <w:rsid w:val="009342BA"/>
    <w:rsid w:val="00940E93"/>
    <w:rsid w:val="00941734"/>
    <w:rsid w:val="009426D1"/>
    <w:rsid w:val="00943D42"/>
    <w:rsid w:val="00944551"/>
    <w:rsid w:val="00944BBC"/>
    <w:rsid w:val="009457E3"/>
    <w:rsid w:val="0094689B"/>
    <w:rsid w:val="00951950"/>
    <w:rsid w:val="00951A24"/>
    <w:rsid w:val="0095290F"/>
    <w:rsid w:val="00952A3E"/>
    <w:rsid w:val="00953408"/>
    <w:rsid w:val="0095424E"/>
    <w:rsid w:val="00954669"/>
    <w:rsid w:val="009558A4"/>
    <w:rsid w:val="00955E2B"/>
    <w:rsid w:val="00956C87"/>
    <w:rsid w:val="00957241"/>
    <w:rsid w:val="009672BF"/>
    <w:rsid w:val="00967E8B"/>
    <w:rsid w:val="0097376E"/>
    <w:rsid w:val="00973B7D"/>
    <w:rsid w:val="009746FE"/>
    <w:rsid w:val="00975974"/>
    <w:rsid w:val="009765B2"/>
    <w:rsid w:val="009765D7"/>
    <w:rsid w:val="009816FE"/>
    <w:rsid w:val="00981EE7"/>
    <w:rsid w:val="00982AE6"/>
    <w:rsid w:val="00985B61"/>
    <w:rsid w:val="00987634"/>
    <w:rsid w:val="00991DC6"/>
    <w:rsid w:val="009938CC"/>
    <w:rsid w:val="00994DAF"/>
    <w:rsid w:val="0099586F"/>
    <w:rsid w:val="00995E29"/>
    <w:rsid w:val="009A035B"/>
    <w:rsid w:val="009A15E4"/>
    <w:rsid w:val="009A27D2"/>
    <w:rsid w:val="009A367A"/>
    <w:rsid w:val="009A4714"/>
    <w:rsid w:val="009A4F8A"/>
    <w:rsid w:val="009B2A3F"/>
    <w:rsid w:val="009B3B28"/>
    <w:rsid w:val="009B5C08"/>
    <w:rsid w:val="009B6400"/>
    <w:rsid w:val="009B6903"/>
    <w:rsid w:val="009B6BDE"/>
    <w:rsid w:val="009C0D38"/>
    <w:rsid w:val="009C0EE0"/>
    <w:rsid w:val="009C1260"/>
    <w:rsid w:val="009C1D23"/>
    <w:rsid w:val="009C1ED6"/>
    <w:rsid w:val="009C2B01"/>
    <w:rsid w:val="009C5A85"/>
    <w:rsid w:val="009C6232"/>
    <w:rsid w:val="009C71A8"/>
    <w:rsid w:val="009C724E"/>
    <w:rsid w:val="009D0717"/>
    <w:rsid w:val="009D0FF9"/>
    <w:rsid w:val="009D1EA7"/>
    <w:rsid w:val="009D4F7D"/>
    <w:rsid w:val="009D6775"/>
    <w:rsid w:val="009E0ECA"/>
    <w:rsid w:val="009E2DB4"/>
    <w:rsid w:val="009E2F23"/>
    <w:rsid w:val="009E487C"/>
    <w:rsid w:val="009E4FC1"/>
    <w:rsid w:val="009E672F"/>
    <w:rsid w:val="009E7301"/>
    <w:rsid w:val="009E7EE6"/>
    <w:rsid w:val="009F0B25"/>
    <w:rsid w:val="009F24E7"/>
    <w:rsid w:val="009F4DB7"/>
    <w:rsid w:val="00A00E7B"/>
    <w:rsid w:val="00A037FE"/>
    <w:rsid w:val="00A04C83"/>
    <w:rsid w:val="00A0736B"/>
    <w:rsid w:val="00A0759B"/>
    <w:rsid w:val="00A10C7A"/>
    <w:rsid w:val="00A10E3D"/>
    <w:rsid w:val="00A11086"/>
    <w:rsid w:val="00A14BBD"/>
    <w:rsid w:val="00A21DB3"/>
    <w:rsid w:val="00A23E8E"/>
    <w:rsid w:val="00A240D1"/>
    <w:rsid w:val="00A24F29"/>
    <w:rsid w:val="00A3071A"/>
    <w:rsid w:val="00A30822"/>
    <w:rsid w:val="00A311CB"/>
    <w:rsid w:val="00A31309"/>
    <w:rsid w:val="00A318D2"/>
    <w:rsid w:val="00A33735"/>
    <w:rsid w:val="00A34A98"/>
    <w:rsid w:val="00A413E5"/>
    <w:rsid w:val="00A41667"/>
    <w:rsid w:val="00A4334A"/>
    <w:rsid w:val="00A44FB1"/>
    <w:rsid w:val="00A4515D"/>
    <w:rsid w:val="00A4798E"/>
    <w:rsid w:val="00A50FFA"/>
    <w:rsid w:val="00A5219F"/>
    <w:rsid w:val="00A5414E"/>
    <w:rsid w:val="00A64071"/>
    <w:rsid w:val="00A67611"/>
    <w:rsid w:val="00A67A9A"/>
    <w:rsid w:val="00A67BD3"/>
    <w:rsid w:val="00A67FF7"/>
    <w:rsid w:val="00A70198"/>
    <w:rsid w:val="00A74311"/>
    <w:rsid w:val="00A75A82"/>
    <w:rsid w:val="00A76733"/>
    <w:rsid w:val="00A7768A"/>
    <w:rsid w:val="00A825C6"/>
    <w:rsid w:val="00A82C64"/>
    <w:rsid w:val="00A8382C"/>
    <w:rsid w:val="00A8588A"/>
    <w:rsid w:val="00A87D5A"/>
    <w:rsid w:val="00A91F32"/>
    <w:rsid w:val="00A93C3A"/>
    <w:rsid w:val="00A947A7"/>
    <w:rsid w:val="00A973CE"/>
    <w:rsid w:val="00AA0D6F"/>
    <w:rsid w:val="00AA0DC5"/>
    <w:rsid w:val="00AA19FB"/>
    <w:rsid w:val="00AA252B"/>
    <w:rsid w:val="00AA3CBE"/>
    <w:rsid w:val="00AA6172"/>
    <w:rsid w:val="00AB074F"/>
    <w:rsid w:val="00AB0877"/>
    <w:rsid w:val="00AB1ABA"/>
    <w:rsid w:val="00AB2FE6"/>
    <w:rsid w:val="00AB5694"/>
    <w:rsid w:val="00AB6EED"/>
    <w:rsid w:val="00AC067C"/>
    <w:rsid w:val="00AC382E"/>
    <w:rsid w:val="00AC561C"/>
    <w:rsid w:val="00AD06B4"/>
    <w:rsid w:val="00AD08B2"/>
    <w:rsid w:val="00AD12DD"/>
    <w:rsid w:val="00AD1A19"/>
    <w:rsid w:val="00AD273D"/>
    <w:rsid w:val="00AD6358"/>
    <w:rsid w:val="00AD64E2"/>
    <w:rsid w:val="00AD6ECF"/>
    <w:rsid w:val="00AE2256"/>
    <w:rsid w:val="00AE2CE3"/>
    <w:rsid w:val="00AE4827"/>
    <w:rsid w:val="00AE4DCE"/>
    <w:rsid w:val="00AE515E"/>
    <w:rsid w:val="00AE55BA"/>
    <w:rsid w:val="00AE5F24"/>
    <w:rsid w:val="00AF1285"/>
    <w:rsid w:val="00AF19C5"/>
    <w:rsid w:val="00AF1EBB"/>
    <w:rsid w:val="00AF2F47"/>
    <w:rsid w:val="00AF4154"/>
    <w:rsid w:val="00AF5457"/>
    <w:rsid w:val="00AF5C83"/>
    <w:rsid w:val="00AF7C22"/>
    <w:rsid w:val="00AF7DF1"/>
    <w:rsid w:val="00B00977"/>
    <w:rsid w:val="00B00CCE"/>
    <w:rsid w:val="00B00CE0"/>
    <w:rsid w:val="00B0151A"/>
    <w:rsid w:val="00B043B9"/>
    <w:rsid w:val="00B122AD"/>
    <w:rsid w:val="00B12653"/>
    <w:rsid w:val="00B133E7"/>
    <w:rsid w:val="00B15391"/>
    <w:rsid w:val="00B201AE"/>
    <w:rsid w:val="00B2236E"/>
    <w:rsid w:val="00B24CA1"/>
    <w:rsid w:val="00B27070"/>
    <w:rsid w:val="00B27A19"/>
    <w:rsid w:val="00B30359"/>
    <w:rsid w:val="00B31D7F"/>
    <w:rsid w:val="00B3346E"/>
    <w:rsid w:val="00B33A9E"/>
    <w:rsid w:val="00B340EF"/>
    <w:rsid w:val="00B34FC5"/>
    <w:rsid w:val="00B36C33"/>
    <w:rsid w:val="00B4053C"/>
    <w:rsid w:val="00B40B0E"/>
    <w:rsid w:val="00B421AF"/>
    <w:rsid w:val="00B43160"/>
    <w:rsid w:val="00B446AF"/>
    <w:rsid w:val="00B44E99"/>
    <w:rsid w:val="00B460B0"/>
    <w:rsid w:val="00B503C2"/>
    <w:rsid w:val="00B513E3"/>
    <w:rsid w:val="00B51E22"/>
    <w:rsid w:val="00B5377F"/>
    <w:rsid w:val="00B55323"/>
    <w:rsid w:val="00B6231B"/>
    <w:rsid w:val="00B62F02"/>
    <w:rsid w:val="00B639AA"/>
    <w:rsid w:val="00B64C67"/>
    <w:rsid w:val="00B66465"/>
    <w:rsid w:val="00B70469"/>
    <w:rsid w:val="00B707F4"/>
    <w:rsid w:val="00B7122F"/>
    <w:rsid w:val="00B7486F"/>
    <w:rsid w:val="00B75593"/>
    <w:rsid w:val="00B75BC2"/>
    <w:rsid w:val="00B80897"/>
    <w:rsid w:val="00B80E50"/>
    <w:rsid w:val="00B82C4E"/>
    <w:rsid w:val="00B858CA"/>
    <w:rsid w:val="00B86C0E"/>
    <w:rsid w:val="00B87185"/>
    <w:rsid w:val="00B87AE2"/>
    <w:rsid w:val="00B90776"/>
    <w:rsid w:val="00B91E72"/>
    <w:rsid w:val="00B93EBB"/>
    <w:rsid w:val="00B93F9F"/>
    <w:rsid w:val="00B96FEE"/>
    <w:rsid w:val="00BA2DA8"/>
    <w:rsid w:val="00BA326A"/>
    <w:rsid w:val="00BA54DC"/>
    <w:rsid w:val="00BA6AF9"/>
    <w:rsid w:val="00BA7D71"/>
    <w:rsid w:val="00BB1FB6"/>
    <w:rsid w:val="00BB2ACF"/>
    <w:rsid w:val="00BB3652"/>
    <w:rsid w:val="00BB371B"/>
    <w:rsid w:val="00BB71F6"/>
    <w:rsid w:val="00BB74CC"/>
    <w:rsid w:val="00BB7AF7"/>
    <w:rsid w:val="00BC0197"/>
    <w:rsid w:val="00BC055D"/>
    <w:rsid w:val="00BC2086"/>
    <w:rsid w:val="00BC285B"/>
    <w:rsid w:val="00BC4D17"/>
    <w:rsid w:val="00BC5406"/>
    <w:rsid w:val="00BC5D70"/>
    <w:rsid w:val="00BC636B"/>
    <w:rsid w:val="00BC6ED1"/>
    <w:rsid w:val="00BD0582"/>
    <w:rsid w:val="00BD12CB"/>
    <w:rsid w:val="00BD1C55"/>
    <w:rsid w:val="00BD2104"/>
    <w:rsid w:val="00BD2BB8"/>
    <w:rsid w:val="00BD352C"/>
    <w:rsid w:val="00BD3694"/>
    <w:rsid w:val="00BD38BE"/>
    <w:rsid w:val="00BD582C"/>
    <w:rsid w:val="00BD6E9D"/>
    <w:rsid w:val="00BD77D5"/>
    <w:rsid w:val="00BD7D59"/>
    <w:rsid w:val="00BE1CB6"/>
    <w:rsid w:val="00BE2A8C"/>
    <w:rsid w:val="00BE5D0D"/>
    <w:rsid w:val="00BE6AEE"/>
    <w:rsid w:val="00BF0A36"/>
    <w:rsid w:val="00BF144D"/>
    <w:rsid w:val="00BF17FB"/>
    <w:rsid w:val="00BF1D5F"/>
    <w:rsid w:val="00BF3F48"/>
    <w:rsid w:val="00BF4FBE"/>
    <w:rsid w:val="00BF6B5B"/>
    <w:rsid w:val="00BF7732"/>
    <w:rsid w:val="00BF7FF3"/>
    <w:rsid w:val="00C003E3"/>
    <w:rsid w:val="00C00E12"/>
    <w:rsid w:val="00C01B23"/>
    <w:rsid w:val="00C0343F"/>
    <w:rsid w:val="00C038E3"/>
    <w:rsid w:val="00C0422D"/>
    <w:rsid w:val="00C061E7"/>
    <w:rsid w:val="00C069F4"/>
    <w:rsid w:val="00C1069C"/>
    <w:rsid w:val="00C11065"/>
    <w:rsid w:val="00C12176"/>
    <w:rsid w:val="00C12949"/>
    <w:rsid w:val="00C12F88"/>
    <w:rsid w:val="00C142C7"/>
    <w:rsid w:val="00C151F8"/>
    <w:rsid w:val="00C1791D"/>
    <w:rsid w:val="00C20A10"/>
    <w:rsid w:val="00C20E6C"/>
    <w:rsid w:val="00C22150"/>
    <w:rsid w:val="00C25984"/>
    <w:rsid w:val="00C264A5"/>
    <w:rsid w:val="00C3279E"/>
    <w:rsid w:val="00C328E4"/>
    <w:rsid w:val="00C32C8F"/>
    <w:rsid w:val="00C3659A"/>
    <w:rsid w:val="00C37177"/>
    <w:rsid w:val="00C4046C"/>
    <w:rsid w:val="00C41859"/>
    <w:rsid w:val="00C43683"/>
    <w:rsid w:val="00C44E93"/>
    <w:rsid w:val="00C451B2"/>
    <w:rsid w:val="00C4600F"/>
    <w:rsid w:val="00C4783D"/>
    <w:rsid w:val="00C502B4"/>
    <w:rsid w:val="00C514B3"/>
    <w:rsid w:val="00C55B7A"/>
    <w:rsid w:val="00C64370"/>
    <w:rsid w:val="00C65305"/>
    <w:rsid w:val="00C70313"/>
    <w:rsid w:val="00C72035"/>
    <w:rsid w:val="00C72119"/>
    <w:rsid w:val="00C72F56"/>
    <w:rsid w:val="00C740DD"/>
    <w:rsid w:val="00C74A1F"/>
    <w:rsid w:val="00C759AA"/>
    <w:rsid w:val="00C769EC"/>
    <w:rsid w:val="00C8141D"/>
    <w:rsid w:val="00C81DAB"/>
    <w:rsid w:val="00C85578"/>
    <w:rsid w:val="00C8592C"/>
    <w:rsid w:val="00C85E12"/>
    <w:rsid w:val="00C87E77"/>
    <w:rsid w:val="00C937C9"/>
    <w:rsid w:val="00C94E0A"/>
    <w:rsid w:val="00C9554D"/>
    <w:rsid w:val="00CA0B3F"/>
    <w:rsid w:val="00CA1AB6"/>
    <w:rsid w:val="00CA4FC5"/>
    <w:rsid w:val="00CA74AD"/>
    <w:rsid w:val="00CB045B"/>
    <w:rsid w:val="00CB16F1"/>
    <w:rsid w:val="00CB28EC"/>
    <w:rsid w:val="00CB2E36"/>
    <w:rsid w:val="00CB3110"/>
    <w:rsid w:val="00CB3209"/>
    <w:rsid w:val="00CB4814"/>
    <w:rsid w:val="00CB568B"/>
    <w:rsid w:val="00CB5AF3"/>
    <w:rsid w:val="00CB675C"/>
    <w:rsid w:val="00CB6843"/>
    <w:rsid w:val="00CC4E93"/>
    <w:rsid w:val="00CC657E"/>
    <w:rsid w:val="00CC6C95"/>
    <w:rsid w:val="00CC6D4A"/>
    <w:rsid w:val="00CC6D7D"/>
    <w:rsid w:val="00CC71E1"/>
    <w:rsid w:val="00CD0676"/>
    <w:rsid w:val="00CD27B1"/>
    <w:rsid w:val="00CD2D7F"/>
    <w:rsid w:val="00CD3270"/>
    <w:rsid w:val="00CD5DA2"/>
    <w:rsid w:val="00CE1C5C"/>
    <w:rsid w:val="00CE24E6"/>
    <w:rsid w:val="00CE2DA6"/>
    <w:rsid w:val="00CE4388"/>
    <w:rsid w:val="00CE595B"/>
    <w:rsid w:val="00CE64A0"/>
    <w:rsid w:val="00CE67E2"/>
    <w:rsid w:val="00CE6ED8"/>
    <w:rsid w:val="00CE7159"/>
    <w:rsid w:val="00CE7E89"/>
    <w:rsid w:val="00CF0902"/>
    <w:rsid w:val="00CF19E3"/>
    <w:rsid w:val="00CF25EC"/>
    <w:rsid w:val="00CF30CE"/>
    <w:rsid w:val="00CF5FE7"/>
    <w:rsid w:val="00CF6EA0"/>
    <w:rsid w:val="00D03493"/>
    <w:rsid w:val="00D03EF5"/>
    <w:rsid w:val="00D04DA7"/>
    <w:rsid w:val="00D1356C"/>
    <w:rsid w:val="00D14EF2"/>
    <w:rsid w:val="00D1521B"/>
    <w:rsid w:val="00D156FF"/>
    <w:rsid w:val="00D15E27"/>
    <w:rsid w:val="00D17B7B"/>
    <w:rsid w:val="00D2062F"/>
    <w:rsid w:val="00D2105F"/>
    <w:rsid w:val="00D219E1"/>
    <w:rsid w:val="00D22B28"/>
    <w:rsid w:val="00D248F6"/>
    <w:rsid w:val="00D26AFA"/>
    <w:rsid w:val="00D30FE6"/>
    <w:rsid w:val="00D3225D"/>
    <w:rsid w:val="00D32D96"/>
    <w:rsid w:val="00D32EB5"/>
    <w:rsid w:val="00D3624F"/>
    <w:rsid w:val="00D43760"/>
    <w:rsid w:val="00D443AC"/>
    <w:rsid w:val="00D4563A"/>
    <w:rsid w:val="00D46E5D"/>
    <w:rsid w:val="00D47411"/>
    <w:rsid w:val="00D47F6B"/>
    <w:rsid w:val="00D50CAD"/>
    <w:rsid w:val="00D538AA"/>
    <w:rsid w:val="00D53AB1"/>
    <w:rsid w:val="00D53C34"/>
    <w:rsid w:val="00D578A3"/>
    <w:rsid w:val="00D609C6"/>
    <w:rsid w:val="00D61954"/>
    <w:rsid w:val="00D6349F"/>
    <w:rsid w:val="00D63BC8"/>
    <w:rsid w:val="00D645BD"/>
    <w:rsid w:val="00D669FA"/>
    <w:rsid w:val="00D760AD"/>
    <w:rsid w:val="00D7726F"/>
    <w:rsid w:val="00D77DEB"/>
    <w:rsid w:val="00D8070D"/>
    <w:rsid w:val="00D8154F"/>
    <w:rsid w:val="00D862F4"/>
    <w:rsid w:val="00D869B0"/>
    <w:rsid w:val="00D86C41"/>
    <w:rsid w:val="00D903D2"/>
    <w:rsid w:val="00D906CB"/>
    <w:rsid w:val="00D91775"/>
    <w:rsid w:val="00D927C7"/>
    <w:rsid w:val="00D94930"/>
    <w:rsid w:val="00D94D43"/>
    <w:rsid w:val="00D9511E"/>
    <w:rsid w:val="00D951FB"/>
    <w:rsid w:val="00D96F0B"/>
    <w:rsid w:val="00DA6497"/>
    <w:rsid w:val="00DB1B01"/>
    <w:rsid w:val="00DB3D08"/>
    <w:rsid w:val="00DB41EB"/>
    <w:rsid w:val="00DB63DB"/>
    <w:rsid w:val="00DB7B3A"/>
    <w:rsid w:val="00DB7B8E"/>
    <w:rsid w:val="00DC26B0"/>
    <w:rsid w:val="00DC42D1"/>
    <w:rsid w:val="00DC7B01"/>
    <w:rsid w:val="00DD06AE"/>
    <w:rsid w:val="00DD1BEF"/>
    <w:rsid w:val="00DD2D7B"/>
    <w:rsid w:val="00DD3437"/>
    <w:rsid w:val="00DD5DFE"/>
    <w:rsid w:val="00DE16A1"/>
    <w:rsid w:val="00DE1950"/>
    <w:rsid w:val="00DE7C17"/>
    <w:rsid w:val="00DF0FD7"/>
    <w:rsid w:val="00DF148E"/>
    <w:rsid w:val="00DF156C"/>
    <w:rsid w:val="00DF235B"/>
    <w:rsid w:val="00DF2584"/>
    <w:rsid w:val="00DF4157"/>
    <w:rsid w:val="00DF4233"/>
    <w:rsid w:val="00DF4546"/>
    <w:rsid w:val="00DF470E"/>
    <w:rsid w:val="00DF4C57"/>
    <w:rsid w:val="00DF74F3"/>
    <w:rsid w:val="00E0021E"/>
    <w:rsid w:val="00E03326"/>
    <w:rsid w:val="00E040CF"/>
    <w:rsid w:val="00E0541D"/>
    <w:rsid w:val="00E05666"/>
    <w:rsid w:val="00E06213"/>
    <w:rsid w:val="00E11496"/>
    <w:rsid w:val="00E1266D"/>
    <w:rsid w:val="00E147BF"/>
    <w:rsid w:val="00E150AB"/>
    <w:rsid w:val="00E17460"/>
    <w:rsid w:val="00E20252"/>
    <w:rsid w:val="00E22686"/>
    <w:rsid w:val="00E23C4F"/>
    <w:rsid w:val="00E24EB6"/>
    <w:rsid w:val="00E27F00"/>
    <w:rsid w:val="00E30DD8"/>
    <w:rsid w:val="00E32ABA"/>
    <w:rsid w:val="00E36450"/>
    <w:rsid w:val="00E40CEA"/>
    <w:rsid w:val="00E40EAB"/>
    <w:rsid w:val="00E41C6A"/>
    <w:rsid w:val="00E42F3E"/>
    <w:rsid w:val="00E4353F"/>
    <w:rsid w:val="00E458A1"/>
    <w:rsid w:val="00E4627B"/>
    <w:rsid w:val="00E470D5"/>
    <w:rsid w:val="00E4721F"/>
    <w:rsid w:val="00E47B31"/>
    <w:rsid w:val="00E53BD7"/>
    <w:rsid w:val="00E55507"/>
    <w:rsid w:val="00E560A1"/>
    <w:rsid w:val="00E61641"/>
    <w:rsid w:val="00E62366"/>
    <w:rsid w:val="00E63059"/>
    <w:rsid w:val="00E63847"/>
    <w:rsid w:val="00E66B5F"/>
    <w:rsid w:val="00E73FDE"/>
    <w:rsid w:val="00E77DE1"/>
    <w:rsid w:val="00E81F2D"/>
    <w:rsid w:val="00E846BF"/>
    <w:rsid w:val="00E900C6"/>
    <w:rsid w:val="00E90BCB"/>
    <w:rsid w:val="00E91360"/>
    <w:rsid w:val="00E918E6"/>
    <w:rsid w:val="00E92FE8"/>
    <w:rsid w:val="00E9410F"/>
    <w:rsid w:val="00EA17AF"/>
    <w:rsid w:val="00EA3128"/>
    <w:rsid w:val="00EA37F7"/>
    <w:rsid w:val="00EA3990"/>
    <w:rsid w:val="00EA46BC"/>
    <w:rsid w:val="00EA5890"/>
    <w:rsid w:val="00EA6AD6"/>
    <w:rsid w:val="00EB3030"/>
    <w:rsid w:val="00EB7C04"/>
    <w:rsid w:val="00EC05A9"/>
    <w:rsid w:val="00EC113D"/>
    <w:rsid w:val="00EC1911"/>
    <w:rsid w:val="00EC3C38"/>
    <w:rsid w:val="00EC3DBC"/>
    <w:rsid w:val="00EC559A"/>
    <w:rsid w:val="00EC5F6C"/>
    <w:rsid w:val="00EC6833"/>
    <w:rsid w:val="00ED324A"/>
    <w:rsid w:val="00ED3AAD"/>
    <w:rsid w:val="00ED3CEC"/>
    <w:rsid w:val="00ED4133"/>
    <w:rsid w:val="00ED5468"/>
    <w:rsid w:val="00EE0DE4"/>
    <w:rsid w:val="00EE1E13"/>
    <w:rsid w:val="00EE3B07"/>
    <w:rsid w:val="00EE4885"/>
    <w:rsid w:val="00EE4B5F"/>
    <w:rsid w:val="00EE4BD1"/>
    <w:rsid w:val="00EE56CC"/>
    <w:rsid w:val="00EF0483"/>
    <w:rsid w:val="00EF0BA4"/>
    <w:rsid w:val="00EF2458"/>
    <w:rsid w:val="00EF2A91"/>
    <w:rsid w:val="00EF2B60"/>
    <w:rsid w:val="00EF2F10"/>
    <w:rsid w:val="00EF2FF3"/>
    <w:rsid w:val="00EF3685"/>
    <w:rsid w:val="00EF3F08"/>
    <w:rsid w:val="00EF60D0"/>
    <w:rsid w:val="00EF7FE4"/>
    <w:rsid w:val="00F007EB"/>
    <w:rsid w:val="00F016A6"/>
    <w:rsid w:val="00F01A28"/>
    <w:rsid w:val="00F0346E"/>
    <w:rsid w:val="00F0391F"/>
    <w:rsid w:val="00F109F2"/>
    <w:rsid w:val="00F10D62"/>
    <w:rsid w:val="00F121DA"/>
    <w:rsid w:val="00F12AF9"/>
    <w:rsid w:val="00F14BBA"/>
    <w:rsid w:val="00F14E5E"/>
    <w:rsid w:val="00F14FAD"/>
    <w:rsid w:val="00F158CB"/>
    <w:rsid w:val="00F20871"/>
    <w:rsid w:val="00F21292"/>
    <w:rsid w:val="00F21919"/>
    <w:rsid w:val="00F23C30"/>
    <w:rsid w:val="00F27681"/>
    <w:rsid w:val="00F30208"/>
    <w:rsid w:val="00F31AEE"/>
    <w:rsid w:val="00F3204D"/>
    <w:rsid w:val="00F34C25"/>
    <w:rsid w:val="00F36602"/>
    <w:rsid w:val="00F3702C"/>
    <w:rsid w:val="00F40BA2"/>
    <w:rsid w:val="00F462BB"/>
    <w:rsid w:val="00F47029"/>
    <w:rsid w:val="00F47C09"/>
    <w:rsid w:val="00F51458"/>
    <w:rsid w:val="00F52C48"/>
    <w:rsid w:val="00F53AE6"/>
    <w:rsid w:val="00F53EE4"/>
    <w:rsid w:val="00F54984"/>
    <w:rsid w:val="00F556D7"/>
    <w:rsid w:val="00F55781"/>
    <w:rsid w:val="00F57084"/>
    <w:rsid w:val="00F57A3E"/>
    <w:rsid w:val="00F57B6A"/>
    <w:rsid w:val="00F6004C"/>
    <w:rsid w:val="00F6066A"/>
    <w:rsid w:val="00F60AE2"/>
    <w:rsid w:val="00F616D6"/>
    <w:rsid w:val="00F61B04"/>
    <w:rsid w:val="00F6267F"/>
    <w:rsid w:val="00F63C0D"/>
    <w:rsid w:val="00F64937"/>
    <w:rsid w:val="00F64EED"/>
    <w:rsid w:val="00F6605D"/>
    <w:rsid w:val="00F66D18"/>
    <w:rsid w:val="00F66FBA"/>
    <w:rsid w:val="00F73E7F"/>
    <w:rsid w:val="00F742E9"/>
    <w:rsid w:val="00F758DB"/>
    <w:rsid w:val="00F764E4"/>
    <w:rsid w:val="00F76FF6"/>
    <w:rsid w:val="00F80019"/>
    <w:rsid w:val="00F80F79"/>
    <w:rsid w:val="00F82291"/>
    <w:rsid w:val="00F828DB"/>
    <w:rsid w:val="00F82DAC"/>
    <w:rsid w:val="00F91AA6"/>
    <w:rsid w:val="00F93DEE"/>
    <w:rsid w:val="00F94E1B"/>
    <w:rsid w:val="00FA0B59"/>
    <w:rsid w:val="00FA276D"/>
    <w:rsid w:val="00FA355E"/>
    <w:rsid w:val="00FA7B69"/>
    <w:rsid w:val="00FB408F"/>
    <w:rsid w:val="00FB5739"/>
    <w:rsid w:val="00FB59AD"/>
    <w:rsid w:val="00FC1B1D"/>
    <w:rsid w:val="00FC1EED"/>
    <w:rsid w:val="00FC2387"/>
    <w:rsid w:val="00FC254A"/>
    <w:rsid w:val="00FC5498"/>
    <w:rsid w:val="00FC6520"/>
    <w:rsid w:val="00FC7589"/>
    <w:rsid w:val="00FC7B84"/>
    <w:rsid w:val="00FD1C17"/>
    <w:rsid w:val="00FD21C4"/>
    <w:rsid w:val="00FD4553"/>
    <w:rsid w:val="00FD5FF8"/>
    <w:rsid w:val="00FE108C"/>
    <w:rsid w:val="00FE5634"/>
    <w:rsid w:val="00FE5891"/>
    <w:rsid w:val="00FE69D5"/>
    <w:rsid w:val="00FF12B6"/>
    <w:rsid w:val="00FF22F6"/>
    <w:rsid w:val="00FF37A8"/>
    <w:rsid w:val="00FF57F6"/>
    <w:rsid w:val="00FF7E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179DF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4187"/>
    <w:pPr>
      <w:spacing w:after="240" w:line="240" w:lineRule="auto"/>
    </w:pPr>
    <w:rPr>
      <w:rFonts w:eastAsia="Times New Roman" w:cs="Times New Roman"/>
      <w:sz w:val="24"/>
      <w:szCs w:val="24"/>
      <w:lang w:eastAsia="en-AU"/>
    </w:rPr>
  </w:style>
  <w:style w:type="paragraph" w:styleId="Heading2">
    <w:name w:val="heading 2"/>
    <w:basedOn w:val="Normal"/>
    <w:next w:val="Normal"/>
    <w:link w:val="Heading2Char"/>
    <w:uiPriority w:val="9"/>
    <w:unhideWhenUsed/>
    <w:qFormat/>
    <w:rsid w:val="00A3071A"/>
    <w:pPr>
      <w:spacing w:before="360" w:after="120"/>
      <w:jc w:val="center"/>
      <w:outlineLvl w:val="1"/>
    </w:pPr>
    <w:rPr>
      <w:rFonts w:ascii="Times New Roman" w:hAnsi="Times New Roman" w:cstheme="minorBidi"/>
      <w:b/>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071A"/>
    <w:rPr>
      <w:rFonts w:ascii="Times New Roman" w:eastAsia="Times New Roman" w:hAnsi="Times New Roman"/>
      <w:b/>
      <w:sz w:val="28"/>
      <w:szCs w:val="28"/>
    </w:rPr>
  </w:style>
  <w:style w:type="paragraph" w:styleId="Header">
    <w:name w:val="header"/>
    <w:basedOn w:val="Normal"/>
    <w:link w:val="HeaderChar"/>
    <w:uiPriority w:val="99"/>
    <w:unhideWhenUsed/>
    <w:rsid w:val="00A3071A"/>
    <w:pPr>
      <w:tabs>
        <w:tab w:val="center" w:pos="4513"/>
        <w:tab w:val="right" w:pos="9026"/>
      </w:tabs>
      <w:spacing w:after="0"/>
    </w:pPr>
    <w:rPr>
      <w:szCs w:val="28"/>
    </w:rPr>
  </w:style>
  <w:style w:type="character" w:customStyle="1" w:styleId="HeaderChar">
    <w:name w:val="Header Char"/>
    <w:basedOn w:val="DefaultParagraphFont"/>
    <w:link w:val="Header"/>
    <w:uiPriority w:val="99"/>
    <w:rsid w:val="00A3071A"/>
    <w:rPr>
      <w:rFonts w:eastAsia="Times New Roman" w:cs="Times New Roman"/>
      <w:sz w:val="24"/>
      <w:szCs w:val="28"/>
      <w:lang w:eastAsia="en-AU"/>
    </w:rPr>
  </w:style>
  <w:style w:type="character" w:styleId="PageNumber">
    <w:name w:val="page number"/>
    <w:basedOn w:val="DefaultParagraphFont"/>
    <w:rsid w:val="00A3071A"/>
  </w:style>
  <w:style w:type="paragraph" w:styleId="Footer">
    <w:name w:val="footer"/>
    <w:basedOn w:val="Normal"/>
    <w:link w:val="FooterChar"/>
    <w:uiPriority w:val="99"/>
    <w:rsid w:val="00A3071A"/>
    <w:pPr>
      <w:spacing w:after="0"/>
      <w:jc w:val="center"/>
    </w:pPr>
    <w:rPr>
      <w:sz w:val="20"/>
    </w:rPr>
  </w:style>
  <w:style w:type="character" w:customStyle="1" w:styleId="FooterChar">
    <w:name w:val="Footer Char"/>
    <w:basedOn w:val="DefaultParagraphFont"/>
    <w:link w:val="Footer"/>
    <w:uiPriority w:val="99"/>
    <w:rsid w:val="00A3071A"/>
    <w:rPr>
      <w:rFonts w:eastAsia="Times New Roman" w:cs="Times New Roman"/>
      <w:sz w:val="20"/>
      <w:szCs w:val="24"/>
      <w:lang w:eastAsia="en-AU"/>
    </w:rPr>
  </w:style>
  <w:style w:type="paragraph" w:customStyle="1" w:styleId="NormalBold">
    <w:name w:val="Normal Bold"/>
    <w:basedOn w:val="Normal"/>
    <w:link w:val="NormalBoldChar"/>
    <w:qFormat/>
    <w:rsid w:val="00A3071A"/>
    <w:rPr>
      <w:rFonts w:cs="Arial"/>
      <w:b/>
      <w:szCs w:val="22"/>
    </w:rPr>
  </w:style>
  <w:style w:type="character" w:customStyle="1" w:styleId="NormalBoldChar">
    <w:name w:val="Normal Bold Char"/>
    <w:basedOn w:val="DefaultParagraphFont"/>
    <w:link w:val="NormalBold"/>
    <w:rsid w:val="00A3071A"/>
    <w:rPr>
      <w:rFonts w:eastAsia="Times New Roman" w:cs="Arial"/>
      <w:b/>
      <w:sz w:val="24"/>
      <w:lang w:eastAsia="en-AU"/>
    </w:rPr>
  </w:style>
  <w:style w:type="paragraph" w:styleId="ListParagraph">
    <w:name w:val="List Paragraph"/>
    <w:basedOn w:val="Normal"/>
    <w:link w:val="ListParagraphChar"/>
    <w:uiPriority w:val="34"/>
    <w:qFormat/>
    <w:rsid w:val="00A3071A"/>
    <w:pPr>
      <w:spacing w:before="100" w:beforeAutospacing="1" w:after="100" w:afterAutospacing="1"/>
    </w:pPr>
    <w:rPr>
      <w:rFonts w:ascii="Times New Roman" w:hAnsi="Times New Roman"/>
    </w:rPr>
  </w:style>
  <w:style w:type="character" w:customStyle="1" w:styleId="CharPartText">
    <w:name w:val="CharPartText"/>
    <w:basedOn w:val="DefaultParagraphFont"/>
    <w:qFormat/>
    <w:rsid w:val="00A3071A"/>
  </w:style>
  <w:style w:type="paragraph" w:styleId="NoSpacing">
    <w:name w:val="No Spacing"/>
    <w:uiPriority w:val="1"/>
    <w:qFormat/>
    <w:rsid w:val="00A3071A"/>
    <w:pPr>
      <w:spacing w:after="0" w:line="240" w:lineRule="auto"/>
    </w:pPr>
    <w:rPr>
      <w:rFonts w:eastAsia="Times New Roman" w:cs="Times New Roman"/>
      <w:sz w:val="24"/>
      <w:szCs w:val="24"/>
      <w:lang w:eastAsia="en-AU"/>
    </w:rPr>
  </w:style>
  <w:style w:type="character" w:customStyle="1" w:styleId="ListParagraphChar">
    <w:name w:val="List Paragraph Char"/>
    <w:link w:val="ListParagraph"/>
    <w:uiPriority w:val="34"/>
    <w:rsid w:val="00A3071A"/>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9746FE"/>
    <w:rPr>
      <w:sz w:val="16"/>
      <w:szCs w:val="16"/>
    </w:rPr>
  </w:style>
  <w:style w:type="paragraph" w:styleId="CommentText">
    <w:name w:val="annotation text"/>
    <w:basedOn w:val="Normal"/>
    <w:link w:val="CommentTextChar"/>
    <w:uiPriority w:val="99"/>
    <w:unhideWhenUsed/>
    <w:rsid w:val="009746FE"/>
    <w:rPr>
      <w:sz w:val="20"/>
      <w:szCs w:val="20"/>
    </w:rPr>
  </w:style>
  <w:style w:type="character" w:customStyle="1" w:styleId="CommentTextChar">
    <w:name w:val="Comment Text Char"/>
    <w:basedOn w:val="DefaultParagraphFont"/>
    <w:link w:val="CommentText"/>
    <w:uiPriority w:val="99"/>
    <w:rsid w:val="009746FE"/>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746FE"/>
    <w:rPr>
      <w:b/>
      <w:bCs/>
    </w:rPr>
  </w:style>
  <w:style w:type="character" w:customStyle="1" w:styleId="CommentSubjectChar">
    <w:name w:val="Comment Subject Char"/>
    <w:basedOn w:val="CommentTextChar"/>
    <w:link w:val="CommentSubject"/>
    <w:uiPriority w:val="99"/>
    <w:semiHidden/>
    <w:rsid w:val="009746FE"/>
    <w:rPr>
      <w:rFonts w:eastAsia="Times New Roman" w:cs="Times New Roman"/>
      <w:b/>
      <w:bCs/>
      <w:sz w:val="20"/>
      <w:szCs w:val="20"/>
      <w:lang w:eastAsia="en-AU"/>
    </w:rPr>
  </w:style>
  <w:style w:type="paragraph" w:styleId="BalloonText">
    <w:name w:val="Balloon Text"/>
    <w:basedOn w:val="Normal"/>
    <w:link w:val="BalloonTextChar"/>
    <w:uiPriority w:val="99"/>
    <w:semiHidden/>
    <w:unhideWhenUsed/>
    <w:rsid w:val="009746F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6FE"/>
    <w:rPr>
      <w:rFonts w:ascii="Segoe UI" w:eastAsia="Times New Roman" w:hAnsi="Segoe UI" w:cs="Segoe UI"/>
      <w:sz w:val="18"/>
      <w:szCs w:val="18"/>
      <w:lang w:eastAsia="en-AU"/>
    </w:rPr>
  </w:style>
  <w:style w:type="character" w:styleId="Hyperlink">
    <w:name w:val="Hyperlink"/>
    <w:basedOn w:val="DefaultParagraphFont"/>
    <w:uiPriority w:val="99"/>
    <w:unhideWhenUsed/>
    <w:rsid w:val="00D219E1"/>
    <w:rPr>
      <w:color w:val="0563C1" w:themeColor="hyperlink"/>
      <w:u w:val="single"/>
    </w:rPr>
  </w:style>
  <w:style w:type="character" w:styleId="FollowedHyperlink">
    <w:name w:val="FollowedHyperlink"/>
    <w:basedOn w:val="DefaultParagraphFont"/>
    <w:uiPriority w:val="99"/>
    <w:semiHidden/>
    <w:unhideWhenUsed/>
    <w:rsid w:val="0048418F"/>
    <w:rPr>
      <w:color w:val="954F72" w:themeColor="followedHyperlink"/>
      <w:u w:val="single"/>
    </w:rPr>
  </w:style>
  <w:style w:type="paragraph" w:styleId="FootnoteText">
    <w:name w:val="footnote text"/>
    <w:basedOn w:val="Normal"/>
    <w:link w:val="FootnoteTextChar"/>
    <w:uiPriority w:val="99"/>
    <w:semiHidden/>
    <w:unhideWhenUsed/>
    <w:rsid w:val="00C8592C"/>
    <w:pPr>
      <w:spacing w:after="0"/>
    </w:pPr>
    <w:rPr>
      <w:sz w:val="20"/>
      <w:szCs w:val="20"/>
    </w:rPr>
  </w:style>
  <w:style w:type="character" w:customStyle="1" w:styleId="FootnoteTextChar">
    <w:name w:val="Footnote Text Char"/>
    <w:basedOn w:val="DefaultParagraphFont"/>
    <w:link w:val="FootnoteText"/>
    <w:uiPriority w:val="99"/>
    <w:semiHidden/>
    <w:rsid w:val="00C8592C"/>
    <w:rPr>
      <w:rFonts w:eastAsia="Times New Roman" w:cs="Times New Roman"/>
      <w:sz w:val="20"/>
      <w:szCs w:val="20"/>
      <w:lang w:eastAsia="en-AU"/>
    </w:rPr>
  </w:style>
  <w:style w:type="character" w:styleId="FootnoteReference">
    <w:name w:val="footnote reference"/>
    <w:basedOn w:val="DefaultParagraphFont"/>
    <w:uiPriority w:val="99"/>
    <w:semiHidden/>
    <w:unhideWhenUsed/>
    <w:rsid w:val="00C8592C"/>
    <w:rPr>
      <w:vertAlign w:val="superscript"/>
    </w:rPr>
  </w:style>
  <w:style w:type="table" w:styleId="TableGrid">
    <w:name w:val="Table Grid"/>
    <w:basedOn w:val="TableNormal"/>
    <w:uiPriority w:val="39"/>
    <w:rsid w:val="0054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aliases w:val="tt"/>
    <w:basedOn w:val="Normal"/>
    <w:rsid w:val="005F28C2"/>
    <w:pPr>
      <w:spacing w:before="60" w:after="0" w:line="240" w:lineRule="atLeast"/>
    </w:pPr>
    <w:rPr>
      <w:rFonts w:ascii="Times New Roman" w:hAnsi="Times New Roman"/>
      <w:sz w:val="20"/>
      <w:szCs w:val="20"/>
    </w:rPr>
  </w:style>
  <w:style w:type="paragraph" w:customStyle="1" w:styleId="TableHeading">
    <w:name w:val="TableHeading"/>
    <w:aliases w:val="th"/>
    <w:basedOn w:val="Normal"/>
    <w:next w:val="Tabletext"/>
    <w:rsid w:val="005F28C2"/>
    <w:pPr>
      <w:keepNext/>
      <w:spacing w:before="60" w:after="0" w:line="240" w:lineRule="atLeast"/>
    </w:pPr>
    <w:rPr>
      <w:rFonts w:ascii="Times New Roman" w:hAnsi="Times New Roman"/>
      <w:b/>
      <w:sz w:val="20"/>
      <w:szCs w:val="20"/>
    </w:rPr>
  </w:style>
  <w:style w:type="character" w:customStyle="1" w:styleId="notetextChar">
    <w:name w:val="note(text) Char"/>
    <w:aliases w:val="n Char"/>
    <w:basedOn w:val="DefaultParagraphFont"/>
    <w:link w:val="notetext"/>
    <w:locked/>
    <w:rsid w:val="00C937C9"/>
    <w:rPr>
      <w:rFonts w:ascii="Times New Roman" w:eastAsia="Times New Roman" w:hAnsi="Times New Roman" w:cs="Times New Roman"/>
      <w:sz w:val="18"/>
      <w:lang w:eastAsia="en-AU"/>
    </w:rPr>
  </w:style>
  <w:style w:type="paragraph" w:customStyle="1" w:styleId="notetext">
    <w:name w:val="note(text)"/>
    <w:aliases w:val="n"/>
    <w:basedOn w:val="Normal"/>
    <w:link w:val="notetextChar"/>
    <w:rsid w:val="00C937C9"/>
    <w:pPr>
      <w:spacing w:before="122" w:after="0" w:line="198" w:lineRule="exact"/>
      <w:ind w:left="1985" w:hanging="851"/>
    </w:pPr>
    <w:rPr>
      <w:rFonts w:ascii="Times New Roman" w:hAnsi="Times New Roman"/>
      <w:sz w:val="18"/>
      <w:szCs w:val="22"/>
    </w:rPr>
  </w:style>
  <w:style w:type="paragraph" w:styleId="Revision">
    <w:name w:val="Revision"/>
    <w:hidden/>
    <w:uiPriority w:val="99"/>
    <w:semiHidden/>
    <w:rsid w:val="00EF0BA4"/>
    <w:pPr>
      <w:spacing w:after="0" w:line="240" w:lineRule="auto"/>
    </w:pPr>
    <w:rPr>
      <w:rFonts w:eastAsia="Times New Roman" w:cs="Times New Roman"/>
      <w:sz w:val="24"/>
      <w:szCs w:val="24"/>
      <w:lang w:eastAsia="en-AU"/>
    </w:rPr>
  </w:style>
  <w:style w:type="character" w:customStyle="1" w:styleId="acopre1">
    <w:name w:val="acopre1"/>
    <w:basedOn w:val="DefaultParagraphFont"/>
    <w:rsid w:val="0071215C"/>
  </w:style>
  <w:style w:type="paragraph" w:customStyle="1" w:styleId="Default">
    <w:name w:val="Default"/>
    <w:rsid w:val="004D44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ubsection">
    <w:name w:val="subsection"/>
    <w:aliases w:val="ss,Subsection"/>
    <w:basedOn w:val="Normal"/>
    <w:link w:val="subsectionChar"/>
    <w:rsid w:val="009B3B28"/>
    <w:pPr>
      <w:tabs>
        <w:tab w:val="right" w:pos="1021"/>
      </w:tabs>
      <w:spacing w:before="180" w:after="120"/>
      <w:ind w:left="1134" w:hanging="1134"/>
    </w:pPr>
    <w:rPr>
      <w:rFonts w:ascii="Times New Roman" w:hAnsi="Times New Roman"/>
      <w:sz w:val="22"/>
      <w:szCs w:val="20"/>
    </w:rPr>
  </w:style>
  <w:style w:type="character" w:customStyle="1" w:styleId="subsectionChar">
    <w:name w:val="subsection Char"/>
    <w:aliases w:val="ss Char"/>
    <w:basedOn w:val="DefaultParagraphFont"/>
    <w:link w:val="subsection"/>
    <w:locked/>
    <w:rsid w:val="009B3B28"/>
    <w:rPr>
      <w:rFonts w:ascii="Times New Roman" w:eastAsia="Times New Roman" w:hAnsi="Times New Roman" w:cs="Times New Roman"/>
      <w:szCs w:val="20"/>
      <w:lang w:eastAsia="en-AU"/>
    </w:rPr>
  </w:style>
  <w:style w:type="paragraph" w:customStyle="1" w:styleId="ShortT">
    <w:name w:val="ShortT"/>
    <w:basedOn w:val="Normal"/>
    <w:next w:val="Normal"/>
    <w:qFormat/>
    <w:rsid w:val="00495859"/>
    <w:pPr>
      <w:spacing w:after="120"/>
    </w:pPr>
    <w:rPr>
      <w:rFonts w:ascii="Times New Roman" w:hAnsi="Times New Roman"/>
      <w:b/>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05258">
      <w:bodyDiv w:val="1"/>
      <w:marLeft w:val="0"/>
      <w:marRight w:val="0"/>
      <w:marTop w:val="0"/>
      <w:marBottom w:val="0"/>
      <w:divBdr>
        <w:top w:val="none" w:sz="0" w:space="0" w:color="auto"/>
        <w:left w:val="none" w:sz="0" w:space="0" w:color="auto"/>
        <w:bottom w:val="none" w:sz="0" w:space="0" w:color="auto"/>
        <w:right w:val="none" w:sz="0" w:space="0" w:color="auto"/>
      </w:divBdr>
    </w:div>
    <w:div w:id="192420301">
      <w:bodyDiv w:val="1"/>
      <w:marLeft w:val="0"/>
      <w:marRight w:val="0"/>
      <w:marTop w:val="0"/>
      <w:marBottom w:val="0"/>
      <w:divBdr>
        <w:top w:val="none" w:sz="0" w:space="0" w:color="auto"/>
        <w:left w:val="none" w:sz="0" w:space="0" w:color="auto"/>
        <w:bottom w:val="none" w:sz="0" w:space="0" w:color="auto"/>
        <w:right w:val="none" w:sz="0" w:space="0" w:color="auto"/>
      </w:divBdr>
    </w:div>
    <w:div w:id="623191332">
      <w:bodyDiv w:val="1"/>
      <w:marLeft w:val="0"/>
      <w:marRight w:val="0"/>
      <w:marTop w:val="0"/>
      <w:marBottom w:val="0"/>
      <w:divBdr>
        <w:top w:val="none" w:sz="0" w:space="0" w:color="auto"/>
        <w:left w:val="none" w:sz="0" w:space="0" w:color="auto"/>
        <w:bottom w:val="none" w:sz="0" w:space="0" w:color="auto"/>
        <w:right w:val="none" w:sz="0" w:space="0" w:color="auto"/>
      </w:divBdr>
    </w:div>
    <w:div w:id="729039050">
      <w:bodyDiv w:val="1"/>
      <w:marLeft w:val="0"/>
      <w:marRight w:val="0"/>
      <w:marTop w:val="0"/>
      <w:marBottom w:val="0"/>
      <w:divBdr>
        <w:top w:val="none" w:sz="0" w:space="0" w:color="auto"/>
        <w:left w:val="none" w:sz="0" w:space="0" w:color="auto"/>
        <w:bottom w:val="none" w:sz="0" w:space="0" w:color="auto"/>
        <w:right w:val="none" w:sz="0" w:space="0" w:color="auto"/>
      </w:divBdr>
    </w:div>
    <w:div w:id="741296937">
      <w:bodyDiv w:val="1"/>
      <w:marLeft w:val="0"/>
      <w:marRight w:val="0"/>
      <w:marTop w:val="0"/>
      <w:marBottom w:val="0"/>
      <w:divBdr>
        <w:top w:val="none" w:sz="0" w:space="0" w:color="auto"/>
        <w:left w:val="none" w:sz="0" w:space="0" w:color="auto"/>
        <w:bottom w:val="none" w:sz="0" w:space="0" w:color="auto"/>
        <w:right w:val="none" w:sz="0" w:space="0" w:color="auto"/>
      </w:divBdr>
      <w:divsChild>
        <w:div w:id="1704361126">
          <w:marLeft w:val="0"/>
          <w:marRight w:val="0"/>
          <w:marTop w:val="0"/>
          <w:marBottom w:val="0"/>
          <w:divBdr>
            <w:top w:val="none" w:sz="0" w:space="0" w:color="auto"/>
            <w:left w:val="none" w:sz="0" w:space="0" w:color="auto"/>
            <w:bottom w:val="none" w:sz="0" w:space="0" w:color="auto"/>
            <w:right w:val="none" w:sz="0" w:space="0" w:color="auto"/>
          </w:divBdr>
          <w:divsChild>
            <w:div w:id="276715916">
              <w:marLeft w:val="0"/>
              <w:marRight w:val="0"/>
              <w:marTop w:val="0"/>
              <w:marBottom w:val="0"/>
              <w:divBdr>
                <w:top w:val="none" w:sz="0" w:space="0" w:color="auto"/>
                <w:left w:val="none" w:sz="0" w:space="0" w:color="auto"/>
                <w:bottom w:val="none" w:sz="0" w:space="0" w:color="auto"/>
                <w:right w:val="none" w:sz="0" w:space="0" w:color="auto"/>
              </w:divBdr>
              <w:divsChild>
                <w:div w:id="175728497">
                  <w:marLeft w:val="0"/>
                  <w:marRight w:val="0"/>
                  <w:marTop w:val="0"/>
                  <w:marBottom w:val="0"/>
                  <w:divBdr>
                    <w:top w:val="none" w:sz="0" w:space="0" w:color="auto"/>
                    <w:left w:val="none" w:sz="0" w:space="0" w:color="auto"/>
                    <w:bottom w:val="none" w:sz="0" w:space="0" w:color="auto"/>
                    <w:right w:val="none" w:sz="0" w:space="0" w:color="auto"/>
                  </w:divBdr>
                  <w:divsChild>
                    <w:div w:id="908541146">
                      <w:marLeft w:val="0"/>
                      <w:marRight w:val="0"/>
                      <w:marTop w:val="0"/>
                      <w:marBottom w:val="0"/>
                      <w:divBdr>
                        <w:top w:val="none" w:sz="0" w:space="0" w:color="auto"/>
                        <w:left w:val="none" w:sz="0" w:space="0" w:color="auto"/>
                        <w:bottom w:val="none" w:sz="0" w:space="0" w:color="auto"/>
                        <w:right w:val="none" w:sz="0" w:space="0" w:color="auto"/>
                      </w:divBdr>
                      <w:divsChild>
                        <w:div w:id="1493373267">
                          <w:marLeft w:val="0"/>
                          <w:marRight w:val="0"/>
                          <w:marTop w:val="0"/>
                          <w:marBottom w:val="0"/>
                          <w:divBdr>
                            <w:top w:val="none" w:sz="0" w:space="0" w:color="auto"/>
                            <w:left w:val="none" w:sz="0" w:space="0" w:color="auto"/>
                            <w:bottom w:val="none" w:sz="0" w:space="0" w:color="auto"/>
                            <w:right w:val="none" w:sz="0" w:space="0" w:color="auto"/>
                          </w:divBdr>
                          <w:divsChild>
                            <w:div w:id="1243296901">
                              <w:marLeft w:val="0"/>
                              <w:marRight w:val="0"/>
                              <w:marTop w:val="0"/>
                              <w:marBottom w:val="0"/>
                              <w:divBdr>
                                <w:top w:val="none" w:sz="0" w:space="0" w:color="auto"/>
                                <w:left w:val="none" w:sz="0" w:space="0" w:color="auto"/>
                                <w:bottom w:val="none" w:sz="0" w:space="0" w:color="auto"/>
                                <w:right w:val="none" w:sz="0" w:space="0" w:color="auto"/>
                              </w:divBdr>
                              <w:divsChild>
                                <w:div w:id="2016413842">
                                  <w:marLeft w:val="0"/>
                                  <w:marRight w:val="0"/>
                                  <w:marTop w:val="0"/>
                                  <w:marBottom w:val="0"/>
                                  <w:divBdr>
                                    <w:top w:val="none" w:sz="0" w:space="0" w:color="auto"/>
                                    <w:left w:val="none" w:sz="0" w:space="0" w:color="auto"/>
                                    <w:bottom w:val="none" w:sz="0" w:space="0" w:color="auto"/>
                                    <w:right w:val="none" w:sz="0" w:space="0" w:color="auto"/>
                                  </w:divBdr>
                                  <w:divsChild>
                                    <w:div w:id="317271937">
                                      <w:marLeft w:val="0"/>
                                      <w:marRight w:val="0"/>
                                      <w:marTop w:val="0"/>
                                      <w:marBottom w:val="0"/>
                                      <w:divBdr>
                                        <w:top w:val="none" w:sz="0" w:space="0" w:color="auto"/>
                                        <w:left w:val="none" w:sz="0" w:space="0" w:color="auto"/>
                                        <w:bottom w:val="none" w:sz="0" w:space="0" w:color="auto"/>
                                        <w:right w:val="none" w:sz="0" w:space="0" w:color="auto"/>
                                      </w:divBdr>
                                      <w:divsChild>
                                        <w:div w:id="1182470422">
                                          <w:marLeft w:val="0"/>
                                          <w:marRight w:val="0"/>
                                          <w:marTop w:val="0"/>
                                          <w:marBottom w:val="0"/>
                                          <w:divBdr>
                                            <w:top w:val="none" w:sz="0" w:space="0" w:color="auto"/>
                                            <w:left w:val="none" w:sz="0" w:space="0" w:color="auto"/>
                                            <w:bottom w:val="none" w:sz="0" w:space="0" w:color="auto"/>
                                            <w:right w:val="none" w:sz="0" w:space="0" w:color="auto"/>
                                          </w:divBdr>
                                          <w:divsChild>
                                            <w:div w:id="1269508137">
                                              <w:marLeft w:val="0"/>
                                              <w:marRight w:val="0"/>
                                              <w:marTop w:val="0"/>
                                              <w:marBottom w:val="0"/>
                                              <w:divBdr>
                                                <w:top w:val="none" w:sz="0" w:space="0" w:color="auto"/>
                                                <w:left w:val="none" w:sz="0" w:space="0" w:color="auto"/>
                                                <w:bottom w:val="none" w:sz="0" w:space="0" w:color="auto"/>
                                                <w:right w:val="none" w:sz="0" w:space="0" w:color="auto"/>
                                              </w:divBdr>
                                              <w:divsChild>
                                                <w:div w:id="21445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8969316">
      <w:bodyDiv w:val="1"/>
      <w:marLeft w:val="0"/>
      <w:marRight w:val="0"/>
      <w:marTop w:val="0"/>
      <w:marBottom w:val="0"/>
      <w:divBdr>
        <w:top w:val="none" w:sz="0" w:space="0" w:color="auto"/>
        <w:left w:val="none" w:sz="0" w:space="0" w:color="auto"/>
        <w:bottom w:val="none" w:sz="0" w:space="0" w:color="auto"/>
        <w:right w:val="none" w:sz="0" w:space="0" w:color="auto"/>
      </w:divBdr>
    </w:div>
    <w:div w:id="862019814">
      <w:bodyDiv w:val="1"/>
      <w:marLeft w:val="0"/>
      <w:marRight w:val="0"/>
      <w:marTop w:val="0"/>
      <w:marBottom w:val="0"/>
      <w:divBdr>
        <w:top w:val="none" w:sz="0" w:space="0" w:color="auto"/>
        <w:left w:val="none" w:sz="0" w:space="0" w:color="auto"/>
        <w:bottom w:val="none" w:sz="0" w:space="0" w:color="auto"/>
        <w:right w:val="none" w:sz="0" w:space="0" w:color="auto"/>
      </w:divBdr>
    </w:div>
    <w:div w:id="933779895">
      <w:bodyDiv w:val="1"/>
      <w:marLeft w:val="0"/>
      <w:marRight w:val="0"/>
      <w:marTop w:val="0"/>
      <w:marBottom w:val="0"/>
      <w:divBdr>
        <w:top w:val="none" w:sz="0" w:space="0" w:color="auto"/>
        <w:left w:val="none" w:sz="0" w:space="0" w:color="auto"/>
        <w:bottom w:val="none" w:sz="0" w:space="0" w:color="auto"/>
        <w:right w:val="none" w:sz="0" w:space="0" w:color="auto"/>
      </w:divBdr>
    </w:div>
    <w:div w:id="962345210">
      <w:bodyDiv w:val="1"/>
      <w:marLeft w:val="0"/>
      <w:marRight w:val="0"/>
      <w:marTop w:val="0"/>
      <w:marBottom w:val="0"/>
      <w:divBdr>
        <w:top w:val="none" w:sz="0" w:space="0" w:color="auto"/>
        <w:left w:val="none" w:sz="0" w:space="0" w:color="auto"/>
        <w:bottom w:val="none" w:sz="0" w:space="0" w:color="auto"/>
        <w:right w:val="none" w:sz="0" w:space="0" w:color="auto"/>
      </w:divBdr>
    </w:div>
    <w:div w:id="1013844441">
      <w:bodyDiv w:val="1"/>
      <w:marLeft w:val="0"/>
      <w:marRight w:val="0"/>
      <w:marTop w:val="0"/>
      <w:marBottom w:val="0"/>
      <w:divBdr>
        <w:top w:val="none" w:sz="0" w:space="0" w:color="auto"/>
        <w:left w:val="none" w:sz="0" w:space="0" w:color="auto"/>
        <w:bottom w:val="none" w:sz="0" w:space="0" w:color="auto"/>
        <w:right w:val="none" w:sz="0" w:space="0" w:color="auto"/>
      </w:divBdr>
    </w:div>
    <w:div w:id="1029374196">
      <w:bodyDiv w:val="1"/>
      <w:marLeft w:val="0"/>
      <w:marRight w:val="0"/>
      <w:marTop w:val="0"/>
      <w:marBottom w:val="0"/>
      <w:divBdr>
        <w:top w:val="none" w:sz="0" w:space="0" w:color="auto"/>
        <w:left w:val="none" w:sz="0" w:space="0" w:color="auto"/>
        <w:bottom w:val="none" w:sz="0" w:space="0" w:color="auto"/>
        <w:right w:val="none" w:sz="0" w:space="0" w:color="auto"/>
      </w:divBdr>
    </w:div>
    <w:div w:id="1098870883">
      <w:bodyDiv w:val="1"/>
      <w:marLeft w:val="0"/>
      <w:marRight w:val="0"/>
      <w:marTop w:val="0"/>
      <w:marBottom w:val="0"/>
      <w:divBdr>
        <w:top w:val="none" w:sz="0" w:space="0" w:color="auto"/>
        <w:left w:val="none" w:sz="0" w:space="0" w:color="auto"/>
        <w:bottom w:val="none" w:sz="0" w:space="0" w:color="auto"/>
        <w:right w:val="none" w:sz="0" w:space="0" w:color="auto"/>
      </w:divBdr>
    </w:div>
    <w:div w:id="1192189229">
      <w:bodyDiv w:val="1"/>
      <w:marLeft w:val="0"/>
      <w:marRight w:val="0"/>
      <w:marTop w:val="0"/>
      <w:marBottom w:val="0"/>
      <w:divBdr>
        <w:top w:val="none" w:sz="0" w:space="0" w:color="auto"/>
        <w:left w:val="none" w:sz="0" w:space="0" w:color="auto"/>
        <w:bottom w:val="none" w:sz="0" w:space="0" w:color="auto"/>
        <w:right w:val="none" w:sz="0" w:space="0" w:color="auto"/>
      </w:divBdr>
    </w:div>
    <w:div w:id="1314144422">
      <w:bodyDiv w:val="1"/>
      <w:marLeft w:val="0"/>
      <w:marRight w:val="0"/>
      <w:marTop w:val="0"/>
      <w:marBottom w:val="0"/>
      <w:divBdr>
        <w:top w:val="none" w:sz="0" w:space="0" w:color="auto"/>
        <w:left w:val="none" w:sz="0" w:space="0" w:color="auto"/>
        <w:bottom w:val="none" w:sz="0" w:space="0" w:color="auto"/>
        <w:right w:val="none" w:sz="0" w:space="0" w:color="auto"/>
      </w:divBdr>
      <w:divsChild>
        <w:div w:id="178549023">
          <w:marLeft w:val="0"/>
          <w:marRight w:val="0"/>
          <w:marTop w:val="0"/>
          <w:marBottom w:val="0"/>
          <w:divBdr>
            <w:top w:val="none" w:sz="0" w:space="0" w:color="auto"/>
            <w:left w:val="none" w:sz="0" w:space="0" w:color="auto"/>
            <w:bottom w:val="none" w:sz="0" w:space="0" w:color="auto"/>
            <w:right w:val="none" w:sz="0" w:space="0" w:color="auto"/>
          </w:divBdr>
          <w:divsChild>
            <w:div w:id="1078868673">
              <w:marLeft w:val="0"/>
              <w:marRight w:val="0"/>
              <w:marTop w:val="0"/>
              <w:marBottom w:val="0"/>
              <w:divBdr>
                <w:top w:val="none" w:sz="0" w:space="0" w:color="auto"/>
                <w:left w:val="none" w:sz="0" w:space="0" w:color="auto"/>
                <w:bottom w:val="none" w:sz="0" w:space="0" w:color="auto"/>
                <w:right w:val="none" w:sz="0" w:space="0" w:color="auto"/>
              </w:divBdr>
              <w:divsChild>
                <w:div w:id="831483530">
                  <w:marLeft w:val="0"/>
                  <w:marRight w:val="0"/>
                  <w:marTop w:val="0"/>
                  <w:marBottom w:val="0"/>
                  <w:divBdr>
                    <w:top w:val="none" w:sz="0" w:space="0" w:color="auto"/>
                    <w:left w:val="none" w:sz="0" w:space="0" w:color="auto"/>
                    <w:bottom w:val="none" w:sz="0" w:space="0" w:color="auto"/>
                    <w:right w:val="none" w:sz="0" w:space="0" w:color="auto"/>
                  </w:divBdr>
                  <w:divsChild>
                    <w:div w:id="1098522394">
                      <w:marLeft w:val="0"/>
                      <w:marRight w:val="0"/>
                      <w:marTop w:val="0"/>
                      <w:marBottom w:val="0"/>
                      <w:divBdr>
                        <w:top w:val="none" w:sz="0" w:space="0" w:color="auto"/>
                        <w:left w:val="none" w:sz="0" w:space="0" w:color="auto"/>
                        <w:bottom w:val="none" w:sz="0" w:space="0" w:color="auto"/>
                        <w:right w:val="none" w:sz="0" w:space="0" w:color="auto"/>
                      </w:divBdr>
                      <w:divsChild>
                        <w:div w:id="1259557498">
                          <w:marLeft w:val="0"/>
                          <w:marRight w:val="0"/>
                          <w:marTop w:val="0"/>
                          <w:marBottom w:val="0"/>
                          <w:divBdr>
                            <w:top w:val="none" w:sz="0" w:space="0" w:color="auto"/>
                            <w:left w:val="none" w:sz="0" w:space="0" w:color="auto"/>
                            <w:bottom w:val="none" w:sz="0" w:space="0" w:color="auto"/>
                            <w:right w:val="none" w:sz="0" w:space="0" w:color="auto"/>
                          </w:divBdr>
                          <w:divsChild>
                            <w:div w:id="1736857945">
                              <w:marLeft w:val="0"/>
                              <w:marRight w:val="0"/>
                              <w:marTop w:val="0"/>
                              <w:marBottom w:val="0"/>
                              <w:divBdr>
                                <w:top w:val="none" w:sz="0" w:space="0" w:color="auto"/>
                                <w:left w:val="none" w:sz="0" w:space="0" w:color="auto"/>
                                <w:bottom w:val="none" w:sz="0" w:space="0" w:color="auto"/>
                                <w:right w:val="none" w:sz="0" w:space="0" w:color="auto"/>
                              </w:divBdr>
                              <w:divsChild>
                                <w:div w:id="1890722234">
                                  <w:marLeft w:val="0"/>
                                  <w:marRight w:val="0"/>
                                  <w:marTop w:val="0"/>
                                  <w:marBottom w:val="0"/>
                                  <w:divBdr>
                                    <w:top w:val="none" w:sz="0" w:space="0" w:color="auto"/>
                                    <w:left w:val="none" w:sz="0" w:space="0" w:color="auto"/>
                                    <w:bottom w:val="none" w:sz="0" w:space="0" w:color="auto"/>
                                    <w:right w:val="none" w:sz="0" w:space="0" w:color="auto"/>
                                  </w:divBdr>
                                  <w:divsChild>
                                    <w:div w:id="2089837441">
                                      <w:marLeft w:val="0"/>
                                      <w:marRight w:val="0"/>
                                      <w:marTop w:val="0"/>
                                      <w:marBottom w:val="0"/>
                                      <w:divBdr>
                                        <w:top w:val="none" w:sz="0" w:space="0" w:color="auto"/>
                                        <w:left w:val="none" w:sz="0" w:space="0" w:color="auto"/>
                                        <w:bottom w:val="none" w:sz="0" w:space="0" w:color="auto"/>
                                        <w:right w:val="none" w:sz="0" w:space="0" w:color="auto"/>
                                      </w:divBdr>
                                      <w:divsChild>
                                        <w:div w:id="975065350">
                                          <w:marLeft w:val="0"/>
                                          <w:marRight w:val="0"/>
                                          <w:marTop w:val="0"/>
                                          <w:marBottom w:val="0"/>
                                          <w:divBdr>
                                            <w:top w:val="none" w:sz="0" w:space="0" w:color="auto"/>
                                            <w:left w:val="none" w:sz="0" w:space="0" w:color="auto"/>
                                            <w:bottom w:val="none" w:sz="0" w:space="0" w:color="auto"/>
                                            <w:right w:val="none" w:sz="0" w:space="0" w:color="auto"/>
                                          </w:divBdr>
                                          <w:divsChild>
                                            <w:div w:id="1120606248">
                                              <w:marLeft w:val="0"/>
                                              <w:marRight w:val="0"/>
                                              <w:marTop w:val="0"/>
                                              <w:marBottom w:val="0"/>
                                              <w:divBdr>
                                                <w:top w:val="none" w:sz="0" w:space="0" w:color="auto"/>
                                                <w:left w:val="none" w:sz="0" w:space="0" w:color="auto"/>
                                                <w:bottom w:val="none" w:sz="0" w:space="0" w:color="auto"/>
                                                <w:right w:val="none" w:sz="0" w:space="0" w:color="auto"/>
                                              </w:divBdr>
                                              <w:divsChild>
                                                <w:div w:id="5732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8145719">
      <w:bodyDiv w:val="1"/>
      <w:marLeft w:val="0"/>
      <w:marRight w:val="0"/>
      <w:marTop w:val="0"/>
      <w:marBottom w:val="0"/>
      <w:divBdr>
        <w:top w:val="none" w:sz="0" w:space="0" w:color="auto"/>
        <w:left w:val="none" w:sz="0" w:space="0" w:color="auto"/>
        <w:bottom w:val="none" w:sz="0" w:space="0" w:color="auto"/>
        <w:right w:val="none" w:sz="0" w:space="0" w:color="auto"/>
      </w:divBdr>
    </w:div>
    <w:div w:id="1427732412">
      <w:bodyDiv w:val="1"/>
      <w:marLeft w:val="0"/>
      <w:marRight w:val="0"/>
      <w:marTop w:val="0"/>
      <w:marBottom w:val="0"/>
      <w:divBdr>
        <w:top w:val="none" w:sz="0" w:space="0" w:color="auto"/>
        <w:left w:val="none" w:sz="0" w:space="0" w:color="auto"/>
        <w:bottom w:val="none" w:sz="0" w:space="0" w:color="auto"/>
        <w:right w:val="none" w:sz="0" w:space="0" w:color="auto"/>
      </w:divBdr>
    </w:div>
    <w:div w:id="1486236146">
      <w:bodyDiv w:val="1"/>
      <w:marLeft w:val="0"/>
      <w:marRight w:val="0"/>
      <w:marTop w:val="0"/>
      <w:marBottom w:val="0"/>
      <w:divBdr>
        <w:top w:val="none" w:sz="0" w:space="0" w:color="auto"/>
        <w:left w:val="none" w:sz="0" w:space="0" w:color="auto"/>
        <w:bottom w:val="none" w:sz="0" w:space="0" w:color="auto"/>
        <w:right w:val="none" w:sz="0" w:space="0" w:color="auto"/>
      </w:divBdr>
    </w:div>
    <w:div w:id="1675650231">
      <w:bodyDiv w:val="1"/>
      <w:marLeft w:val="0"/>
      <w:marRight w:val="0"/>
      <w:marTop w:val="0"/>
      <w:marBottom w:val="0"/>
      <w:divBdr>
        <w:top w:val="none" w:sz="0" w:space="0" w:color="auto"/>
        <w:left w:val="none" w:sz="0" w:space="0" w:color="auto"/>
        <w:bottom w:val="none" w:sz="0" w:space="0" w:color="auto"/>
        <w:right w:val="none" w:sz="0" w:space="0" w:color="auto"/>
      </w:divBdr>
    </w:div>
    <w:div w:id="1706833842">
      <w:bodyDiv w:val="1"/>
      <w:marLeft w:val="0"/>
      <w:marRight w:val="0"/>
      <w:marTop w:val="0"/>
      <w:marBottom w:val="0"/>
      <w:divBdr>
        <w:top w:val="none" w:sz="0" w:space="0" w:color="auto"/>
        <w:left w:val="none" w:sz="0" w:space="0" w:color="auto"/>
        <w:bottom w:val="none" w:sz="0" w:space="0" w:color="auto"/>
        <w:right w:val="none" w:sz="0" w:space="0" w:color="auto"/>
      </w:divBdr>
    </w:div>
    <w:div w:id="1710493571">
      <w:bodyDiv w:val="1"/>
      <w:marLeft w:val="0"/>
      <w:marRight w:val="0"/>
      <w:marTop w:val="0"/>
      <w:marBottom w:val="0"/>
      <w:divBdr>
        <w:top w:val="none" w:sz="0" w:space="0" w:color="auto"/>
        <w:left w:val="none" w:sz="0" w:space="0" w:color="auto"/>
        <w:bottom w:val="none" w:sz="0" w:space="0" w:color="auto"/>
        <w:right w:val="none" w:sz="0" w:space="0" w:color="auto"/>
      </w:divBdr>
    </w:div>
    <w:div w:id="1746604640">
      <w:bodyDiv w:val="1"/>
      <w:marLeft w:val="0"/>
      <w:marRight w:val="0"/>
      <w:marTop w:val="0"/>
      <w:marBottom w:val="0"/>
      <w:divBdr>
        <w:top w:val="none" w:sz="0" w:space="0" w:color="auto"/>
        <w:left w:val="none" w:sz="0" w:space="0" w:color="auto"/>
        <w:bottom w:val="none" w:sz="0" w:space="0" w:color="auto"/>
        <w:right w:val="none" w:sz="0" w:space="0" w:color="auto"/>
      </w:divBdr>
    </w:div>
    <w:div w:id="1959601733">
      <w:bodyDiv w:val="1"/>
      <w:marLeft w:val="0"/>
      <w:marRight w:val="0"/>
      <w:marTop w:val="0"/>
      <w:marBottom w:val="0"/>
      <w:divBdr>
        <w:top w:val="none" w:sz="0" w:space="0" w:color="auto"/>
        <w:left w:val="none" w:sz="0" w:space="0" w:color="auto"/>
        <w:bottom w:val="none" w:sz="0" w:space="0" w:color="auto"/>
        <w:right w:val="none" w:sz="0" w:space="0" w:color="auto"/>
      </w:divBdr>
    </w:div>
    <w:div w:id="207632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Details/F2020L01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7234786DFE12B48A8B21B8B3035D981" ma:contentTypeVersion="" ma:contentTypeDescription="PDMS Document Site Content Type" ma:contentTypeScope="" ma:versionID="7dac35c2e985790666ba9d5d71127734">
  <xsd:schema xmlns:xsd="http://www.w3.org/2001/XMLSchema" xmlns:xs="http://www.w3.org/2001/XMLSchema" xmlns:p="http://schemas.microsoft.com/office/2006/metadata/properties" xmlns:ns2="D1A66302-D60D-4F07-B69B-F9CD2B4042AD" targetNamespace="http://schemas.microsoft.com/office/2006/metadata/properties" ma:root="true" ma:fieldsID="330e8031f74eb1fddd82f76f1d62b90b" ns2:_="">
    <xsd:import namespace="D1A66302-D60D-4F07-B69B-F9CD2B4042A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66302-D60D-4F07-B69B-F9CD2B4042A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1A66302-D60D-4F07-B69B-F9CD2B4042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3DE8F-5185-48A4-AEBD-D3EF8ED1C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66302-D60D-4F07-B69B-F9CD2B404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57AB2F-F2B5-4581-A7F9-9D0038392CC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1A66302-D60D-4F07-B69B-F9CD2B4042AD"/>
    <ds:schemaRef ds:uri="http://www.w3.org/XML/1998/namespace"/>
    <ds:schemaRef ds:uri="http://purl.org/dc/dcmitype/"/>
  </ds:schemaRefs>
</ds:datastoreItem>
</file>

<file path=customXml/itemProps3.xml><?xml version="1.0" encoding="utf-8"?>
<ds:datastoreItem xmlns:ds="http://schemas.openxmlformats.org/officeDocument/2006/customXml" ds:itemID="{B3B2A16E-D956-4984-9585-9C0391A6F492}">
  <ds:schemaRefs>
    <ds:schemaRef ds:uri="http://schemas.microsoft.com/sharepoint/v3/contenttype/forms"/>
  </ds:schemaRefs>
</ds:datastoreItem>
</file>

<file path=customXml/itemProps4.xml><?xml version="1.0" encoding="utf-8"?>
<ds:datastoreItem xmlns:ds="http://schemas.openxmlformats.org/officeDocument/2006/customXml" ds:itemID="{ABE66A7E-0396-4D40-9D59-D11E5C3C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5292</Words>
  <Characters>30166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2022-10-28T02:00:00Z</dcterms:created>
  <dcterms:modified xsi:type="dcterms:W3CDTF">2022-11-04T05:22:00Z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0x010100266966F133664895A6EE3632470D45F500A7234786DFE12B48A8B21B8B3035D981</vt:lpwstr>
  </property>
  <property fmtid="{D5CDD505-2E9C-101B-9397-08002B2CF9AE}" pid="3" name="TrimRevisionNumber">
    <vt:i4>16</vt:i4>
  </property>
</Properties>
</file>