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17D9C" w14:textId="77777777" w:rsidR="00BC6AC3" w:rsidRPr="00601B0E" w:rsidRDefault="00BC6AC3" w:rsidP="00BA4CCD">
      <w:pPr>
        <w:jc w:val="center"/>
        <w:rPr>
          <w:b/>
          <w:sz w:val="40"/>
          <w:szCs w:val="40"/>
        </w:rPr>
      </w:pPr>
    </w:p>
    <w:p w14:paraId="3C5C9726" w14:textId="2BAB25B4" w:rsidR="00BA4F48" w:rsidRPr="00514C80" w:rsidRDefault="00AD12BE" w:rsidP="003A3E29">
      <w:pPr>
        <w:jc w:val="center"/>
        <w:rPr>
          <w:b/>
          <w:sz w:val="40"/>
          <w:szCs w:val="40"/>
        </w:rPr>
      </w:pPr>
      <w:r w:rsidRPr="00514C80">
        <w:rPr>
          <w:b/>
          <w:sz w:val="40"/>
          <w:szCs w:val="40"/>
        </w:rPr>
        <w:t>Vehicle Standa</w:t>
      </w:r>
      <w:r w:rsidR="00EF5250">
        <w:rPr>
          <w:b/>
          <w:sz w:val="40"/>
          <w:szCs w:val="40"/>
        </w:rPr>
        <w:t xml:space="preserve">rd (Australian Design Rule </w:t>
      </w:r>
      <w:r w:rsidR="00786B33">
        <w:rPr>
          <w:b/>
          <w:sz w:val="40"/>
          <w:szCs w:val="40"/>
        </w:rPr>
        <w:t>99</w:t>
      </w:r>
      <w:r w:rsidR="00645459">
        <w:rPr>
          <w:b/>
          <w:sz w:val="40"/>
          <w:szCs w:val="40"/>
        </w:rPr>
        <w:t>/00</w:t>
      </w:r>
      <w:r w:rsidR="00EF5250">
        <w:rPr>
          <w:b/>
          <w:sz w:val="40"/>
          <w:szCs w:val="40"/>
        </w:rPr>
        <w:t xml:space="preserve"> –Lane Departure Warning Systems for Heavy </w:t>
      </w:r>
      <w:r w:rsidR="00A52062">
        <w:rPr>
          <w:b/>
          <w:sz w:val="40"/>
          <w:szCs w:val="40"/>
        </w:rPr>
        <w:t>Vehicles)</w:t>
      </w:r>
      <w:r w:rsidR="00684C79">
        <w:rPr>
          <w:b/>
          <w:sz w:val="40"/>
          <w:szCs w:val="40"/>
        </w:rPr>
        <w:t xml:space="preserve"> 2022</w:t>
      </w:r>
    </w:p>
    <w:p w14:paraId="471F5F9A" w14:textId="77777777" w:rsidR="00BA4F48" w:rsidRPr="00514C80" w:rsidRDefault="00BA4F48" w:rsidP="00D82CC0"/>
    <w:p w14:paraId="19A365C6" w14:textId="77777777" w:rsidR="00485E16" w:rsidRPr="00514C80" w:rsidRDefault="00485E16" w:rsidP="00D82CC0"/>
    <w:p w14:paraId="2C8413B4" w14:textId="77777777" w:rsidR="00BA4F48" w:rsidRPr="00514C80" w:rsidRDefault="00BA4F48" w:rsidP="00D82CC0"/>
    <w:p w14:paraId="61F4B1C3" w14:textId="77777777" w:rsidR="00BA4F48" w:rsidRPr="00514C80" w:rsidRDefault="00BA4F48" w:rsidP="00D82CC0"/>
    <w:p w14:paraId="035469B9" w14:textId="77777777" w:rsidR="00AD12BE" w:rsidRPr="00514C80" w:rsidRDefault="00AD12BE" w:rsidP="00AD12BE">
      <w:pPr>
        <w:jc w:val="center"/>
      </w:pPr>
      <w:r w:rsidRPr="00514C80">
        <w:t xml:space="preserve">Made under section 12 of the </w:t>
      </w:r>
      <w:r w:rsidRPr="00514C80">
        <w:rPr>
          <w:i/>
        </w:rPr>
        <w:t>Road Vehicle Standards Act 2018</w:t>
      </w:r>
    </w:p>
    <w:p w14:paraId="5868968D" w14:textId="77777777" w:rsidR="00AD12BE" w:rsidRPr="00514C80" w:rsidRDefault="00AD12BE" w:rsidP="00AD12BE"/>
    <w:p w14:paraId="3F648FD8" w14:textId="77777777" w:rsidR="00AD12BE" w:rsidRPr="00514C80" w:rsidRDefault="00AD12BE" w:rsidP="00AD12BE"/>
    <w:p w14:paraId="0FEF1C2D" w14:textId="77777777" w:rsidR="00AD12BE" w:rsidRPr="00514C80" w:rsidRDefault="00AD12BE" w:rsidP="00AD12BE"/>
    <w:p w14:paraId="6318A17E" w14:textId="77777777" w:rsidR="00AD12BE" w:rsidRPr="00514C80" w:rsidRDefault="00AD12BE" w:rsidP="00AD12BE"/>
    <w:p w14:paraId="42F852FD" w14:textId="77777777" w:rsidR="00AD12BE" w:rsidRPr="00514C80" w:rsidRDefault="00AD12BE" w:rsidP="00AD12BE"/>
    <w:p w14:paraId="4B94832F" w14:textId="77777777" w:rsidR="00AD12BE" w:rsidRPr="00514C80" w:rsidRDefault="00AD12BE" w:rsidP="00AD12BE">
      <w:pPr>
        <w:jc w:val="center"/>
        <w:rPr>
          <w:b/>
          <w:bCs/>
          <w:sz w:val="40"/>
        </w:rPr>
      </w:pPr>
      <w:r w:rsidRPr="00514C80">
        <w:rPr>
          <w:b/>
          <w:bCs/>
          <w:sz w:val="40"/>
        </w:rPr>
        <w:t>Explanatory Statement</w:t>
      </w:r>
    </w:p>
    <w:p w14:paraId="1B7982A9" w14:textId="77777777" w:rsidR="00AD12BE" w:rsidRPr="00514C80" w:rsidRDefault="00AD12BE" w:rsidP="00AD12BE"/>
    <w:p w14:paraId="1F96460B" w14:textId="77777777" w:rsidR="00AD12BE" w:rsidRPr="00514C80" w:rsidRDefault="00AD12BE" w:rsidP="00AD12BE"/>
    <w:p w14:paraId="6309D3C2" w14:textId="77777777" w:rsidR="00AD12BE" w:rsidRPr="00514C80" w:rsidRDefault="00AD12BE" w:rsidP="00AD12BE"/>
    <w:p w14:paraId="0B0DA96C" w14:textId="77777777" w:rsidR="00AD12BE" w:rsidRPr="00514C80" w:rsidRDefault="00AD12BE" w:rsidP="00AD12BE"/>
    <w:p w14:paraId="262955F3" w14:textId="77777777" w:rsidR="00AD12BE" w:rsidRPr="00514C80" w:rsidRDefault="00AD12BE" w:rsidP="00AD12BE"/>
    <w:p w14:paraId="1AD30A38" w14:textId="1FA4A7B6" w:rsidR="00AD12BE" w:rsidRPr="00514C80" w:rsidRDefault="00AD12BE" w:rsidP="00AD12BE">
      <w:pPr>
        <w:jc w:val="center"/>
      </w:pPr>
      <w:r w:rsidRPr="00514C80">
        <w:t xml:space="preserve">Approved by the Hon </w:t>
      </w:r>
      <w:r w:rsidR="00662945">
        <w:t>[name of relevant minister]</w:t>
      </w:r>
      <w:r w:rsidRPr="00514C80">
        <w:t xml:space="preserve">, </w:t>
      </w:r>
      <w:r w:rsidR="00662945">
        <w:t>[title of relevant minister]</w:t>
      </w:r>
      <w:r w:rsidRPr="00514C80">
        <w:t xml:space="preserve"> </w:t>
      </w:r>
      <w:r w:rsidRPr="00514C80">
        <w:br/>
      </w:r>
    </w:p>
    <w:p w14:paraId="2D3BD000" w14:textId="77777777" w:rsidR="00AD12BE" w:rsidRPr="00514C80" w:rsidRDefault="00AD12BE" w:rsidP="00AD12BE"/>
    <w:p w14:paraId="6AA758AE" w14:textId="77777777" w:rsidR="00AD12BE" w:rsidRPr="00514C80" w:rsidRDefault="00AD12BE" w:rsidP="00AD12BE"/>
    <w:p w14:paraId="3101EC65" w14:textId="77777777" w:rsidR="00AD12BE" w:rsidRPr="00514C80" w:rsidRDefault="00AD12BE" w:rsidP="00AD12BE"/>
    <w:p w14:paraId="31D6A8B9" w14:textId="77777777" w:rsidR="00AD12BE" w:rsidRPr="00514C80" w:rsidRDefault="00AD12BE" w:rsidP="00AD12BE"/>
    <w:p w14:paraId="1313865E" w14:textId="77777777" w:rsidR="00AD12BE" w:rsidRPr="00514C80" w:rsidRDefault="00AD12BE" w:rsidP="00AD12BE"/>
    <w:p w14:paraId="6F1690B9" w14:textId="6CC5F820" w:rsidR="00BA4F48" w:rsidRPr="00514C80" w:rsidRDefault="00662945" w:rsidP="00AD12BE">
      <w:pPr>
        <w:jc w:val="center"/>
        <w:rPr>
          <w:b/>
          <w:bCs/>
          <w:sz w:val="40"/>
        </w:rPr>
      </w:pPr>
      <w:r>
        <w:rPr>
          <w:b/>
          <w:bCs/>
          <w:sz w:val="40"/>
        </w:rPr>
        <w:t>[April]</w:t>
      </w:r>
      <w:r w:rsidRPr="00514C80">
        <w:rPr>
          <w:b/>
          <w:bCs/>
          <w:sz w:val="40"/>
        </w:rPr>
        <w:t xml:space="preserve"> </w:t>
      </w:r>
      <w:r w:rsidR="00AD12BE" w:rsidRPr="00514C80">
        <w:rPr>
          <w:b/>
          <w:bCs/>
          <w:sz w:val="40"/>
        </w:rPr>
        <w:t>20</w:t>
      </w:r>
      <w:r w:rsidR="000707B0">
        <w:rPr>
          <w:b/>
          <w:bCs/>
          <w:sz w:val="40"/>
        </w:rPr>
        <w:t>2</w:t>
      </w:r>
      <w:r w:rsidR="0003681E">
        <w:rPr>
          <w:b/>
          <w:bCs/>
          <w:sz w:val="40"/>
        </w:rPr>
        <w:t>2</w:t>
      </w:r>
    </w:p>
    <w:p w14:paraId="4FBAFB79" w14:textId="77777777" w:rsidR="00BA4F48" w:rsidRPr="00514C80" w:rsidRDefault="00BA4F48" w:rsidP="00D82CC0"/>
    <w:p w14:paraId="534E2AF2" w14:textId="77777777" w:rsidR="00BA4F48" w:rsidRPr="00514C80" w:rsidRDefault="00BA4F48" w:rsidP="00D82CC0"/>
    <w:p w14:paraId="78D26585" w14:textId="77777777" w:rsidR="00FD272C" w:rsidRPr="00514C80" w:rsidRDefault="00FD272C" w:rsidP="00780DE8">
      <w:pPr>
        <w:pStyle w:val="ContentsHeading"/>
        <w:sectPr w:rsidR="00FD272C" w:rsidRPr="00514C80" w:rsidSect="00767D05">
          <w:headerReference w:type="default" r:id="rId11"/>
          <w:headerReference w:type="first" r:id="rId12"/>
          <w:pgSz w:w="11906" w:h="16838" w:code="9"/>
          <w:pgMar w:top="1440" w:right="1474" w:bottom="1440" w:left="1474" w:header="709" w:footer="709" w:gutter="0"/>
          <w:pgNumType w:start="1"/>
          <w:cols w:space="708"/>
          <w:titlePg/>
          <w:docGrid w:linePitch="360"/>
        </w:sectPr>
      </w:pPr>
    </w:p>
    <w:p w14:paraId="3A8D96D4" w14:textId="77777777" w:rsidR="00BA4F48" w:rsidRPr="00514C80" w:rsidRDefault="00BA4F48" w:rsidP="00780DE8">
      <w:pPr>
        <w:pStyle w:val="ContentsHeading"/>
      </w:pPr>
      <w:r w:rsidRPr="000D0AC6">
        <w:lastRenderedPageBreak/>
        <w:t>CONTENTS</w:t>
      </w:r>
    </w:p>
    <w:p w14:paraId="64E01210" w14:textId="77777777" w:rsidR="00DD4F22" w:rsidRPr="00514C80" w:rsidRDefault="00DD4F22" w:rsidP="00DD4F22"/>
    <w:p w14:paraId="322F652D" w14:textId="0CE9B3A9" w:rsidR="008F5BAA" w:rsidRDefault="00DD4F22">
      <w:pPr>
        <w:pStyle w:val="TOC1"/>
        <w:rPr>
          <w:rFonts w:asciiTheme="minorHAnsi" w:eastAsiaTheme="minorEastAsia" w:hAnsiTheme="minorHAnsi" w:cstheme="minorBidi"/>
          <w:caps w:val="0"/>
          <w:noProof/>
          <w:sz w:val="22"/>
          <w:szCs w:val="22"/>
        </w:rPr>
      </w:pPr>
      <w:r w:rsidRPr="00514C80">
        <w:fldChar w:fldCharType="begin"/>
      </w:r>
      <w:r w:rsidRPr="00514C80">
        <w:instrText xml:space="preserve"> TOC \t "Heading Level 1,1,Heading Level 2,2" </w:instrText>
      </w:r>
      <w:r w:rsidRPr="00514C80">
        <w:fldChar w:fldCharType="separate"/>
      </w:r>
      <w:r w:rsidR="008F5BAA">
        <w:rPr>
          <w:noProof/>
        </w:rPr>
        <w:t>1.</w:t>
      </w:r>
      <w:r w:rsidR="008F5BAA">
        <w:rPr>
          <w:rFonts w:asciiTheme="minorHAnsi" w:eastAsiaTheme="minorEastAsia" w:hAnsiTheme="minorHAnsi" w:cstheme="minorBidi"/>
          <w:caps w:val="0"/>
          <w:noProof/>
          <w:sz w:val="22"/>
          <w:szCs w:val="22"/>
        </w:rPr>
        <w:tab/>
      </w:r>
      <w:r w:rsidR="008F5BAA">
        <w:rPr>
          <w:noProof/>
        </w:rPr>
        <w:t>legislative Authority</w:t>
      </w:r>
      <w:r w:rsidR="008F5BAA">
        <w:rPr>
          <w:noProof/>
        </w:rPr>
        <w:tab/>
      </w:r>
      <w:r w:rsidR="008F5BAA">
        <w:rPr>
          <w:noProof/>
        </w:rPr>
        <w:fldChar w:fldCharType="begin"/>
      </w:r>
      <w:r w:rsidR="008F5BAA">
        <w:rPr>
          <w:noProof/>
        </w:rPr>
        <w:instrText xml:space="preserve"> PAGEREF _Toc100329068 \h </w:instrText>
      </w:r>
      <w:r w:rsidR="008F5BAA">
        <w:rPr>
          <w:noProof/>
        </w:rPr>
      </w:r>
      <w:r w:rsidR="008F5BAA">
        <w:rPr>
          <w:noProof/>
        </w:rPr>
        <w:fldChar w:fldCharType="separate"/>
      </w:r>
      <w:r w:rsidR="007C6347">
        <w:rPr>
          <w:noProof/>
        </w:rPr>
        <w:t>3</w:t>
      </w:r>
      <w:r w:rsidR="008F5BAA">
        <w:rPr>
          <w:noProof/>
        </w:rPr>
        <w:fldChar w:fldCharType="end"/>
      </w:r>
    </w:p>
    <w:p w14:paraId="5F49393A" w14:textId="596114D5" w:rsidR="008F5BAA" w:rsidRDefault="008F5BA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_Toc100329069 \h </w:instrText>
      </w:r>
      <w:r>
        <w:rPr>
          <w:noProof/>
        </w:rPr>
      </w:r>
      <w:r>
        <w:rPr>
          <w:noProof/>
        </w:rPr>
        <w:fldChar w:fldCharType="separate"/>
      </w:r>
      <w:r w:rsidR="007C6347">
        <w:rPr>
          <w:noProof/>
        </w:rPr>
        <w:t>3</w:t>
      </w:r>
      <w:r>
        <w:rPr>
          <w:noProof/>
        </w:rPr>
        <w:fldChar w:fldCharType="end"/>
      </w:r>
    </w:p>
    <w:p w14:paraId="172543A9" w14:textId="689E4C75" w:rsidR="008F5BAA" w:rsidRDefault="008F5BA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_Toc100329070 \h </w:instrText>
      </w:r>
      <w:r>
        <w:rPr>
          <w:noProof/>
        </w:rPr>
      </w:r>
      <w:r>
        <w:rPr>
          <w:noProof/>
        </w:rPr>
        <w:fldChar w:fldCharType="separate"/>
      </w:r>
      <w:r w:rsidR="007C6347">
        <w:rPr>
          <w:noProof/>
        </w:rPr>
        <w:t>3</w:t>
      </w:r>
      <w:r>
        <w:rPr>
          <w:noProof/>
        </w:rPr>
        <w:fldChar w:fldCharType="end"/>
      </w:r>
    </w:p>
    <w:p w14:paraId="0BA158DB" w14:textId="2FECB26F" w:rsidR="008F5BAA" w:rsidRDefault="008F5BAA">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_Toc100329071 \h </w:instrText>
      </w:r>
      <w:r>
        <w:rPr>
          <w:noProof/>
        </w:rPr>
      </w:r>
      <w:r>
        <w:rPr>
          <w:noProof/>
        </w:rPr>
        <w:fldChar w:fldCharType="separate"/>
      </w:r>
      <w:r w:rsidR="007C6347">
        <w:rPr>
          <w:noProof/>
        </w:rPr>
        <w:t>4</w:t>
      </w:r>
      <w:r>
        <w:rPr>
          <w:noProof/>
        </w:rPr>
        <w:fldChar w:fldCharType="end"/>
      </w:r>
    </w:p>
    <w:p w14:paraId="47DA6E59" w14:textId="7FD55492" w:rsidR="008F5BAA" w:rsidRDefault="008F5BAA">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Pr>
          <w:noProof/>
        </w:rPr>
        <w:fldChar w:fldCharType="begin"/>
      </w:r>
      <w:r>
        <w:rPr>
          <w:noProof/>
        </w:rPr>
        <w:instrText xml:space="preserve"> PAGEREF _Toc100329072 \h </w:instrText>
      </w:r>
      <w:r>
        <w:rPr>
          <w:noProof/>
        </w:rPr>
      </w:r>
      <w:r>
        <w:rPr>
          <w:noProof/>
        </w:rPr>
        <w:fldChar w:fldCharType="separate"/>
      </w:r>
      <w:r w:rsidR="007C6347">
        <w:rPr>
          <w:noProof/>
        </w:rPr>
        <w:t>4</w:t>
      </w:r>
      <w:r>
        <w:rPr>
          <w:noProof/>
        </w:rPr>
        <w:fldChar w:fldCharType="end"/>
      </w:r>
    </w:p>
    <w:p w14:paraId="21C82D4B" w14:textId="2B3DE935" w:rsidR="008F5BAA" w:rsidRDefault="008F5BAA">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_Toc100329073 \h </w:instrText>
      </w:r>
      <w:r>
        <w:rPr>
          <w:noProof/>
        </w:rPr>
      </w:r>
      <w:r>
        <w:rPr>
          <w:noProof/>
        </w:rPr>
        <w:fldChar w:fldCharType="separate"/>
      </w:r>
      <w:r w:rsidR="007C6347">
        <w:rPr>
          <w:noProof/>
        </w:rPr>
        <w:t>5</w:t>
      </w:r>
      <w:r>
        <w:rPr>
          <w:noProof/>
        </w:rPr>
        <w:fldChar w:fldCharType="end"/>
      </w:r>
    </w:p>
    <w:p w14:paraId="177E4B60" w14:textId="03C663E8" w:rsidR="008F5BAA" w:rsidRDefault="008F5BAA">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Lane Departure Warning System</w:t>
      </w:r>
      <w:r>
        <w:rPr>
          <w:noProof/>
        </w:rPr>
        <w:tab/>
      </w:r>
      <w:r>
        <w:rPr>
          <w:noProof/>
        </w:rPr>
        <w:fldChar w:fldCharType="begin"/>
      </w:r>
      <w:r>
        <w:rPr>
          <w:noProof/>
        </w:rPr>
        <w:instrText xml:space="preserve"> PAGEREF _Toc100329074 \h </w:instrText>
      </w:r>
      <w:r>
        <w:rPr>
          <w:noProof/>
        </w:rPr>
      </w:r>
      <w:r>
        <w:rPr>
          <w:noProof/>
        </w:rPr>
        <w:fldChar w:fldCharType="separate"/>
      </w:r>
      <w:r w:rsidR="007C6347">
        <w:rPr>
          <w:noProof/>
        </w:rPr>
        <w:t>5</w:t>
      </w:r>
      <w:r>
        <w:rPr>
          <w:noProof/>
        </w:rPr>
        <w:fldChar w:fldCharType="end"/>
      </w:r>
    </w:p>
    <w:p w14:paraId="631E4D08" w14:textId="54A1A67A" w:rsidR="008F5BAA" w:rsidRDefault="008F5BAA">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Design Requirement – Lane Departure Warning System</w:t>
      </w:r>
      <w:r>
        <w:rPr>
          <w:noProof/>
        </w:rPr>
        <w:tab/>
      </w:r>
      <w:r>
        <w:rPr>
          <w:noProof/>
        </w:rPr>
        <w:fldChar w:fldCharType="begin"/>
      </w:r>
      <w:r>
        <w:rPr>
          <w:noProof/>
        </w:rPr>
        <w:instrText xml:space="preserve"> PAGEREF _Toc100329075 \h </w:instrText>
      </w:r>
      <w:r>
        <w:rPr>
          <w:noProof/>
        </w:rPr>
      </w:r>
      <w:r>
        <w:rPr>
          <w:noProof/>
        </w:rPr>
        <w:fldChar w:fldCharType="separate"/>
      </w:r>
      <w:r w:rsidR="007C6347">
        <w:rPr>
          <w:noProof/>
        </w:rPr>
        <w:t>5</w:t>
      </w:r>
      <w:r>
        <w:rPr>
          <w:noProof/>
        </w:rPr>
        <w:fldChar w:fldCharType="end"/>
      </w:r>
    </w:p>
    <w:p w14:paraId="1C7E1DBA" w14:textId="3A8B53AF" w:rsidR="008F5BAA" w:rsidRDefault="008F5BAA">
      <w:pPr>
        <w:pStyle w:val="TOC2"/>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LDWS Warnings</w:t>
      </w:r>
      <w:r>
        <w:rPr>
          <w:noProof/>
        </w:rPr>
        <w:tab/>
      </w:r>
      <w:r>
        <w:rPr>
          <w:noProof/>
        </w:rPr>
        <w:fldChar w:fldCharType="begin"/>
      </w:r>
      <w:r>
        <w:rPr>
          <w:noProof/>
        </w:rPr>
        <w:instrText xml:space="preserve"> PAGEREF _Toc100329076 \h </w:instrText>
      </w:r>
      <w:r>
        <w:rPr>
          <w:noProof/>
        </w:rPr>
      </w:r>
      <w:r>
        <w:rPr>
          <w:noProof/>
        </w:rPr>
        <w:fldChar w:fldCharType="separate"/>
      </w:r>
      <w:r w:rsidR="007C6347">
        <w:rPr>
          <w:noProof/>
        </w:rPr>
        <w:t>6</w:t>
      </w:r>
      <w:r>
        <w:rPr>
          <w:noProof/>
        </w:rPr>
        <w:fldChar w:fldCharType="end"/>
      </w:r>
    </w:p>
    <w:p w14:paraId="2D4718AD" w14:textId="078C3202" w:rsidR="008F5BAA" w:rsidRDefault="008F5BAA">
      <w:pPr>
        <w:pStyle w:val="TOC2"/>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LDWS Performance and limitations</w:t>
      </w:r>
      <w:r>
        <w:rPr>
          <w:noProof/>
        </w:rPr>
        <w:tab/>
      </w:r>
      <w:r>
        <w:rPr>
          <w:noProof/>
        </w:rPr>
        <w:fldChar w:fldCharType="begin"/>
      </w:r>
      <w:r>
        <w:rPr>
          <w:noProof/>
        </w:rPr>
        <w:instrText xml:space="preserve"> PAGEREF _Toc100329077 \h </w:instrText>
      </w:r>
      <w:r>
        <w:rPr>
          <w:noProof/>
        </w:rPr>
      </w:r>
      <w:r>
        <w:rPr>
          <w:noProof/>
        </w:rPr>
        <w:fldChar w:fldCharType="separate"/>
      </w:r>
      <w:r w:rsidR="007C6347">
        <w:rPr>
          <w:noProof/>
        </w:rPr>
        <w:t>7</w:t>
      </w:r>
      <w:r>
        <w:rPr>
          <w:noProof/>
        </w:rPr>
        <w:fldChar w:fldCharType="end"/>
      </w:r>
    </w:p>
    <w:p w14:paraId="1B8A6FDA" w14:textId="1A1E0F4E" w:rsidR="008F5BAA" w:rsidRDefault="008F5BAA">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_Toc100329078 \h </w:instrText>
      </w:r>
      <w:r>
        <w:rPr>
          <w:noProof/>
        </w:rPr>
      </w:r>
      <w:r>
        <w:rPr>
          <w:noProof/>
        </w:rPr>
        <w:fldChar w:fldCharType="separate"/>
      </w:r>
      <w:r w:rsidR="007C6347">
        <w:rPr>
          <w:noProof/>
        </w:rPr>
        <w:t>7</w:t>
      </w:r>
      <w:r>
        <w:rPr>
          <w:noProof/>
        </w:rPr>
        <w:fldChar w:fldCharType="end"/>
      </w:r>
    </w:p>
    <w:p w14:paraId="28F1D138" w14:textId="7732A68A" w:rsidR="008F5BAA" w:rsidRDefault="008F5BAA">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Pr>
          <w:noProof/>
        </w:rPr>
        <w:fldChar w:fldCharType="begin"/>
      </w:r>
      <w:r>
        <w:rPr>
          <w:noProof/>
        </w:rPr>
        <w:instrText xml:space="preserve"> PAGEREF _Toc100329079 \h </w:instrText>
      </w:r>
      <w:r>
        <w:rPr>
          <w:noProof/>
        </w:rPr>
      </w:r>
      <w:r>
        <w:rPr>
          <w:noProof/>
        </w:rPr>
        <w:fldChar w:fldCharType="separate"/>
      </w:r>
      <w:r w:rsidR="007C6347">
        <w:rPr>
          <w:noProof/>
        </w:rPr>
        <w:t>7</w:t>
      </w:r>
      <w:r>
        <w:rPr>
          <w:noProof/>
        </w:rPr>
        <w:fldChar w:fldCharType="end"/>
      </w:r>
    </w:p>
    <w:p w14:paraId="5FF40EB5" w14:textId="4A570E2E" w:rsidR="008F5BAA" w:rsidRDefault="008F5BAA">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United Nations Regulations and / or Resolutions</w:t>
      </w:r>
      <w:r>
        <w:rPr>
          <w:noProof/>
        </w:rPr>
        <w:tab/>
      </w:r>
      <w:r>
        <w:rPr>
          <w:noProof/>
        </w:rPr>
        <w:fldChar w:fldCharType="begin"/>
      </w:r>
      <w:r>
        <w:rPr>
          <w:noProof/>
        </w:rPr>
        <w:instrText xml:space="preserve"> PAGEREF _Toc100329080 \h </w:instrText>
      </w:r>
      <w:r>
        <w:rPr>
          <w:noProof/>
        </w:rPr>
      </w:r>
      <w:r>
        <w:rPr>
          <w:noProof/>
        </w:rPr>
        <w:fldChar w:fldCharType="separate"/>
      </w:r>
      <w:r w:rsidR="007C6347">
        <w:rPr>
          <w:noProof/>
        </w:rPr>
        <w:t>7</w:t>
      </w:r>
      <w:r>
        <w:rPr>
          <w:noProof/>
        </w:rPr>
        <w:fldChar w:fldCharType="end"/>
      </w:r>
    </w:p>
    <w:p w14:paraId="30E52CE4" w14:textId="75EFAE5B" w:rsidR="008F5BAA" w:rsidRDefault="008F5BAA">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_Toc100329081 \h </w:instrText>
      </w:r>
      <w:r>
        <w:rPr>
          <w:noProof/>
        </w:rPr>
      </w:r>
      <w:r>
        <w:rPr>
          <w:noProof/>
        </w:rPr>
        <w:fldChar w:fldCharType="separate"/>
      </w:r>
      <w:r w:rsidR="007C6347">
        <w:rPr>
          <w:noProof/>
        </w:rPr>
        <w:t>8</w:t>
      </w:r>
      <w:r>
        <w:rPr>
          <w:noProof/>
        </w:rPr>
        <w:fldChar w:fldCharType="end"/>
      </w:r>
    </w:p>
    <w:p w14:paraId="62F7F953" w14:textId="460637D0" w:rsidR="008F5BAA" w:rsidRDefault="008F5BAA">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_Toc100329082 \h </w:instrText>
      </w:r>
      <w:r>
        <w:rPr>
          <w:noProof/>
        </w:rPr>
      </w:r>
      <w:r>
        <w:rPr>
          <w:noProof/>
        </w:rPr>
        <w:fldChar w:fldCharType="separate"/>
      </w:r>
      <w:r w:rsidR="007C6347">
        <w:rPr>
          <w:noProof/>
        </w:rPr>
        <w:t>8</w:t>
      </w:r>
      <w:r>
        <w:rPr>
          <w:noProof/>
        </w:rPr>
        <w:fldChar w:fldCharType="end"/>
      </w:r>
    </w:p>
    <w:p w14:paraId="5E24BE77" w14:textId="1BECF142" w:rsidR="008F5BAA" w:rsidRDefault="008F5BAA">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_Toc100329083 \h </w:instrText>
      </w:r>
      <w:r>
        <w:rPr>
          <w:noProof/>
        </w:rPr>
      </w:r>
      <w:r>
        <w:rPr>
          <w:noProof/>
        </w:rPr>
        <w:fldChar w:fldCharType="separate"/>
      </w:r>
      <w:r w:rsidR="007C6347">
        <w:rPr>
          <w:noProof/>
        </w:rPr>
        <w:t>8</w:t>
      </w:r>
      <w:r>
        <w:rPr>
          <w:noProof/>
        </w:rPr>
        <w:fldChar w:fldCharType="end"/>
      </w:r>
    </w:p>
    <w:p w14:paraId="42ABC8DA" w14:textId="791A6C22" w:rsidR="008F5BAA" w:rsidRDefault="008F5BAA">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_Toc100329084 \h </w:instrText>
      </w:r>
      <w:r>
        <w:rPr>
          <w:noProof/>
        </w:rPr>
      </w:r>
      <w:r>
        <w:rPr>
          <w:noProof/>
        </w:rPr>
        <w:fldChar w:fldCharType="separate"/>
      </w:r>
      <w:r w:rsidR="007C6347">
        <w:rPr>
          <w:noProof/>
        </w:rPr>
        <w:t>8</w:t>
      </w:r>
      <w:r>
        <w:rPr>
          <w:noProof/>
        </w:rPr>
        <w:fldChar w:fldCharType="end"/>
      </w:r>
    </w:p>
    <w:p w14:paraId="53452311" w14:textId="4BBF9D55" w:rsidR="008F5BAA" w:rsidRDefault="008F5BAA">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_Toc100329085 \h </w:instrText>
      </w:r>
      <w:r>
        <w:rPr>
          <w:noProof/>
        </w:rPr>
      </w:r>
      <w:r>
        <w:rPr>
          <w:noProof/>
        </w:rPr>
        <w:fldChar w:fldCharType="separate"/>
      </w:r>
      <w:r w:rsidR="007C6347">
        <w:rPr>
          <w:noProof/>
        </w:rPr>
        <w:t>8</w:t>
      </w:r>
      <w:r>
        <w:rPr>
          <w:noProof/>
        </w:rPr>
        <w:fldChar w:fldCharType="end"/>
      </w:r>
    </w:p>
    <w:p w14:paraId="1E5F3525" w14:textId="540D3C43" w:rsidR="008F5BAA" w:rsidRDefault="008F5BAA">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_Toc100329086 \h </w:instrText>
      </w:r>
      <w:r>
        <w:rPr>
          <w:noProof/>
        </w:rPr>
      </w:r>
      <w:r>
        <w:rPr>
          <w:noProof/>
        </w:rPr>
        <w:fldChar w:fldCharType="separate"/>
      </w:r>
      <w:r w:rsidR="007C6347">
        <w:rPr>
          <w:noProof/>
        </w:rPr>
        <w:t>9</w:t>
      </w:r>
      <w:r>
        <w:rPr>
          <w:noProof/>
        </w:rPr>
        <w:fldChar w:fldCharType="end"/>
      </w:r>
    </w:p>
    <w:p w14:paraId="45868A7B" w14:textId="639E5BD5" w:rsidR="008F5BAA" w:rsidRDefault="008F5BAA">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_Toc100329087 \h </w:instrText>
      </w:r>
      <w:r>
        <w:rPr>
          <w:noProof/>
        </w:rPr>
      </w:r>
      <w:r>
        <w:rPr>
          <w:noProof/>
        </w:rPr>
        <w:fldChar w:fldCharType="separate"/>
      </w:r>
      <w:r w:rsidR="007C6347">
        <w:rPr>
          <w:noProof/>
        </w:rPr>
        <w:t>9</w:t>
      </w:r>
      <w:r>
        <w:rPr>
          <w:noProof/>
        </w:rPr>
        <w:fldChar w:fldCharType="end"/>
      </w:r>
    </w:p>
    <w:p w14:paraId="557B79CF" w14:textId="28D2AF36" w:rsidR="008F5BAA" w:rsidRDefault="008F5BAA">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_Toc100329088 \h </w:instrText>
      </w:r>
      <w:r>
        <w:rPr>
          <w:noProof/>
        </w:rPr>
      </w:r>
      <w:r>
        <w:rPr>
          <w:noProof/>
        </w:rPr>
        <w:fldChar w:fldCharType="separate"/>
      </w:r>
      <w:r w:rsidR="007C6347">
        <w:rPr>
          <w:noProof/>
        </w:rPr>
        <w:t>9</w:t>
      </w:r>
      <w:r>
        <w:rPr>
          <w:noProof/>
        </w:rPr>
        <w:fldChar w:fldCharType="end"/>
      </w:r>
    </w:p>
    <w:p w14:paraId="7CFCCDF7" w14:textId="33D9D3D0" w:rsidR="008F5BAA" w:rsidRDefault="008F5BAA">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_Toc100329089 \h </w:instrText>
      </w:r>
      <w:r>
        <w:rPr>
          <w:noProof/>
        </w:rPr>
      </w:r>
      <w:r>
        <w:rPr>
          <w:noProof/>
        </w:rPr>
        <w:fldChar w:fldCharType="separate"/>
      </w:r>
      <w:r w:rsidR="007C6347">
        <w:rPr>
          <w:noProof/>
        </w:rPr>
        <w:t>9</w:t>
      </w:r>
      <w:r>
        <w:rPr>
          <w:noProof/>
        </w:rPr>
        <w:fldChar w:fldCharType="end"/>
      </w:r>
    </w:p>
    <w:p w14:paraId="2B1D788B" w14:textId="05E4B639" w:rsidR="00DD4F22" w:rsidRPr="00514C80" w:rsidRDefault="00DD4F22" w:rsidP="00DD4F22">
      <w:r w:rsidRPr="00514C80">
        <w:fldChar w:fldCharType="end"/>
      </w:r>
    </w:p>
    <w:p w14:paraId="24A63C4C" w14:textId="77777777" w:rsidR="00BA4F48" w:rsidRPr="00514C80" w:rsidRDefault="00BA4F48" w:rsidP="00DD4F22">
      <w:pPr>
        <w:pStyle w:val="HeadingLevel1"/>
      </w:pPr>
      <w:bookmarkStart w:id="0" w:name="_GoBack"/>
      <w:bookmarkEnd w:id="0"/>
      <w:r w:rsidRPr="00514C80">
        <w:rPr>
          <w:color w:val="3366FF"/>
        </w:rPr>
        <w:br w:type="page"/>
      </w:r>
      <w:bookmarkStart w:id="1" w:name="_Toc167864611"/>
      <w:bookmarkStart w:id="2" w:name="_Toc505092258"/>
      <w:bookmarkStart w:id="3" w:name="_Toc100329068"/>
      <w:r w:rsidRPr="00514C80">
        <w:lastRenderedPageBreak/>
        <w:t xml:space="preserve">legislative </w:t>
      </w:r>
      <w:bookmarkEnd w:id="1"/>
      <w:bookmarkEnd w:id="2"/>
      <w:r w:rsidR="00325E9B" w:rsidRPr="00514C80">
        <w:t>Authority</w:t>
      </w:r>
      <w:bookmarkEnd w:id="3"/>
    </w:p>
    <w:p w14:paraId="1863F43F" w14:textId="77777777" w:rsidR="004233CF" w:rsidRPr="00514C80" w:rsidRDefault="00AF47C2" w:rsidP="00E15765">
      <w:pPr>
        <w:pStyle w:val="HeadingLevel2"/>
      </w:pPr>
      <w:bookmarkStart w:id="4" w:name="_Toc100329069"/>
      <w:r w:rsidRPr="00514C80">
        <w:t>National Road Vehicle Standards</w:t>
      </w:r>
      <w:bookmarkEnd w:id="4"/>
    </w:p>
    <w:p w14:paraId="3B4FD01C" w14:textId="5AE29463" w:rsidR="004233CF" w:rsidRDefault="004233CF" w:rsidP="00662945">
      <w:r w:rsidRPr="00514C80">
        <w:t>Vehicle Standa</w:t>
      </w:r>
      <w:r w:rsidR="00872987">
        <w:t xml:space="preserve">rd (Australian Design Rule </w:t>
      </w:r>
      <w:r w:rsidR="00662945">
        <w:t>99</w:t>
      </w:r>
      <w:r w:rsidR="00872987">
        <w:t>/00</w:t>
      </w:r>
      <w:r w:rsidR="00684C79">
        <w:t xml:space="preserve"> – Lane Departure Warning System for Heavy Vehicles) 2022</w:t>
      </w:r>
      <w:r w:rsidR="00891FAC" w:rsidRPr="00514C80">
        <w:t>, also referred to as</w:t>
      </w:r>
      <w:r w:rsidR="00872987">
        <w:t xml:space="preserve"> ADR </w:t>
      </w:r>
      <w:r w:rsidR="00662945">
        <w:t>99</w:t>
      </w:r>
      <w:r w:rsidR="00872987">
        <w:t>/00</w:t>
      </w:r>
      <w:r w:rsidR="00891FAC" w:rsidRPr="00514C80">
        <w:t>,</w:t>
      </w:r>
      <w:r w:rsidRPr="00514C80">
        <w:t xml:space="preserve"> is made under the </w:t>
      </w:r>
      <w:r w:rsidRPr="00514C80">
        <w:rPr>
          <w:i/>
        </w:rPr>
        <w:t>Road Vehicle Standards Act 2018</w:t>
      </w:r>
      <w:r w:rsidRPr="00514C80">
        <w:t xml:space="preserve"> (the Act). </w:t>
      </w:r>
      <w:r w:rsidR="00662945">
        <w:t>Section 12 of the</w:t>
      </w:r>
      <w:r w:rsidRPr="00514C80">
        <w:t xml:space="preserve"> Act </w:t>
      </w:r>
      <w:r w:rsidR="00662945">
        <w:t>allows the Minister to determine National Road Vehicle Standards.</w:t>
      </w:r>
    </w:p>
    <w:p w14:paraId="533C1E1B" w14:textId="77777777" w:rsidR="00204702" w:rsidRPr="0092520B" w:rsidRDefault="00204702" w:rsidP="00204702">
      <w:pPr>
        <w:pStyle w:val="HeadingLevel2"/>
      </w:pPr>
      <w:bookmarkStart w:id="5" w:name="_Toc98331917"/>
      <w:bookmarkStart w:id="6" w:name="_Toc100329070"/>
      <w:r w:rsidRPr="0092520B">
        <w:t>Ex</w:t>
      </w:r>
      <w:r>
        <w:t>em</w:t>
      </w:r>
      <w:r w:rsidRPr="0092520B">
        <w:t>ption from Sunsetting</w:t>
      </w:r>
      <w:bookmarkEnd w:id="5"/>
      <w:bookmarkEnd w:id="6"/>
    </w:p>
    <w:p w14:paraId="445BC3C8" w14:textId="41639153" w:rsidR="00204702" w:rsidRDefault="00872987" w:rsidP="00204702">
      <w:r>
        <w:t xml:space="preserve">ADR </w:t>
      </w:r>
      <w:r w:rsidR="00662945">
        <w:t>99</w:t>
      </w:r>
      <w:r w:rsidR="00204702">
        <w:t xml:space="preserve">/00 is exempt from the sunsetting provisions of the </w:t>
      </w:r>
      <w:r w:rsidR="00204702" w:rsidRPr="00C010DA">
        <w:rPr>
          <w:i/>
        </w:rPr>
        <w:t>Legislation Act 2003</w:t>
      </w:r>
      <w:r w:rsidR="00204702">
        <w:t xml:space="preserve">. </w:t>
      </w:r>
    </w:p>
    <w:p w14:paraId="0F729E8F" w14:textId="77777777" w:rsidR="00204702" w:rsidRPr="002D295F" w:rsidRDefault="00204702" w:rsidP="00204702">
      <w:r w:rsidRPr="002D295F">
        <w:t>Source of the Exem</w:t>
      </w:r>
      <w:r>
        <w:t>ption</w:t>
      </w:r>
    </w:p>
    <w:p w14:paraId="3B3991B1" w14:textId="23CB048E" w:rsidR="00204702" w:rsidRPr="00740261" w:rsidRDefault="00204702" w:rsidP="00204702">
      <w:r>
        <w:t xml:space="preserve">A standard made under section 12 of the Act is not subject to the sunsetting provisions of section 50 of the </w:t>
      </w:r>
      <w:r w:rsidRPr="00276D6F">
        <w:rPr>
          <w:i/>
        </w:rPr>
        <w:t>Legislation (Exemptions and Other Matters) Act 2003</w:t>
      </w:r>
      <w:r>
        <w:t xml:space="preserve"> through section 12 of the </w:t>
      </w:r>
      <w:r w:rsidRPr="00C8116D">
        <w:rPr>
          <w:i/>
        </w:rPr>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2D295F">
        <w:rPr>
          <w:i/>
        </w:rPr>
        <w:t>Legislation (Exemptions and Other Matters) Regulation 2015</w:t>
      </w:r>
      <w:r w:rsidRPr="002D295F">
        <w:t>).</w:t>
      </w:r>
      <w:r>
        <w:t xml:space="preserve"> </w:t>
      </w:r>
      <w:r w:rsidRPr="002D295F">
        <w:t>This exemption is</w:t>
      </w:r>
      <w:r w:rsidR="00872987">
        <w:t xml:space="preserve"> important to ensure that ADR </w:t>
      </w:r>
      <w:r w:rsidR="00662945">
        <w:t>99</w:t>
      </w:r>
      <w:r w:rsidRPr="002D295F">
        <w:t>/00 continues to remain in force, and available to regulators and industry</w:t>
      </w:r>
      <w:r>
        <w:t>.</w:t>
      </w:r>
    </w:p>
    <w:p w14:paraId="43EF0E66" w14:textId="77777777" w:rsidR="00204702" w:rsidRPr="008A5F03" w:rsidRDefault="00204702" w:rsidP="00204702">
      <w:pPr>
        <w:pStyle w:val="Subsubsection"/>
      </w:pPr>
      <w:r w:rsidRPr="008A5F03">
        <w:t>Justification</w:t>
      </w:r>
    </w:p>
    <w:p w14:paraId="45082629" w14:textId="77777777" w:rsidR="00204702" w:rsidRPr="008A5F03" w:rsidRDefault="00204702" w:rsidP="00204702">
      <w:r w:rsidRPr="008A5F03">
        <w:t>It is appropriate that standards made under section 12 of the Act</w:t>
      </w:r>
      <w:r>
        <w:t>,</w:t>
      </w:r>
      <w:r w:rsidRPr="008A5F03">
        <w:t xml:space="preserve"> also known as the Australian Design Rules (ADRs)</w:t>
      </w:r>
      <w:r>
        <w:t>,</w:t>
      </w:r>
      <w:r w:rsidRPr="008A5F03">
        <w:t xml:space="preserve"> remain </w:t>
      </w:r>
      <w:r>
        <w:t xml:space="preserve">enduring and </w:t>
      </w:r>
      <w:r w:rsidRPr="008A5F03">
        <w:t>effective to regulate ongoing road worthiness of vehicles throughout their useful life</w:t>
      </w:r>
      <w:r>
        <w:t xml:space="preserve"> and reduce regulatory burden on vehicle manufacturers</w:t>
      </w:r>
      <w:r w:rsidRPr="008A5F03">
        <w:t xml:space="preserve">. </w:t>
      </w:r>
    </w:p>
    <w:p w14:paraId="790B31A7" w14:textId="77777777" w:rsidR="00204702" w:rsidRPr="009B704A" w:rsidRDefault="00204702" w:rsidP="00204702">
      <w:pPr>
        <w:pStyle w:val="Subsubsubsection"/>
      </w:pPr>
      <w:r w:rsidRPr="009B704A">
        <w:t>Intergovernmental dependencies</w:t>
      </w:r>
    </w:p>
    <w:p w14:paraId="3D7CDE10" w14:textId="77777777" w:rsidR="00204702" w:rsidRPr="009B704A" w:rsidRDefault="00204702" w:rsidP="00204702">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7A5FD22B" w14:textId="77777777" w:rsidR="00204702" w:rsidRPr="009B704A" w:rsidRDefault="00204702" w:rsidP="00204702">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States and </w:t>
      </w:r>
      <w:r>
        <w:t>t</w:t>
      </w:r>
      <w:r w:rsidRPr="009B704A">
        <w: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490EAAF7" w14:textId="77777777" w:rsidR="00204702" w:rsidRDefault="00204702" w:rsidP="00204702">
      <w:r>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52C19C92" w14:textId="7DD4DE83" w:rsidR="00204702" w:rsidRPr="009B704A" w:rsidRDefault="00204702" w:rsidP="00204702">
      <w:r w:rsidRPr="009B704A">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w:t>
      </w:r>
      <w:r w:rsidRPr="009B704A">
        <w:lastRenderedPageBreak/>
        <w:t xml:space="preserve">standards. 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Having different vehicle standards across the states and territories would make the scheme operate contrary to the underlying policy intent of the </w:t>
      </w:r>
      <w:r>
        <w:t>Act</w:t>
      </w:r>
      <w:r w:rsidRPr="009B704A">
        <w:t xml:space="preserve"> which is to set nationally consistent </w:t>
      </w:r>
      <w:r w:rsidR="00E77D52" w:rsidRPr="009B704A">
        <w:t>performance-based</w:t>
      </w:r>
      <w:r w:rsidRPr="009B704A">
        <w:t xml:space="preserve"> standards.</w:t>
      </w:r>
    </w:p>
    <w:p w14:paraId="7478598E" w14:textId="77777777" w:rsidR="00204702" w:rsidRPr="009B704A" w:rsidRDefault="00204702" w:rsidP="00204702">
      <w:pPr>
        <w:pStyle w:val="Subsubsubsection"/>
      </w:pPr>
      <w:r w:rsidRPr="009B704A">
        <w:t>Commercial dependencies</w:t>
      </w:r>
    </w:p>
    <w:p w14:paraId="481086FC" w14:textId="77777777" w:rsidR="00204702" w:rsidRDefault="00204702" w:rsidP="00204702">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16B2806F" w14:textId="77777777" w:rsidR="00204702" w:rsidRPr="003C1591" w:rsidRDefault="00204702" w:rsidP="00204702">
      <w:pPr>
        <w:pStyle w:val="Subsubsection"/>
      </w:pPr>
      <w:r w:rsidRPr="003C1591">
        <w:t>Effect on parliamentary oversight</w:t>
      </w:r>
    </w:p>
    <w:p w14:paraId="58F5CD55" w14:textId="6A693342" w:rsidR="00204702" w:rsidRPr="003C1591" w:rsidRDefault="00204702" w:rsidP="00204702">
      <w:r>
        <w:t>Despite</w:t>
      </w:r>
      <w:r w:rsidRPr="003C1591">
        <w:t xml:space="preserve"> exemption from sunsetting ADRs are subject to regular reviews when developments in vehicle technology necessitates updates to requirements. Comprehensive parliamentary scrutiny is available through these reviews.</w:t>
      </w:r>
    </w:p>
    <w:p w14:paraId="3204AB0B" w14:textId="60E06BED" w:rsidR="00204702" w:rsidRDefault="00204702" w:rsidP="004233CF">
      <w:r w:rsidRPr="003C1591">
        <w:t xml:space="preserve">Reviews of the ADRs ensure the ongoing effectiveness of a nationally consistent system of technical regulations for vehicle design, which are closely aligned, wherever appropriate with leading international standards such as United Nations regulations. </w:t>
      </w:r>
      <w:r>
        <w:t>Aligning with such standards</w:t>
      </w:r>
      <w:r w:rsidRPr="003C1591">
        <w:t xml:space="preserve"> facilitate</w:t>
      </w:r>
      <w:r>
        <w:t>s</w:t>
      </w:r>
      <w:r w:rsidRPr="003C1591">
        <w:t xml:space="preserve"> the rapid introduction of the latest safety devices and technological advances into the Australian market, </w:t>
      </w:r>
      <w:r w:rsidR="00685271">
        <w:t>reducing regulatory burden</w:t>
      </w:r>
      <w:r w:rsidRPr="003C1591">
        <w:t>.</w:t>
      </w:r>
    </w:p>
    <w:p w14:paraId="23C49CB7" w14:textId="77777777" w:rsidR="00685271" w:rsidRPr="007D5A43" w:rsidRDefault="00685271" w:rsidP="00685271">
      <w:pPr>
        <w:pStyle w:val="HeadingLevel1"/>
        <w:keepNext/>
        <w:tabs>
          <w:tab w:val="clear" w:pos="851"/>
          <w:tab w:val="num" w:pos="3119"/>
        </w:tabs>
      </w:pPr>
      <w:bookmarkStart w:id="7" w:name="_Toc46333217"/>
      <w:bookmarkStart w:id="8" w:name="_Toc46333471"/>
      <w:bookmarkStart w:id="9" w:name="_Toc46333625"/>
      <w:bookmarkStart w:id="10" w:name="_Toc46333790"/>
      <w:bookmarkStart w:id="11" w:name="_Toc46333904"/>
      <w:bookmarkStart w:id="12" w:name="_Toc46334640"/>
      <w:bookmarkStart w:id="13" w:name="_Toc47693308"/>
      <w:bookmarkStart w:id="14" w:name="_Toc100329071"/>
      <w:r w:rsidRPr="007D5A43">
        <w:t>Purpose and Operation</w:t>
      </w:r>
      <w:bookmarkEnd w:id="7"/>
      <w:bookmarkEnd w:id="8"/>
      <w:bookmarkEnd w:id="9"/>
      <w:bookmarkEnd w:id="10"/>
      <w:bookmarkEnd w:id="11"/>
      <w:bookmarkEnd w:id="12"/>
      <w:bookmarkEnd w:id="13"/>
      <w:bookmarkEnd w:id="14"/>
    </w:p>
    <w:p w14:paraId="6EA4BA81" w14:textId="77777777" w:rsidR="00685271" w:rsidRDefault="00685271" w:rsidP="00685271">
      <w:pPr>
        <w:pStyle w:val="HeadingLevel2"/>
        <w:keepNext/>
        <w:tabs>
          <w:tab w:val="num" w:pos="993"/>
          <w:tab w:val="num" w:pos="3829"/>
        </w:tabs>
      </w:pPr>
      <w:bookmarkStart w:id="15" w:name="_Toc100329072"/>
      <w:r>
        <w:t>Overview of the Regulatory Framework</w:t>
      </w:r>
      <w:bookmarkEnd w:id="15"/>
    </w:p>
    <w:p w14:paraId="38D2CB8B" w14:textId="77777777" w:rsidR="00685271" w:rsidRDefault="00685271" w:rsidP="00685271">
      <w:r>
        <w:t xml:space="preserve">The Act establishes a framework to regulate the importation and first provision of road vehicles to the market in Australia. The core principle of this framework is that vehicles which comply with appropriate standards are suitable for provision to the market in Australia. The Australian Design Rules (ADRs) have set out those standards since the early 1970s. At that time, they were applied cooperatively by the Australian Motor Vehicle Certification Board representing the Commonwealth and state and territory governments. In 1989, this arrangement was replaced by the </w:t>
      </w:r>
      <w:r w:rsidRPr="00685271">
        <w:t>Motor Vehicle Standards Act 1989</w:t>
      </w:r>
      <w:r>
        <w:t xml:space="preserve"> (the MVSA) and the Australian Design Rules were determined as national standards. As of 2018, the MVSA has been replaced by the Act.</w:t>
      </w:r>
    </w:p>
    <w:p w14:paraId="09D77847" w14:textId="31148915" w:rsidR="00685271" w:rsidRDefault="00685271" w:rsidP="00685271">
      <w:r>
        <w:t>A majority of Australian road vehicle standards such as ADR 99/00 harmonise closely with international regulations. This is so that manufacturers can more easily comply with regulation, and so that regulations capture the well-developed views of the international community. This ultimately leads to safer and cheaper products for Australians.</w:t>
      </w:r>
    </w:p>
    <w:p w14:paraId="2A2DFB09" w14:textId="77777777" w:rsidR="00685271" w:rsidRDefault="00685271" w:rsidP="00685271">
      <w:r>
        <w:lastRenderedPageBreak/>
        <w:t>ADRs often directly incorporate United Nations (UN) Regulations as an appendix, where the appendix provides the technical requirements of the ADR and the rest of the ADR facilitates its application to Australia. To this end, Section 6 creates exemptions and alternate procedures. For instance, manufacturers are exempt from requirements that pertain to UN type approvals, and instead, need to comply with the approvals process set out in the Act. Likewise, Section 7 provides for the acceptance of certain alternate standards that have equivalent requirements to the appendix. For instance, a vehicle covered by a type approval under the UN Regulation would comply with the ADR.</w:t>
      </w:r>
    </w:p>
    <w:p w14:paraId="4104476F" w14:textId="77777777" w:rsidR="00685271" w:rsidRDefault="00685271" w:rsidP="00685271">
      <w:r>
        <w:t>Under the Act,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 ADRs apply equally to imported and locally manufactured vehicles.</w:t>
      </w:r>
    </w:p>
    <w:p w14:paraId="4E560311" w14:textId="77777777" w:rsidR="00BA4F48" w:rsidRPr="00514C80" w:rsidRDefault="00BA4F48" w:rsidP="00E15765">
      <w:pPr>
        <w:pStyle w:val="HeadingLevel2"/>
      </w:pPr>
      <w:bookmarkStart w:id="16" w:name="_Toc100306471"/>
      <w:bookmarkStart w:id="17" w:name="_Toc100308206"/>
      <w:bookmarkStart w:id="18" w:name="_Toc100308239"/>
      <w:bookmarkStart w:id="19" w:name="_Toc100310667"/>
      <w:bookmarkStart w:id="20" w:name="_Toc100317876"/>
      <w:bookmarkStart w:id="21" w:name="_Toc100306472"/>
      <w:bookmarkStart w:id="22" w:name="_Toc100308207"/>
      <w:bookmarkStart w:id="23" w:name="_Toc100308240"/>
      <w:bookmarkStart w:id="24" w:name="_Toc100310668"/>
      <w:bookmarkStart w:id="25" w:name="_Toc100317877"/>
      <w:bookmarkStart w:id="26" w:name="_Toc100306473"/>
      <w:bookmarkStart w:id="27" w:name="_Toc100308208"/>
      <w:bookmarkStart w:id="28" w:name="_Toc100308241"/>
      <w:bookmarkStart w:id="29" w:name="_Toc100310669"/>
      <w:bookmarkStart w:id="30" w:name="_Toc100317878"/>
      <w:bookmarkStart w:id="31" w:name="_Toc100306474"/>
      <w:bookmarkStart w:id="32" w:name="_Toc100308209"/>
      <w:bookmarkStart w:id="33" w:name="_Toc100308242"/>
      <w:bookmarkStart w:id="34" w:name="_Toc100310670"/>
      <w:bookmarkStart w:id="35" w:name="_Toc100317879"/>
      <w:bookmarkStart w:id="36" w:name="_Toc100306477"/>
      <w:bookmarkStart w:id="37" w:name="_Toc100308212"/>
      <w:bookmarkStart w:id="38" w:name="_Toc100308245"/>
      <w:bookmarkStart w:id="39" w:name="_Toc100310673"/>
      <w:bookmarkStart w:id="40" w:name="_Toc100317882"/>
      <w:bookmarkStart w:id="41" w:name="_Toc167864613"/>
      <w:bookmarkStart w:id="42" w:name="_Toc505092260"/>
      <w:bookmarkStart w:id="43" w:name="_Toc10032907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14C80">
        <w:t>Overview of the ADR</w:t>
      </w:r>
      <w:bookmarkEnd w:id="41"/>
      <w:bookmarkEnd w:id="42"/>
      <w:bookmarkEnd w:id="43"/>
    </w:p>
    <w:p w14:paraId="35C80EA1" w14:textId="2E86CA1F" w:rsidR="0076682E" w:rsidRDefault="00081497" w:rsidP="00BB3D12">
      <w:bookmarkStart w:id="44" w:name="_Toc167864614"/>
      <w:r>
        <w:t xml:space="preserve">The </w:t>
      </w:r>
      <w:r w:rsidR="0076682E">
        <w:t xml:space="preserve">purpose of ADR 99/00 is to specify </w:t>
      </w:r>
      <w:r>
        <w:t>requirem</w:t>
      </w:r>
      <w:r w:rsidR="00872987">
        <w:t>ents</w:t>
      </w:r>
      <w:r w:rsidR="0076682E">
        <w:t xml:space="preserve"> for LDWS for new goods vehicles (ADR vehicle categories ??) </w:t>
      </w:r>
      <w:r>
        <w:t xml:space="preserve">to reduce </w:t>
      </w:r>
      <w:r w:rsidR="00540FA7">
        <w:t xml:space="preserve">unintentional lane departure. </w:t>
      </w:r>
      <w:r w:rsidR="0076682E">
        <w:t xml:space="preserve">The ADR achieves this by alerting the driver to a potential risk. </w:t>
      </w:r>
      <w:r w:rsidR="004317FF">
        <w:t>Unintentional</w:t>
      </w:r>
      <w:r w:rsidR="00327EF6">
        <w:t xml:space="preserve"> lane departure most often occurs due to a </w:t>
      </w:r>
      <w:r w:rsidR="00540FA7">
        <w:t>combination of driver distraction</w:t>
      </w:r>
      <w:r w:rsidR="00327EF6">
        <w:t xml:space="preserve"> and</w:t>
      </w:r>
      <w:r w:rsidR="00540FA7">
        <w:t xml:space="preserve"> driver fatigue</w:t>
      </w:r>
      <w:r w:rsidR="00327EF6">
        <w:t>,</w:t>
      </w:r>
      <w:r w:rsidR="00540FA7">
        <w:t xml:space="preserve"> especially in the field of monotonous driving situations such as on national or sta</w:t>
      </w:r>
      <w:r w:rsidR="009F38A6">
        <w:t>te highways and arterial roads.</w:t>
      </w:r>
      <w:r w:rsidR="00DD5607">
        <w:t xml:space="preserve"> Heavy vehicles are driven by professional drivers but are subject to many challenges</w:t>
      </w:r>
      <w:r w:rsidR="00327EF6">
        <w:t xml:space="preserve"> such as </w:t>
      </w:r>
      <w:r w:rsidR="00994692">
        <w:t xml:space="preserve">long distances, scheduling shifts, poor road and infrastructure quality, driver fatigue, inattention and load-related issues. </w:t>
      </w:r>
      <w:r w:rsidR="00DD5607">
        <w:t>Alerting a fatigue</w:t>
      </w:r>
      <w:r w:rsidR="00327EF6">
        <w:t>d</w:t>
      </w:r>
      <w:r w:rsidR="00DD5607">
        <w:t xml:space="preserve"> or dist</w:t>
      </w:r>
      <w:r w:rsidR="00994692">
        <w:t>racted driver at</w:t>
      </w:r>
      <w:r w:rsidR="00327EF6">
        <w:t xml:space="preserve"> an</w:t>
      </w:r>
      <w:r w:rsidR="00994692">
        <w:t xml:space="preserve"> early stage</w:t>
      </w:r>
      <w:r w:rsidR="00327EF6">
        <w:t xml:space="preserve"> of </w:t>
      </w:r>
      <w:r w:rsidR="00DD5607">
        <w:t>loss of concentration will aid the prevention of a road vehicle accident.</w:t>
      </w:r>
    </w:p>
    <w:p w14:paraId="54C08FBF" w14:textId="0404C6BB" w:rsidR="00DD5607" w:rsidRDefault="0076682E" w:rsidP="00BB3D12">
      <w:r>
        <w:t>ADR 99/00 specifies the requirements for the fitment of an electronic system in the vehicle that monitors the position with</w:t>
      </w:r>
      <w:r w:rsidR="00201A02">
        <w:t>in</w:t>
      </w:r>
      <w:r>
        <w:t xml:space="preserve"> the visible lane markings</w:t>
      </w:r>
      <w:r w:rsidR="00201A02">
        <w:t xml:space="preserve"> on the road.</w:t>
      </w:r>
    </w:p>
    <w:p w14:paraId="0C0223BD" w14:textId="77777777" w:rsidR="0076682E" w:rsidRPr="00514C80" w:rsidRDefault="0076682E" w:rsidP="0076682E">
      <w:pPr>
        <w:pStyle w:val="HeadingLevel2"/>
      </w:pPr>
      <w:bookmarkStart w:id="45" w:name="_Toc77000451"/>
      <w:bookmarkStart w:id="46" w:name="_Toc77091652"/>
      <w:bookmarkStart w:id="47" w:name="_Toc77253496"/>
      <w:bookmarkStart w:id="48" w:name="_Toc77253547"/>
      <w:bookmarkStart w:id="49" w:name="_Toc77263167"/>
      <w:bookmarkStart w:id="50" w:name="_Toc77264477"/>
      <w:bookmarkStart w:id="51" w:name="_Toc74044070"/>
      <w:bookmarkStart w:id="52" w:name="_Toc74044717"/>
      <w:bookmarkStart w:id="53" w:name="_Toc100329074"/>
      <w:bookmarkEnd w:id="44"/>
      <w:bookmarkEnd w:id="45"/>
      <w:bookmarkEnd w:id="46"/>
      <w:bookmarkEnd w:id="47"/>
      <w:bookmarkEnd w:id="48"/>
      <w:bookmarkEnd w:id="49"/>
      <w:bookmarkEnd w:id="50"/>
      <w:r>
        <w:t>Lane Departure Warning System</w:t>
      </w:r>
      <w:bookmarkEnd w:id="53"/>
    </w:p>
    <w:p w14:paraId="4921AF46" w14:textId="4648A1A4" w:rsidR="0076682E" w:rsidRDefault="0076682E" w:rsidP="0076682E">
      <w:r>
        <w:t xml:space="preserve">The Lane Departure Warning System (LDWS) fitted to new vehicles is a vision-based, in vehicle, electronic system that monitors the heavy vehicle’s position within a roadway with visible lane markings. The function of LDWS is to detect unintentional lane departure. This system alerts the driver to a potential threat but does </w:t>
      </w:r>
      <w:r w:rsidRPr="00792A45">
        <w:t xml:space="preserve">not take over </w:t>
      </w:r>
      <w:r>
        <w:t xml:space="preserve">control of any aspect of the vehicle. The LDWS will activate a warning in some form to warn the driver that they are about to move out of their lane.  This allows the driver to adjust their control of the vehicle to avoid a </w:t>
      </w:r>
      <w:r w:rsidR="00201A02">
        <w:t>crash</w:t>
      </w:r>
      <w:r>
        <w:t xml:space="preserve"> or run off road incident.</w:t>
      </w:r>
    </w:p>
    <w:p w14:paraId="7A5773CA" w14:textId="77777777" w:rsidR="00AD12BE" w:rsidRPr="00514C80" w:rsidRDefault="00AD12BE" w:rsidP="00E15765">
      <w:pPr>
        <w:pStyle w:val="HeadingLevel2"/>
      </w:pPr>
      <w:bookmarkStart w:id="54" w:name="_Toc100329075"/>
      <w:r w:rsidRPr="00514C80">
        <w:t xml:space="preserve">Design Requirement – </w:t>
      </w:r>
      <w:bookmarkEnd w:id="51"/>
      <w:bookmarkEnd w:id="52"/>
      <w:r w:rsidR="00584B46">
        <w:t>Lane Departure Warning System</w:t>
      </w:r>
      <w:bookmarkEnd w:id="54"/>
    </w:p>
    <w:p w14:paraId="526D1F72" w14:textId="77777777" w:rsidR="0091762B" w:rsidRDefault="00592B2F" w:rsidP="002F2C61">
      <w:r>
        <w:t xml:space="preserve">LDWS is a </w:t>
      </w:r>
      <w:r w:rsidR="0091762B">
        <w:t xml:space="preserve">driver warning assist safety feature, </w:t>
      </w:r>
      <w:r w:rsidR="0056022C">
        <w:t xml:space="preserve">which is a </w:t>
      </w:r>
      <w:r>
        <w:t xml:space="preserve">passive safety system that fits under the broad definition of Advanced Driver Assistance Systems (ADAS). </w:t>
      </w:r>
      <w:r w:rsidR="0091762B">
        <w:t xml:space="preserve">The </w:t>
      </w:r>
      <w:r w:rsidR="0091762B">
        <w:lastRenderedPageBreak/>
        <w:t xml:space="preserve">LDWS can operate in conjunction with other vehicle safety features like </w:t>
      </w:r>
      <w:r w:rsidR="00FA39FE">
        <w:t xml:space="preserve">the </w:t>
      </w:r>
      <w:r w:rsidR="0091762B">
        <w:t>Advanced Emergency Braking System (AEBS).</w:t>
      </w:r>
    </w:p>
    <w:p w14:paraId="3F5C2D15" w14:textId="1F864F80" w:rsidR="0091762B" w:rsidRDefault="00872987" w:rsidP="002F2C61">
      <w:r>
        <w:t xml:space="preserve">LDWS conforming to ADR </w:t>
      </w:r>
      <w:r w:rsidR="00201A02">
        <w:t>99</w:t>
      </w:r>
      <w:r>
        <w:t>/00</w:t>
      </w:r>
      <w:r w:rsidR="008048C9">
        <w:t xml:space="preserve"> is</w:t>
      </w:r>
      <w:r w:rsidR="003A512F">
        <w:t xml:space="preserve"> designed to </w:t>
      </w:r>
      <w:r w:rsidR="008048C9">
        <w:t>warn the driver</w:t>
      </w:r>
      <w:r w:rsidR="00FA39FE">
        <w:t xml:space="preserve">, with the end result of </w:t>
      </w:r>
      <w:r w:rsidR="003A512F">
        <w:t>reduc</w:t>
      </w:r>
      <w:r w:rsidR="00FA39FE">
        <w:t>ing</w:t>
      </w:r>
      <w:r w:rsidR="003A512F">
        <w:t xml:space="preserve"> the likelihood </w:t>
      </w:r>
      <w:r w:rsidR="008048C9">
        <w:t>of lane departure</w:t>
      </w:r>
      <w:r w:rsidR="00FA39FE">
        <w:t xml:space="preserve">. This will </w:t>
      </w:r>
      <w:r w:rsidR="008048C9">
        <w:t>prevent head-on collisions with vehicles travelling in the opposing direction or run</w:t>
      </w:r>
      <w:r w:rsidR="00FA39FE">
        <w:t xml:space="preserve"> </w:t>
      </w:r>
      <w:r w:rsidR="008048C9">
        <w:t>off road with</w:t>
      </w:r>
      <w:r w:rsidR="006A754C">
        <w:t>out</w:t>
      </w:r>
      <w:r w:rsidR="008048C9">
        <w:t xml:space="preserve"> driver reaction.</w:t>
      </w:r>
    </w:p>
    <w:p w14:paraId="4E3A6235" w14:textId="7EA49D37" w:rsidR="008048C9" w:rsidRDefault="008048C9" w:rsidP="00AD12BE">
      <w:r>
        <w:t xml:space="preserve">LDWS reads inputs from </w:t>
      </w:r>
      <w:r w:rsidR="00D2488D">
        <w:t xml:space="preserve">a </w:t>
      </w:r>
      <w:r w:rsidR="00E77D52">
        <w:t>forward-facing</w:t>
      </w:r>
      <w:r w:rsidR="00D2488D">
        <w:t xml:space="preserve"> camera</w:t>
      </w:r>
      <w:r w:rsidR="00FA39FE">
        <w:t>. T</w:t>
      </w:r>
      <w:r w:rsidR="00D2488D">
        <w:t>he LDWS camera has developed into a sophisticated lane marker identification and lane boundary projection system. This provides the driver with a warning if the vehicle has a trajectory that will take it out of its lane. While most LDWS apply video technology, other methods include infrared, Lidar, magnetic and electronic mapping technologies. The warning occurs by at least two modes and may be optical, acoustic and haptic</w:t>
      </w:r>
      <w:r w:rsidR="00FA39FE">
        <w:t>,</w:t>
      </w:r>
      <w:r w:rsidR="00D2488D">
        <w:t xml:space="preserve"> or one warning means out of haptic and acoustic, with spatial indication about the direction of unintended drift of the vehicle.</w:t>
      </w:r>
    </w:p>
    <w:p w14:paraId="30D67474" w14:textId="2601E7C4" w:rsidR="006A754C" w:rsidRDefault="00201A02" w:rsidP="00AD12BE">
      <w:r>
        <w:t xml:space="preserve">The introduction of ADR 99/00 and its incorporated </w:t>
      </w:r>
      <w:r w:rsidR="001B2251">
        <w:t>U</w:t>
      </w:r>
      <w:r>
        <w:t xml:space="preserve">nited </w:t>
      </w:r>
      <w:r w:rsidR="001B2251">
        <w:t>N</w:t>
      </w:r>
      <w:r>
        <w:t>ations</w:t>
      </w:r>
      <w:r w:rsidR="001B2251">
        <w:t xml:space="preserve"> Regulation No. 130</w:t>
      </w:r>
      <w:r w:rsidR="001B2251" w:rsidRPr="00514C80">
        <w:t xml:space="preserve"> – UNIFORM PROVISIONS</w:t>
      </w:r>
      <w:r w:rsidR="001B2251">
        <w:t xml:space="preserve"> CONCERNING THE APPROVAL OF HEAVY VEHICLES WITH REGARD TO THE LANE DEPARTURE WARNING SYSTEM (LDWS</w:t>
      </w:r>
      <w:r w:rsidR="002B19F2">
        <w:t>) FOR M</w:t>
      </w:r>
      <w:r w:rsidR="002B19F2">
        <w:rPr>
          <w:vertAlign w:val="subscript"/>
        </w:rPr>
        <w:t>2</w:t>
      </w:r>
      <w:r w:rsidR="002B19F2">
        <w:t>, M</w:t>
      </w:r>
      <w:r w:rsidR="002B19F2">
        <w:rPr>
          <w:vertAlign w:val="subscript"/>
        </w:rPr>
        <w:t xml:space="preserve">3, </w:t>
      </w:r>
      <w:r w:rsidR="002B19F2">
        <w:t>N</w:t>
      </w:r>
      <w:r w:rsidR="002B19F2">
        <w:rPr>
          <w:vertAlign w:val="subscript"/>
        </w:rPr>
        <w:t>2</w:t>
      </w:r>
      <w:r w:rsidR="001B2251" w:rsidRPr="00514C80">
        <w:t xml:space="preserve"> AND N</w:t>
      </w:r>
      <w:r w:rsidR="002B19F2">
        <w:rPr>
          <w:vertAlign w:val="subscript"/>
        </w:rPr>
        <w:t>3</w:t>
      </w:r>
      <w:r w:rsidR="001B2251" w:rsidRPr="00514C80">
        <w:t xml:space="preserve"> VEHICLES</w:t>
      </w:r>
      <w:r w:rsidR="001B2251">
        <w:t xml:space="preserve"> (UN R130)</w:t>
      </w:r>
      <w:r>
        <w:t xml:space="preserve"> ensures the benefits provided through this technology is spread across the whole vehicle fleet</w:t>
      </w:r>
      <w:r w:rsidR="001B2251">
        <w:t>.</w:t>
      </w:r>
      <w:r>
        <w:t xml:space="preserve"> This standard provides manufacturers with minimum performance requirements for lane departure warning systems to be installed in new model vehicles. Harmonisation with international regulations </w:t>
      </w:r>
      <w:r w:rsidRPr="00BE6C3F">
        <w:t>minimise</w:t>
      </w:r>
      <w:r>
        <w:t>s</w:t>
      </w:r>
      <w:r w:rsidRPr="00BE6C3F">
        <w:t xml:space="preserve"> costs associated with reversing technologies development, provides manufacturers the flexibility to incorporate or adapt systems that have already been developed and tested for markets with </w:t>
      </w:r>
      <w:r>
        <w:t>similar</w:t>
      </w:r>
      <w:r w:rsidRPr="00BE6C3F">
        <w:t xml:space="preserve"> requirements. It also enable</w:t>
      </w:r>
      <w:r>
        <w:t xml:space="preserve">s </w:t>
      </w:r>
      <w:r w:rsidRPr="00BE6C3F">
        <w:t xml:space="preserve">testing and certification frameworks </w:t>
      </w:r>
      <w:r>
        <w:t xml:space="preserve">in other markets to be </w:t>
      </w:r>
      <w:r w:rsidRPr="00BE6C3F">
        <w:t>levera</w:t>
      </w:r>
      <w:r>
        <w:t>ged.</w:t>
      </w:r>
    </w:p>
    <w:p w14:paraId="2E3E60E1" w14:textId="77777777" w:rsidR="00D40376" w:rsidRPr="00D40376" w:rsidRDefault="00D40376" w:rsidP="00D40376">
      <w:pPr>
        <w:pStyle w:val="HeadingLevel2"/>
      </w:pPr>
      <w:bookmarkStart w:id="55" w:name="_Toc100329076"/>
      <w:r>
        <w:t>LDW</w:t>
      </w:r>
      <w:r w:rsidR="006A4B82" w:rsidRPr="00D40376">
        <w:t>S Warnings</w:t>
      </w:r>
      <w:bookmarkEnd w:id="55"/>
    </w:p>
    <w:p w14:paraId="2A17704E" w14:textId="0C303E45" w:rsidR="002D5A2E" w:rsidRDefault="00D40376" w:rsidP="00641268">
      <w:r>
        <w:t xml:space="preserve">LDWS </w:t>
      </w:r>
      <w:r w:rsidR="00FA39FE">
        <w:t xml:space="preserve">is </w:t>
      </w:r>
      <w:r>
        <w:t>designed to conform to AD</w:t>
      </w:r>
      <w:r w:rsidR="00872987">
        <w:t xml:space="preserve">R </w:t>
      </w:r>
      <w:r w:rsidR="00201A02">
        <w:t>99</w:t>
      </w:r>
      <w:r w:rsidR="00872987">
        <w:t>/00</w:t>
      </w:r>
      <w:r>
        <w:t xml:space="preserve"> </w:t>
      </w:r>
      <w:r w:rsidR="00FA39FE">
        <w:t xml:space="preserve">and </w:t>
      </w:r>
      <w:r>
        <w:t xml:space="preserve">has </w:t>
      </w:r>
      <w:r w:rsidR="002D5A2E">
        <w:t xml:space="preserve">a </w:t>
      </w:r>
      <w:r>
        <w:t>warning due to inclement weather conditions. This warning alerts the driver that the system is temporarily unavailable. Warnings also form an essential part of the core functionality of LDWS.</w:t>
      </w:r>
    </w:p>
    <w:p w14:paraId="603C2EA2" w14:textId="31D19723" w:rsidR="002D5A2E" w:rsidRPr="002D5A2E" w:rsidRDefault="002D5A2E" w:rsidP="00641268">
      <w:r>
        <w:t>A ‘failure warning’ occurs when a fault in the LDWS p</w:t>
      </w:r>
      <w:r w:rsidR="00F25FB0">
        <w:t xml:space="preserve">revents the requirements of ADR </w:t>
      </w:r>
      <w:r w:rsidR="00201A02">
        <w:t>99</w:t>
      </w:r>
      <w:r w:rsidR="00F25FB0">
        <w:t>/00</w:t>
      </w:r>
      <w:r>
        <w:t xml:space="preserve"> being met. A fault in this instance may be electri</w:t>
      </w:r>
      <w:r w:rsidR="000A0A41">
        <w:t>cal in nature</w:t>
      </w:r>
      <w:r w:rsidR="00FA39FE">
        <w:t xml:space="preserve"> or</w:t>
      </w:r>
      <w:r w:rsidR="000A0A41">
        <w:t xml:space="preserve"> a failure in the sensor. The self-check function continuously checks the LDWS for a system failure while </w:t>
      </w:r>
      <w:r w:rsidR="00645459">
        <w:t xml:space="preserve">the </w:t>
      </w:r>
      <w:r w:rsidR="000A0A41">
        <w:t xml:space="preserve">LDWS is active. The LDWS communicates a ‘failure warning’ with a constant yellow optical warning signal. The purpose of the ‘failure </w:t>
      </w:r>
      <w:r w:rsidR="00AC4CF2">
        <w:t>warning</w:t>
      </w:r>
      <w:r w:rsidR="000A0A41">
        <w:t>’ is to alert the driver to a fault in the LD</w:t>
      </w:r>
      <w:r w:rsidR="00FA39FE">
        <w:t>WS</w:t>
      </w:r>
      <w:r w:rsidR="000A0A41">
        <w:t>.</w:t>
      </w:r>
    </w:p>
    <w:p w14:paraId="7FD5F5EF" w14:textId="509FEAC9" w:rsidR="000A0A41" w:rsidRDefault="00AC4CF2" w:rsidP="00C47BC6">
      <w:pPr>
        <w:keepLines/>
      </w:pPr>
      <w:r>
        <w:t xml:space="preserve">A ‘deactivation warning’ occurs when the driver deactivates the LDWS. This is only possible if the vehicle is fitted with a means to deactivate the LDWS and such a means is not </w:t>
      </w:r>
      <w:r w:rsidR="006103D4">
        <w:t xml:space="preserve">a </w:t>
      </w:r>
      <w:r>
        <w:t>requ</w:t>
      </w:r>
      <w:r w:rsidR="006103D4">
        <w:t>irement of</w:t>
      </w:r>
      <w:r>
        <w:t xml:space="preserve"> this </w:t>
      </w:r>
      <w:r w:rsidR="00FA39FE">
        <w:t>S</w:t>
      </w:r>
      <w:r>
        <w:t>tandard. The LDWS communicates a ‘deactivation warning’ with a constant yellow optical warning signal. The warning signal used in this instance may be the same as the ‘failure warning’ signal. The purpose of the ‘deactivation warning’ is to alert the driver that the LDWS function has been deactivated.</w:t>
      </w:r>
    </w:p>
    <w:p w14:paraId="4E48C00B" w14:textId="78F3DA69" w:rsidR="007144E3" w:rsidRDefault="00AC4CF2" w:rsidP="00BD4467">
      <w:r>
        <w:t xml:space="preserve">A ‘lane departure warning’ occurs when the LDWS detects </w:t>
      </w:r>
      <w:r w:rsidR="007144E3">
        <w:t xml:space="preserve">the outside tyre on the front wheel closest to the lane markings </w:t>
      </w:r>
      <w:r w:rsidR="00FA39FE">
        <w:t xml:space="preserve">has </w:t>
      </w:r>
      <w:r w:rsidR="007144E3">
        <w:t>passe</w:t>
      </w:r>
      <w:r w:rsidR="00FA39FE">
        <w:t>d</w:t>
      </w:r>
      <w:r w:rsidR="007144E3">
        <w:t xml:space="preserve"> more than 0.3 m beyond the </w:t>
      </w:r>
      <w:r w:rsidR="007144E3">
        <w:lastRenderedPageBreak/>
        <w:t xml:space="preserve">outside edge of the lane markings above road speeds of 65 km/h </w:t>
      </w:r>
      <w:r w:rsidR="007144E3">
        <w:rPr>
          <w:u w:val="single"/>
        </w:rPr>
        <w:t>+</w:t>
      </w:r>
      <w:r w:rsidR="007144E3">
        <w:t xml:space="preserve"> 3 km/h. The warning signal used in this instance must be provided by </w:t>
      </w:r>
      <w:r w:rsidR="00CB6FB6">
        <w:t xml:space="preserve">at least two modes and may be optical, acoustic and haptic or one warning means out of haptic and acoustic, with spatial indication about the direction of unintended drift of the vehicle. Optical warning signals must be visible even in daylight and be easily verifiable by the driver from the driver’s seat.   </w:t>
      </w:r>
    </w:p>
    <w:p w14:paraId="57FC4754" w14:textId="3810CC39" w:rsidR="00050C17" w:rsidRPr="00514C80" w:rsidRDefault="0059343F" w:rsidP="00E15765">
      <w:pPr>
        <w:pStyle w:val="HeadingLevel2"/>
      </w:pPr>
      <w:bookmarkStart w:id="56" w:name="_Toc100329077"/>
      <w:r>
        <w:t>LDWS</w:t>
      </w:r>
      <w:r w:rsidR="00581F4C" w:rsidRPr="00514C80">
        <w:t xml:space="preserve"> </w:t>
      </w:r>
      <w:r w:rsidR="00F763DA" w:rsidRPr="00514C80">
        <w:t>P</w:t>
      </w:r>
      <w:r w:rsidR="00581F4C" w:rsidRPr="00514C80">
        <w:t>erformance</w:t>
      </w:r>
      <w:r w:rsidR="005B62EF" w:rsidRPr="00514C80">
        <w:t xml:space="preserve"> and limitations</w:t>
      </w:r>
      <w:bookmarkEnd w:id="56"/>
    </w:p>
    <w:p w14:paraId="0449397C" w14:textId="21FF0F64" w:rsidR="0059343F" w:rsidRDefault="00F25FB0" w:rsidP="00491690">
      <w:r>
        <w:t xml:space="preserve">ADR </w:t>
      </w:r>
      <w:r w:rsidR="00201A02">
        <w:t>99</w:t>
      </w:r>
      <w:r>
        <w:t>/00</w:t>
      </w:r>
      <w:r w:rsidR="007A3DC6">
        <w:t xml:space="preserve"> sets out the environmental conditions in which the LDWS equipped vehicle must demonstrate its warning system to the driver.</w:t>
      </w:r>
    </w:p>
    <w:p w14:paraId="082F06F8" w14:textId="77777777" w:rsidR="007A3DC6" w:rsidRDefault="007A3DC6" w:rsidP="00491690">
      <w:r>
        <w:t>The Standard requires LDWS fitted vehicles to perform in the following environment conditions:</w:t>
      </w:r>
    </w:p>
    <w:p w14:paraId="0F2AFF0F" w14:textId="77777777" w:rsidR="007A3DC6" w:rsidRPr="00514C80" w:rsidRDefault="007A3DC6" w:rsidP="007A3DC6">
      <w:pPr>
        <w:pStyle w:val="ListParagraph"/>
        <w:numPr>
          <w:ilvl w:val="0"/>
          <w:numId w:val="29"/>
        </w:numPr>
      </w:pPr>
      <w:r w:rsidRPr="00514C80">
        <w:t>on</w:t>
      </w:r>
      <w:r>
        <w:t xml:space="preserve"> a flat dry asphalt or concrete surface</w:t>
      </w:r>
    </w:p>
    <w:p w14:paraId="7F87A74E" w14:textId="77777777" w:rsidR="007A3DC6" w:rsidRPr="00514C80" w:rsidRDefault="007A3DC6" w:rsidP="007A3DC6">
      <w:pPr>
        <w:pStyle w:val="ListParagraph"/>
        <w:numPr>
          <w:ilvl w:val="0"/>
          <w:numId w:val="29"/>
        </w:numPr>
      </w:pPr>
      <w:r w:rsidRPr="00514C80">
        <w:t>where the ambient temperature is between 0</w:t>
      </w:r>
      <w:r w:rsidRPr="00514C80">
        <w:rPr>
          <w:vertAlign w:val="superscript"/>
        </w:rPr>
        <w:t>o</w:t>
      </w:r>
      <w:r w:rsidRPr="00514C80">
        <w:t>C and 45</w:t>
      </w:r>
      <w:r w:rsidRPr="00514C80">
        <w:rPr>
          <w:vertAlign w:val="superscript"/>
        </w:rPr>
        <w:t>o</w:t>
      </w:r>
      <w:r w:rsidRPr="00514C80">
        <w:t>C</w:t>
      </w:r>
    </w:p>
    <w:p w14:paraId="122A58C5" w14:textId="77777777" w:rsidR="007A3DC6" w:rsidRPr="00514C80" w:rsidRDefault="007A3DC6" w:rsidP="007A3DC6">
      <w:pPr>
        <w:pStyle w:val="ListParagraph"/>
        <w:numPr>
          <w:ilvl w:val="0"/>
          <w:numId w:val="29"/>
        </w:numPr>
      </w:pPr>
      <w:r w:rsidRPr="00514C80">
        <w:t xml:space="preserve">where </w:t>
      </w:r>
      <w:r>
        <w:t>the lane markings are visible</w:t>
      </w:r>
    </w:p>
    <w:p w14:paraId="7D9C33BC" w14:textId="77777777" w:rsidR="0059343F" w:rsidRDefault="007A3DC6" w:rsidP="00491690">
      <w:pPr>
        <w:pStyle w:val="ListParagraph"/>
        <w:numPr>
          <w:ilvl w:val="0"/>
          <w:numId w:val="29"/>
        </w:numPr>
      </w:pPr>
      <w:r>
        <w:t>where the vehicle is tested with recommended vehicle manufacture tyre pressures</w:t>
      </w:r>
      <w:r w:rsidR="00FA39FE">
        <w:t>.</w:t>
      </w:r>
    </w:p>
    <w:p w14:paraId="6C79C003" w14:textId="77777777" w:rsidR="007A3DC6" w:rsidRDefault="009C5A05" w:rsidP="007A3DC6">
      <w:r>
        <w:t>The intent behind these environmental conditions is to mitigate the contemporary limitations of the technology used to build LDWS.</w:t>
      </w:r>
      <w:r w:rsidR="00401482">
        <w:t xml:space="preserve"> </w:t>
      </w:r>
      <w:r w:rsidR="00FA39FE">
        <w:t>For example, r</w:t>
      </w:r>
      <w:r w:rsidR="00401482">
        <w:t>oad conditions</w:t>
      </w:r>
      <w:r w:rsidR="00FA39FE">
        <w:t xml:space="preserve"> and/or </w:t>
      </w:r>
      <w:r w:rsidR="00401482">
        <w:t>lane markings may be of a low standard</w:t>
      </w:r>
      <w:r w:rsidR="00FA39FE">
        <w:t>,</w:t>
      </w:r>
      <w:r w:rsidR="00401482">
        <w:t xml:space="preserve"> including no lane markings at all.</w:t>
      </w:r>
      <w:r w:rsidR="00792A45">
        <w:t xml:space="preserve"> </w:t>
      </w:r>
      <w:r w:rsidR="00707639">
        <w:t>Therefore</w:t>
      </w:r>
      <w:r w:rsidR="00401482">
        <w:t>, some of the disadvantages of the sensor are difficult to avoid completely</w:t>
      </w:r>
      <w:r w:rsidR="00707639">
        <w:t xml:space="preserve"> as</w:t>
      </w:r>
      <w:r w:rsidR="00792A45">
        <w:t xml:space="preserve"> </w:t>
      </w:r>
      <w:r w:rsidR="00401482">
        <w:t xml:space="preserve">it might fail to detect </w:t>
      </w:r>
      <w:r w:rsidR="005864B1">
        <w:t xml:space="preserve">the </w:t>
      </w:r>
      <w:r w:rsidR="00401482">
        <w:t xml:space="preserve">vehicle in </w:t>
      </w:r>
      <w:r w:rsidR="00707639">
        <w:t xml:space="preserve">such </w:t>
      </w:r>
      <w:r w:rsidR="00401482">
        <w:t xml:space="preserve">lane driving conditions. Even though manufacturers take measures to reduce false or missed detections, the LDWS will not always perform flawlessly. </w:t>
      </w:r>
    </w:p>
    <w:p w14:paraId="15C811BA" w14:textId="77777777" w:rsidR="00401482" w:rsidRDefault="00401482" w:rsidP="00581F4C">
      <w:r>
        <w:t xml:space="preserve">Traffic situations are complex, and many variables contribute to the outcome of any given traffic incident. Factors such as road curvature, road </w:t>
      </w:r>
      <w:r w:rsidR="00C422F8">
        <w:t>surface condition and the surrounding environment can affect the performance of LDWS. Manufacturers research the principles of automotive camera systems so that they can identify and study potential weaknesses and improve LDWS. However, it is still a requirement that LDWS shall not deactivate or unreasonably switch the control strategy in these potentially adverse conditions.</w:t>
      </w:r>
    </w:p>
    <w:p w14:paraId="375CCFEF" w14:textId="43BD45A6" w:rsidR="00C422F8" w:rsidRDefault="00F25FB0" w:rsidP="00A606E7">
      <w:r>
        <w:t xml:space="preserve">A LDWS compliant to ADR </w:t>
      </w:r>
      <w:r w:rsidR="00201A02">
        <w:t>99</w:t>
      </w:r>
      <w:r>
        <w:t>/00</w:t>
      </w:r>
      <w:r w:rsidR="00C422F8">
        <w:t xml:space="preserve"> will be designed for unnecessary ‘lane departure warning’ signals </w:t>
      </w:r>
      <w:r w:rsidR="00201A02">
        <w:t xml:space="preserve">not </w:t>
      </w:r>
      <w:r w:rsidR="00FE0699">
        <w:t>to be generated. This will avoid a warning situation where an attentive drive</w:t>
      </w:r>
      <w:r w:rsidR="00201A02">
        <w:t>r</w:t>
      </w:r>
      <w:r w:rsidR="00FE0699">
        <w:t xml:space="preserve"> would not anticipate unintentional lane departure.  </w:t>
      </w:r>
    </w:p>
    <w:p w14:paraId="4B1825FE" w14:textId="77777777" w:rsidR="00C6506F" w:rsidRPr="00E72DD6" w:rsidRDefault="00C6506F" w:rsidP="00E72DD6">
      <w:pPr>
        <w:pStyle w:val="HeadingLevel1"/>
        <w:keepNext/>
        <w:tabs>
          <w:tab w:val="clear" w:pos="851"/>
          <w:tab w:val="num" w:pos="3119"/>
        </w:tabs>
      </w:pPr>
      <w:bookmarkStart w:id="57" w:name="_Toc100329078"/>
      <w:r w:rsidRPr="00E72DD6">
        <w:t>MATTERS INCORPORATED BY REFERENCE</w:t>
      </w:r>
      <w:bookmarkEnd w:id="57"/>
    </w:p>
    <w:p w14:paraId="78765E1B" w14:textId="77777777" w:rsidR="00C6506F" w:rsidRPr="00290A0C" w:rsidRDefault="00C6506F" w:rsidP="00C6506F">
      <w:pPr>
        <w:pStyle w:val="HeadingLevel2"/>
        <w:keepNext/>
        <w:tabs>
          <w:tab w:val="num" w:pos="3829"/>
        </w:tabs>
      </w:pPr>
      <w:bookmarkStart w:id="58" w:name="_Toc47693317"/>
      <w:bookmarkStart w:id="59" w:name="_Toc100329079"/>
      <w:r w:rsidRPr="00290A0C">
        <w:t>Legislative Instruments</w:t>
      </w:r>
      <w:bookmarkEnd w:id="58"/>
      <w:bookmarkEnd w:id="59"/>
    </w:p>
    <w:p w14:paraId="41C898BB" w14:textId="3784DEEA" w:rsidR="00C6506F" w:rsidRPr="00290A0C" w:rsidRDefault="00C6506F" w:rsidP="00C6506F">
      <w:r w:rsidRPr="00290A0C">
        <w:t xml:space="preserve">Clauses </w:t>
      </w:r>
      <w:r w:rsidR="00BA1BFD">
        <w:t>4.1</w:t>
      </w:r>
      <w:r w:rsidR="00283C82">
        <w:t>.1 of ADR 99/00</w:t>
      </w:r>
      <w:r w:rsidRPr="00290A0C">
        <w:t xml:space="preserve"> include</w:t>
      </w:r>
      <w:r w:rsidR="00283C82">
        <w:t>s</w:t>
      </w:r>
      <w:r w:rsidRPr="00290A0C">
        <w:t xml:space="preserve"> a reference to the Vehicle Standard (Australian Design Rule Definitions and Vehicle Categories) 2005</w:t>
      </w:r>
      <w:r w:rsidR="00185C42">
        <w:t xml:space="preserve"> (which may also be cited as the Australian Design Rule – Definitions and Vehicle Categories)</w:t>
      </w:r>
      <w:r w:rsidRPr="00290A0C">
        <w:t>. This sets out definitions for many terms used in the ADRs, including the vehicle categories used in ADR applicability tables.</w:t>
      </w:r>
    </w:p>
    <w:p w14:paraId="139243A9" w14:textId="77777777" w:rsidR="00C6506F" w:rsidRPr="00075A74" w:rsidRDefault="00C6506F" w:rsidP="00E72DD6">
      <w:pPr>
        <w:pStyle w:val="HeadingLevel2"/>
        <w:keepNext/>
        <w:tabs>
          <w:tab w:val="num" w:pos="3829"/>
        </w:tabs>
      </w:pPr>
      <w:bookmarkStart w:id="60" w:name="_Toc100329080"/>
      <w:r>
        <w:lastRenderedPageBreak/>
        <w:t>United Nations Regulations and / or Resolutions</w:t>
      </w:r>
      <w:bookmarkEnd w:id="60"/>
    </w:p>
    <w:p w14:paraId="3D60B354" w14:textId="469F8F8E" w:rsidR="006C75E5" w:rsidRPr="006C75E5" w:rsidRDefault="00C6506F" w:rsidP="006C75E5">
      <w:pPr>
        <w:rPr>
          <w:rFonts w:eastAsiaTheme="minorHAnsi"/>
          <w:b/>
          <w:lang w:eastAsia="en-US"/>
        </w:rPr>
      </w:pPr>
      <w:r>
        <w:t>UN</w:t>
      </w:r>
      <w:r w:rsidR="006C75E5">
        <w:t xml:space="preserve"> Regulation</w:t>
      </w:r>
      <w:r w:rsidR="00E72DD6">
        <w:t xml:space="preserve"> No. </w:t>
      </w:r>
      <w:r>
        <w:t>10</w:t>
      </w:r>
      <w:r w:rsidR="00CC4B07">
        <w:t xml:space="preserve"> - Electromagnetic compatibility. The UN Regulation can be viewed at this website</w:t>
      </w:r>
      <w:r w:rsidR="006C75E5">
        <w:t xml:space="preserve"> </w:t>
      </w:r>
      <w:hyperlink r:id="rId13" w:history="1">
        <w:r w:rsidR="006C75E5" w:rsidRPr="006C75E5">
          <w:rPr>
            <w:rFonts w:eastAsiaTheme="minorHAnsi"/>
            <w:b/>
            <w:u w:val="single"/>
            <w:lang w:eastAsia="en-US"/>
          </w:rPr>
          <w:t>https://unece.org/un-regulations-addenda-1958-agreement</w:t>
        </w:r>
      </w:hyperlink>
    </w:p>
    <w:p w14:paraId="60967FC4" w14:textId="77777777" w:rsidR="00C6506F" w:rsidRDefault="00C6506F" w:rsidP="00C6506F">
      <w:r w:rsidRPr="00514C80">
        <w:t>In accordance with subsections 14(1</w:t>
      </w:r>
      <w:proofErr w:type="gramStart"/>
      <w:r w:rsidRPr="00514C80">
        <w:t>)(</w:t>
      </w:r>
      <w:proofErr w:type="gramEnd"/>
      <w:r w:rsidRPr="00514C80">
        <w:t xml:space="preserve">b) and 14(2) of the </w:t>
      </w:r>
      <w:r w:rsidRPr="00514C80">
        <w:rPr>
          <w:i/>
        </w:rPr>
        <w:t>Legislation Act 2003</w:t>
      </w:r>
      <w:r w:rsidRPr="00514C80">
        <w:t>, each of these UN documents are incorporated as in force on the date this national road vehicle standard is made.</w:t>
      </w:r>
    </w:p>
    <w:p w14:paraId="08B07E23" w14:textId="72530EE1" w:rsidR="00C6506F" w:rsidRDefault="00C6506F" w:rsidP="00C6506F">
      <w:r>
        <w:t>United Nations Regulations may be freely accessed online through the</w:t>
      </w:r>
      <w:r w:rsidRPr="00075A74">
        <w:t xml:space="preserve"> UN World Forum for the Harmonization</w:t>
      </w:r>
      <w:r>
        <w:t xml:space="preserve"> of Vehicle Regulations (WP.29)</w:t>
      </w:r>
      <w:r w:rsidRPr="00075A74">
        <w:t xml:space="preserve"> </w:t>
      </w:r>
      <w:r>
        <w:t xml:space="preserve">– </w:t>
      </w:r>
      <w:r w:rsidRPr="00075A74">
        <w:t xml:space="preserve">The WP.29 website is </w:t>
      </w:r>
      <w:hyperlink r:id="rId14" w:history="1">
        <w:r w:rsidRPr="004B13BF">
          <w:rPr>
            <w:rStyle w:val="Hyperlink"/>
            <w:b/>
          </w:rPr>
          <w:t>www.unece.org/trans/main/welcwp29.html</w:t>
        </w:r>
      </w:hyperlink>
    </w:p>
    <w:p w14:paraId="1EB3E31E" w14:textId="77777777" w:rsidR="00610FED" w:rsidRPr="00514C80" w:rsidRDefault="00610FED" w:rsidP="00610FED">
      <w:r w:rsidRPr="00514C80">
        <w:t xml:space="preserve">The ADRs may be freely accessed online through the Federal Register of Legislation.  The website is </w:t>
      </w:r>
      <w:r w:rsidRPr="00514C80">
        <w:rPr>
          <w:u w:val="single"/>
        </w:rPr>
        <w:t>www.legislation.gov.au</w:t>
      </w:r>
      <w:r w:rsidRPr="00514C80">
        <w:t>.</w:t>
      </w:r>
    </w:p>
    <w:p w14:paraId="761CC6E5" w14:textId="786DF6DF" w:rsidR="00B11712" w:rsidRPr="004B59B3" w:rsidRDefault="00610FED" w:rsidP="00AD435B">
      <w:r w:rsidRPr="00514C80">
        <w:t>In accordance with subsection 12 of the Act</w:t>
      </w:r>
      <w:r w:rsidR="004C2A7B" w:rsidRPr="00514C80">
        <w:t>,</w:t>
      </w:r>
      <w:r w:rsidRPr="00514C80">
        <w:t xml:space="preserve"> </w:t>
      </w:r>
      <w:r w:rsidR="004C2A7B" w:rsidRPr="00514C80">
        <w:t xml:space="preserve">each of </w:t>
      </w:r>
      <w:r w:rsidRPr="00514C80">
        <w:t>the</w:t>
      </w:r>
      <w:r w:rsidR="004C2A7B" w:rsidRPr="00514C80">
        <w:t>se</w:t>
      </w:r>
      <w:r w:rsidRPr="00514C80">
        <w:t xml:space="preserve"> ADRs are incorporated as in force or existing from time to time.</w:t>
      </w:r>
    </w:p>
    <w:p w14:paraId="49072698" w14:textId="28C4B31F" w:rsidR="00586887" w:rsidRDefault="00610FED" w:rsidP="008520BB">
      <w:pPr>
        <w:pStyle w:val="HeadingLevel1"/>
        <w:keepNext/>
        <w:tabs>
          <w:tab w:val="clear" w:pos="851"/>
          <w:tab w:val="num" w:pos="3119"/>
        </w:tabs>
      </w:pPr>
      <w:bookmarkStart w:id="61" w:name="_Toc100329081"/>
      <w:r w:rsidRPr="00514C80">
        <w:t>CONSULTATION</w:t>
      </w:r>
      <w:bookmarkEnd w:id="61"/>
    </w:p>
    <w:p w14:paraId="3260622C" w14:textId="77777777" w:rsidR="00040841" w:rsidRPr="00514C80" w:rsidRDefault="00040841" w:rsidP="00E72DD6">
      <w:pPr>
        <w:pStyle w:val="HeadingLevel2"/>
        <w:keepNext/>
        <w:tabs>
          <w:tab w:val="num" w:pos="993"/>
          <w:tab w:val="num" w:pos="3829"/>
        </w:tabs>
      </w:pPr>
      <w:bookmarkStart w:id="62" w:name="_Toc100329082"/>
      <w:r w:rsidRPr="00514C80">
        <w:t>General Consultation Arrangements</w:t>
      </w:r>
      <w:bookmarkEnd w:id="62"/>
    </w:p>
    <w:p w14:paraId="36A2FA5E" w14:textId="03ABB240" w:rsidR="00EE68A7" w:rsidRPr="00514C80" w:rsidRDefault="00EE68A7" w:rsidP="00EE68A7">
      <w:r w:rsidRPr="00514C80">
        <w:t>It has been longstanding practice to consult widely on proposed ne</w:t>
      </w:r>
      <w:r w:rsidR="005E5780">
        <w:t xml:space="preserve">w or amended vehicle standards. </w:t>
      </w:r>
      <w:r w:rsidRPr="00514C80">
        <w:t>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56BAD76" w14:textId="5F4B2BCE" w:rsidR="00776E99" w:rsidRPr="00514C80" w:rsidRDefault="00776E99" w:rsidP="00776E99">
      <w:r w:rsidRPr="00514C80">
        <w:t xml:space="preserve">Proposals that are regarded as significant need to be supported by a Regulation Impact Statement (RIS) meeting the requirements of the Office of Best Practice Regulation (OBPR) as published in the </w:t>
      </w:r>
      <w:r w:rsidRPr="00514C80">
        <w:rPr>
          <w:i/>
          <w:iCs/>
        </w:rPr>
        <w:t>Australian Government Guide to Regulatory Impact Analysis</w:t>
      </w:r>
      <w:r w:rsidR="00CC4B07">
        <w:rPr>
          <w:i/>
          <w:iCs/>
        </w:rPr>
        <w:t xml:space="preserve"> Second Edition 2020.</w:t>
      </w:r>
    </w:p>
    <w:p w14:paraId="2EEA3C05" w14:textId="77777777" w:rsidR="00040841" w:rsidRPr="005E5780" w:rsidRDefault="00040841" w:rsidP="00E72DD6">
      <w:pPr>
        <w:pStyle w:val="HeadingLevel2"/>
        <w:keepNext/>
        <w:tabs>
          <w:tab w:val="num" w:pos="993"/>
          <w:tab w:val="num" w:pos="3829"/>
        </w:tabs>
      </w:pPr>
      <w:bookmarkStart w:id="63" w:name="_Toc77091664"/>
      <w:bookmarkStart w:id="64" w:name="_Toc77253508"/>
      <w:bookmarkStart w:id="65" w:name="_Toc77253559"/>
      <w:bookmarkStart w:id="66" w:name="_Toc77263179"/>
      <w:bookmarkStart w:id="67" w:name="_Toc77264489"/>
      <w:bookmarkStart w:id="68" w:name="_Toc100329083"/>
      <w:bookmarkEnd w:id="63"/>
      <w:bookmarkEnd w:id="64"/>
      <w:bookmarkEnd w:id="65"/>
      <w:bookmarkEnd w:id="66"/>
      <w:bookmarkEnd w:id="67"/>
      <w:r w:rsidRPr="005E5780">
        <w:t>Specific Consultation Arrangements</w:t>
      </w:r>
      <w:bookmarkEnd w:id="68"/>
    </w:p>
    <w:p w14:paraId="6926C1E9" w14:textId="77777777" w:rsidR="00C6506F" w:rsidRDefault="00C6506F" w:rsidP="00C6506F">
      <w:r w:rsidRPr="00117CA2">
        <w:t>[</w:t>
      </w:r>
      <w:proofErr w:type="gramStart"/>
      <w:r w:rsidRPr="00117CA2">
        <w:t>to</w:t>
      </w:r>
      <w:proofErr w:type="gramEnd"/>
      <w:r w:rsidRPr="00117CA2">
        <w:t xml:space="preserve"> be completed following consultation]</w:t>
      </w:r>
    </w:p>
    <w:p w14:paraId="4E3C1F86" w14:textId="77777777" w:rsidR="00EE68A7" w:rsidRPr="00514C80" w:rsidRDefault="00EE68A7" w:rsidP="00EE68A7">
      <w:pPr>
        <w:pStyle w:val="HeadingLevel1"/>
      </w:pPr>
      <w:bookmarkStart w:id="69" w:name="_Toc100306489"/>
      <w:bookmarkStart w:id="70" w:name="_Toc100308223"/>
      <w:bookmarkStart w:id="71" w:name="_Toc100308256"/>
      <w:bookmarkStart w:id="72" w:name="_Toc100310684"/>
      <w:bookmarkStart w:id="73" w:name="_Toc100317893"/>
      <w:bookmarkStart w:id="74" w:name="_Toc100306490"/>
      <w:bookmarkStart w:id="75" w:name="_Toc100308224"/>
      <w:bookmarkStart w:id="76" w:name="_Toc100308257"/>
      <w:bookmarkStart w:id="77" w:name="_Toc100310685"/>
      <w:bookmarkStart w:id="78" w:name="_Toc100317894"/>
      <w:bookmarkStart w:id="79" w:name="_Toc100306491"/>
      <w:bookmarkStart w:id="80" w:name="_Toc100308225"/>
      <w:bookmarkStart w:id="81" w:name="_Toc100308258"/>
      <w:bookmarkStart w:id="82" w:name="_Toc100310686"/>
      <w:bookmarkStart w:id="83" w:name="_Toc100317895"/>
      <w:bookmarkStart w:id="84" w:name="_Toc100306492"/>
      <w:bookmarkStart w:id="85" w:name="_Toc100308226"/>
      <w:bookmarkStart w:id="86" w:name="_Toc100308259"/>
      <w:bookmarkStart w:id="87" w:name="_Toc100310687"/>
      <w:bookmarkStart w:id="88" w:name="_Toc100317896"/>
      <w:bookmarkStart w:id="89" w:name="_Toc100306493"/>
      <w:bookmarkStart w:id="90" w:name="_Toc100308227"/>
      <w:bookmarkStart w:id="91" w:name="_Toc100308260"/>
      <w:bookmarkStart w:id="92" w:name="_Toc100310688"/>
      <w:bookmarkStart w:id="93" w:name="_Toc100317897"/>
      <w:bookmarkStart w:id="94" w:name="_Toc77253510"/>
      <w:bookmarkStart w:id="95" w:name="_Toc77253561"/>
      <w:bookmarkStart w:id="96" w:name="_Toc77263181"/>
      <w:bookmarkStart w:id="97" w:name="_Toc77264491"/>
      <w:bookmarkStart w:id="98" w:name="_Toc77253511"/>
      <w:bookmarkStart w:id="99" w:name="_Toc77253562"/>
      <w:bookmarkStart w:id="100" w:name="_Toc77263182"/>
      <w:bookmarkStart w:id="101" w:name="_Toc77264492"/>
      <w:bookmarkStart w:id="102" w:name="_Toc77253512"/>
      <w:bookmarkStart w:id="103" w:name="_Toc77253563"/>
      <w:bookmarkStart w:id="104" w:name="_Toc77263183"/>
      <w:bookmarkStart w:id="105" w:name="_Toc77264493"/>
      <w:bookmarkStart w:id="106" w:name="_Toc77253513"/>
      <w:bookmarkStart w:id="107" w:name="_Toc77253564"/>
      <w:bookmarkStart w:id="108" w:name="_Toc77263184"/>
      <w:bookmarkStart w:id="109" w:name="_Toc77264494"/>
      <w:bookmarkStart w:id="110" w:name="_Toc74044077"/>
      <w:bookmarkStart w:id="111" w:name="_Toc74044726"/>
      <w:bookmarkStart w:id="112" w:name="_Toc46333225"/>
      <w:bookmarkStart w:id="113" w:name="_Toc46333479"/>
      <w:bookmarkStart w:id="114" w:name="_Toc46333633"/>
      <w:bookmarkStart w:id="115" w:name="_Toc46333798"/>
      <w:bookmarkStart w:id="116" w:name="_Toc46333912"/>
      <w:bookmarkStart w:id="117" w:name="_Toc46334648"/>
      <w:bookmarkStart w:id="118" w:name="_Toc10032908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514C80">
        <w:t>Regulatory Impact</w:t>
      </w:r>
      <w:bookmarkEnd w:id="110"/>
      <w:bookmarkEnd w:id="111"/>
      <w:bookmarkEnd w:id="118"/>
    </w:p>
    <w:p w14:paraId="739246DF" w14:textId="0B0BE4B0" w:rsidR="0067686F" w:rsidRDefault="004A4440" w:rsidP="00EE68A7">
      <w:bookmarkStart w:id="119" w:name="_Toc167864616"/>
      <w:bookmarkStart w:id="120" w:name="_Toc505092264"/>
      <w:bookmarkStart w:id="121" w:name="_Toc46333222"/>
      <w:bookmarkStart w:id="122" w:name="_Toc46333476"/>
      <w:bookmarkStart w:id="123" w:name="_Toc46333630"/>
      <w:bookmarkStart w:id="124" w:name="_Toc46333795"/>
      <w:bookmarkStart w:id="125" w:name="_Toc46333909"/>
      <w:bookmarkStart w:id="126" w:name="_Toc46334645"/>
      <w:bookmarkStart w:id="127" w:name="_Toc74044078"/>
      <w:bookmarkStart w:id="128" w:name="_Toc74044727"/>
      <w:r w:rsidRPr="0067686F">
        <w:t>There are cost</w:t>
      </w:r>
      <w:r w:rsidR="0067686F">
        <w:t>s associated with mandating LDWS for heavy</w:t>
      </w:r>
      <w:r w:rsidRPr="0067686F">
        <w:t xml:space="preserve"> vehicles, but the related RIS shows that there will b</w:t>
      </w:r>
      <w:r w:rsidR="0067686F">
        <w:t xml:space="preserve">e positive net benefits. </w:t>
      </w:r>
      <w:r w:rsidRPr="0067686F">
        <w:t xml:space="preserve">Overall, </w:t>
      </w:r>
      <w:r w:rsidR="00913CB4" w:rsidRPr="0067686F">
        <w:t xml:space="preserve">it is estimated that </w:t>
      </w:r>
      <w:r w:rsidR="00F25FB0">
        <w:t xml:space="preserve">the implementation of ADR </w:t>
      </w:r>
      <w:r w:rsidR="00C6506F">
        <w:t>99</w:t>
      </w:r>
      <w:r w:rsidR="00F25FB0">
        <w:t>/00</w:t>
      </w:r>
      <w:r w:rsidR="0067686F">
        <w:t>,</w:t>
      </w:r>
      <w:r w:rsidR="0095780C" w:rsidRPr="0067686F">
        <w:t xml:space="preserve"> </w:t>
      </w:r>
      <w:r w:rsidR="009245E3" w:rsidRPr="0067686F">
        <w:t>will</w:t>
      </w:r>
      <w:r w:rsidR="0095780C" w:rsidRPr="0067686F">
        <w:t xml:space="preserve"> save </w:t>
      </w:r>
      <w:r w:rsidR="0067686F">
        <w:t>63</w:t>
      </w:r>
      <w:r w:rsidR="00D4201E" w:rsidRPr="0067686F">
        <w:t xml:space="preserve"> </w:t>
      </w:r>
      <w:r w:rsidR="0095780C" w:rsidRPr="0067686F">
        <w:t xml:space="preserve">lives, </w:t>
      </w:r>
      <w:r w:rsidR="003B4091" w:rsidRPr="0067686F">
        <w:t xml:space="preserve">and </w:t>
      </w:r>
      <w:r w:rsidR="0067686F">
        <w:t>avoid 1,732</w:t>
      </w:r>
      <w:r w:rsidR="00D4201E" w:rsidRPr="0067686F">
        <w:t xml:space="preserve"> </w:t>
      </w:r>
      <w:r w:rsidR="0067686F">
        <w:t>serious and 5,389</w:t>
      </w:r>
      <w:r w:rsidR="00D4201E" w:rsidRPr="0067686F">
        <w:t xml:space="preserve"> </w:t>
      </w:r>
      <w:r w:rsidR="0095780C" w:rsidRPr="0067686F">
        <w:t>minor injuries</w:t>
      </w:r>
      <w:r w:rsidR="0067686F">
        <w:t xml:space="preserve">. </w:t>
      </w:r>
      <w:r w:rsidRPr="0067686F">
        <w:t>This includes around $</w:t>
      </w:r>
      <w:r w:rsidR="0067686F">
        <w:t>221.2</w:t>
      </w:r>
      <w:r w:rsidRPr="0067686F">
        <w:t xml:space="preserve"> million in </w:t>
      </w:r>
      <w:r w:rsidR="00E72DD6">
        <w:t>gross</w:t>
      </w:r>
      <w:r w:rsidRPr="0067686F">
        <w:t xml:space="preserve"> benefits.</w:t>
      </w:r>
      <w:bookmarkEnd w:id="119"/>
      <w:bookmarkEnd w:id="120"/>
      <w:bookmarkEnd w:id="121"/>
      <w:bookmarkEnd w:id="122"/>
      <w:bookmarkEnd w:id="123"/>
      <w:bookmarkEnd w:id="124"/>
      <w:bookmarkEnd w:id="125"/>
      <w:bookmarkEnd w:id="126"/>
      <w:bookmarkEnd w:id="127"/>
      <w:bookmarkEnd w:id="128"/>
    </w:p>
    <w:p w14:paraId="43B5E361" w14:textId="6976A8BE" w:rsidR="00C6506F" w:rsidRDefault="00C6506F" w:rsidP="00EE68A7">
      <w:r>
        <w:t>The Regulatory Burden Measurement sh</w:t>
      </w:r>
      <w:r w:rsidR="00E72DD6">
        <w:t>ow a total increase in cost of $18.2m</w:t>
      </w:r>
      <w:r>
        <w:t xml:space="preserve"> </w:t>
      </w:r>
      <w:r w:rsidR="00E72DD6">
        <w:t>p</w:t>
      </w:r>
      <w:r>
        <w:t xml:space="preserve">er annum associated with the additional cost required for fitment of LDWS. </w:t>
      </w:r>
      <w:r w:rsidR="009C5D51">
        <w:t>R</w:t>
      </w:r>
      <w:r w:rsidR="009C5D51" w:rsidRPr="009C5D51">
        <w:t>egulation generated the highest number of lives saved (63) and serious (1,732) and minor (5,389) injuries avoided, as well as the highest likely net benefit ($17.3 million), while retaining a likely benefit-cost ratio (1.1).</w:t>
      </w:r>
    </w:p>
    <w:p w14:paraId="550019F5" w14:textId="77777777" w:rsidR="00C6506F" w:rsidRPr="00313F5B" w:rsidRDefault="00C6506F" w:rsidP="00C6506F">
      <w:pPr>
        <w:pStyle w:val="HeadingLevel2"/>
        <w:keepNext/>
        <w:tabs>
          <w:tab w:val="num" w:pos="3829"/>
        </w:tabs>
      </w:pPr>
      <w:bookmarkStart w:id="129" w:name="_Toc47693324"/>
      <w:bookmarkStart w:id="130" w:name="_Toc100329085"/>
      <w:r w:rsidRPr="00313F5B">
        <w:t>Regulation Impact Statement</w:t>
      </w:r>
      <w:bookmarkEnd w:id="129"/>
      <w:bookmarkEnd w:id="130"/>
    </w:p>
    <w:p w14:paraId="7FF0B3ED" w14:textId="3D263C5B" w:rsidR="00C6506F" w:rsidRPr="00313F5B" w:rsidRDefault="00C6506F" w:rsidP="00C6506F">
      <w:r w:rsidRPr="00313F5B">
        <w:t xml:space="preserve">A Regulation Impact Statement (RIS) was completed to analyse the policy options for the fitment of </w:t>
      </w:r>
      <w:r>
        <w:t xml:space="preserve">LDWS </w:t>
      </w:r>
      <w:r w:rsidRPr="00313F5B">
        <w:t xml:space="preserve">in </w:t>
      </w:r>
      <w:r w:rsidR="000D1F9B">
        <w:t>heavy</w:t>
      </w:r>
      <w:r w:rsidRPr="00313F5B">
        <w:t xml:space="preserve"> vehicles. The best option is </w:t>
      </w:r>
      <w:r>
        <w:t>implementation of a mandatory standard under the Act</w:t>
      </w:r>
      <w:r w:rsidRPr="00313F5B">
        <w:t xml:space="preserve">. The OBPR reference number for the RIS is </w:t>
      </w:r>
      <w:r w:rsidR="00E72DD6" w:rsidRPr="00E72DD6">
        <w:t>OBPR22-01960</w:t>
      </w:r>
      <w:r w:rsidR="00E72DD6">
        <w:t>.</w:t>
      </w:r>
    </w:p>
    <w:p w14:paraId="4DB5C821" w14:textId="77777777" w:rsidR="00EE68A7" w:rsidRPr="00514C80" w:rsidRDefault="00EE68A7" w:rsidP="004319D5">
      <w:pPr>
        <w:pStyle w:val="HeadingLevel1"/>
      </w:pPr>
      <w:bookmarkStart w:id="131" w:name="_Toc77253515"/>
      <w:bookmarkStart w:id="132" w:name="_Toc77253566"/>
      <w:bookmarkStart w:id="133" w:name="_Toc77263186"/>
      <w:bookmarkStart w:id="134" w:name="_Toc77264496"/>
      <w:bookmarkStart w:id="135" w:name="_Toc74044080"/>
      <w:bookmarkStart w:id="136" w:name="_Toc74044729"/>
      <w:bookmarkStart w:id="137" w:name="_Toc100329086"/>
      <w:bookmarkEnd w:id="131"/>
      <w:bookmarkEnd w:id="132"/>
      <w:bookmarkEnd w:id="133"/>
      <w:bookmarkEnd w:id="134"/>
      <w:r w:rsidRPr="00514C80">
        <w:t>STATEMENT OF COMPATIBILITY WITH HUMAN RIGHTS</w:t>
      </w:r>
      <w:bookmarkEnd w:id="112"/>
      <w:bookmarkEnd w:id="113"/>
      <w:bookmarkEnd w:id="114"/>
      <w:bookmarkEnd w:id="115"/>
      <w:bookmarkEnd w:id="116"/>
      <w:bookmarkEnd w:id="117"/>
      <w:bookmarkEnd w:id="135"/>
      <w:bookmarkEnd w:id="136"/>
      <w:bookmarkEnd w:id="137"/>
    </w:p>
    <w:p w14:paraId="51CB8236" w14:textId="77777777" w:rsidR="00EE68A7" w:rsidRPr="00514C80" w:rsidRDefault="00EE68A7" w:rsidP="00EE68A7">
      <w:r w:rsidRPr="00514C80">
        <w:t xml:space="preserve">The following Statement is prepared in accordance with Part 3 of the </w:t>
      </w:r>
      <w:r w:rsidRPr="00514C80">
        <w:rPr>
          <w:i/>
          <w:iCs/>
        </w:rPr>
        <w:t>Human Rights (Parliamentary Scrutiny) Act 2011.</w:t>
      </w:r>
    </w:p>
    <w:p w14:paraId="074F44DC" w14:textId="77777777" w:rsidR="00EE68A7" w:rsidRPr="00514C80" w:rsidRDefault="00EE68A7" w:rsidP="00E15765">
      <w:pPr>
        <w:pStyle w:val="HeadingLevel2"/>
      </w:pPr>
      <w:bookmarkStart w:id="138" w:name="_Toc318271646"/>
      <w:bookmarkStart w:id="139" w:name="_Toc317171518"/>
      <w:bookmarkStart w:id="140" w:name="_Toc317171392"/>
      <w:bookmarkStart w:id="141" w:name="_Toc318272905"/>
      <w:bookmarkStart w:id="142" w:name="_Toc319402530"/>
      <w:bookmarkStart w:id="143" w:name="_Toc505092268"/>
      <w:bookmarkStart w:id="144" w:name="_Toc46333226"/>
      <w:bookmarkStart w:id="145" w:name="_Toc46333480"/>
      <w:bookmarkStart w:id="146" w:name="_Toc46333634"/>
      <w:bookmarkStart w:id="147" w:name="_Toc46333799"/>
      <w:bookmarkStart w:id="148" w:name="_Toc46333913"/>
      <w:bookmarkStart w:id="149" w:name="_Toc46334649"/>
      <w:bookmarkStart w:id="150" w:name="_Toc74044081"/>
      <w:bookmarkStart w:id="151" w:name="_Toc74044730"/>
      <w:bookmarkStart w:id="152" w:name="_Toc100329087"/>
      <w:r w:rsidRPr="00514C80">
        <w:t>Overview</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7116D57" w14:textId="7A587CD9" w:rsidR="00D24B98" w:rsidRPr="00D24B98" w:rsidRDefault="00F25FB0" w:rsidP="00EE68A7">
      <w:r w:rsidRPr="00F25FB0">
        <w:t xml:space="preserve">ADR </w:t>
      </w:r>
      <w:r w:rsidR="00731C60">
        <w:t>99</w:t>
      </w:r>
      <w:r w:rsidRPr="00F25FB0">
        <w:t>/00</w:t>
      </w:r>
      <w:r w:rsidR="00D24B98" w:rsidRPr="00D24B98">
        <w:t xml:space="preserve"> specifies</w:t>
      </w:r>
      <w:r w:rsidR="00D24B98">
        <w:t xml:space="preserve"> requirements for the fitment of LDWS to heavy goods vehicles greater than 3.5 tonnes Gross Vehicle Mass (GVM) and all omnibuses, to detected unintentional lane departure.</w:t>
      </w:r>
    </w:p>
    <w:p w14:paraId="429C45AC" w14:textId="77777777" w:rsidR="00EE68A7" w:rsidRPr="00514C80" w:rsidRDefault="00EE68A7" w:rsidP="00E15765">
      <w:pPr>
        <w:pStyle w:val="HeadingLevel2"/>
      </w:pPr>
      <w:bookmarkStart w:id="153" w:name="_Toc318271647"/>
      <w:bookmarkStart w:id="154" w:name="_Toc317171519"/>
      <w:bookmarkStart w:id="155" w:name="_Toc317171393"/>
      <w:bookmarkStart w:id="156" w:name="_Toc318272906"/>
      <w:bookmarkStart w:id="157" w:name="_Toc319402531"/>
      <w:bookmarkStart w:id="158" w:name="_Toc505092269"/>
      <w:bookmarkStart w:id="159" w:name="_Toc46333227"/>
      <w:bookmarkStart w:id="160" w:name="_Toc46333481"/>
      <w:bookmarkStart w:id="161" w:name="_Toc46333635"/>
      <w:bookmarkStart w:id="162" w:name="_Toc46333800"/>
      <w:bookmarkStart w:id="163" w:name="_Toc46333914"/>
      <w:bookmarkStart w:id="164" w:name="_Toc46334650"/>
      <w:bookmarkStart w:id="165" w:name="_Toc74044082"/>
      <w:bookmarkStart w:id="166" w:name="_Toc74044731"/>
      <w:bookmarkStart w:id="167" w:name="_Toc100329088"/>
      <w:r w:rsidRPr="00514C80">
        <w:t>Human Rights Implications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029B1A1" w14:textId="2FBA94DB" w:rsidR="00EE68A7" w:rsidRPr="00514C80" w:rsidRDefault="00F25FB0" w:rsidP="00EE68A7">
      <w:r>
        <w:t xml:space="preserve">ADR </w:t>
      </w:r>
      <w:r w:rsidR="00731C60">
        <w:t>99</w:t>
      </w:r>
      <w:r>
        <w:t>/00</w:t>
      </w:r>
      <w:r w:rsidR="00EE68A7" w:rsidRPr="00514C80">
        <w:t xml:space="preserve"> does not engage any of the human rights and freedoms recognised or declared in the international instruments listed in section 3 of the </w:t>
      </w:r>
      <w:r w:rsidR="00EE68A7" w:rsidRPr="00514C80">
        <w:rPr>
          <w:i/>
          <w:iCs/>
        </w:rPr>
        <w:t>Human Rights (Parliamentary Scrutiny) Act 2011</w:t>
      </w:r>
      <w:r w:rsidR="00EE68A7" w:rsidRPr="00514C80">
        <w:t>.</w:t>
      </w:r>
    </w:p>
    <w:p w14:paraId="5A900E4E" w14:textId="77777777" w:rsidR="00EE68A7" w:rsidRPr="00514C80" w:rsidRDefault="00EE68A7" w:rsidP="00E15765">
      <w:pPr>
        <w:pStyle w:val="HeadingLevel2"/>
      </w:pPr>
      <w:bookmarkStart w:id="168" w:name="_Toc319402532"/>
      <w:bookmarkStart w:id="169" w:name="_Toc505092270"/>
      <w:bookmarkStart w:id="170" w:name="_Toc46333228"/>
      <w:bookmarkStart w:id="171" w:name="_Toc46333482"/>
      <w:bookmarkStart w:id="172" w:name="_Toc46333636"/>
      <w:bookmarkStart w:id="173" w:name="_Toc46333801"/>
      <w:bookmarkStart w:id="174" w:name="_Toc46333915"/>
      <w:bookmarkStart w:id="175" w:name="_Toc46334651"/>
      <w:bookmarkStart w:id="176" w:name="_Toc74044083"/>
      <w:bookmarkStart w:id="177" w:name="_Toc74044732"/>
      <w:bookmarkStart w:id="178" w:name="_Toc100329089"/>
      <w:r w:rsidRPr="00514C80">
        <w:t>Conclusion</w:t>
      </w:r>
      <w:bookmarkEnd w:id="168"/>
      <w:bookmarkEnd w:id="169"/>
      <w:bookmarkEnd w:id="170"/>
      <w:bookmarkEnd w:id="171"/>
      <w:bookmarkEnd w:id="172"/>
      <w:bookmarkEnd w:id="173"/>
      <w:bookmarkEnd w:id="174"/>
      <w:bookmarkEnd w:id="175"/>
      <w:bookmarkEnd w:id="176"/>
      <w:bookmarkEnd w:id="177"/>
      <w:bookmarkEnd w:id="178"/>
    </w:p>
    <w:p w14:paraId="6381B59B" w14:textId="23ED717F" w:rsidR="00EE68A7" w:rsidRPr="00EE68A7" w:rsidRDefault="00F25FB0" w:rsidP="00EE68A7">
      <w:r>
        <w:t xml:space="preserve">ADR </w:t>
      </w:r>
      <w:r w:rsidR="00731C60">
        <w:t>99</w:t>
      </w:r>
      <w:r>
        <w:t>/00</w:t>
      </w:r>
      <w:r w:rsidR="00EE68A7" w:rsidRPr="00514C80">
        <w:t xml:space="preserve"> is compatible with human rights, as it does not raise any human rights issues.</w:t>
      </w:r>
    </w:p>
    <w:p w14:paraId="0220D96C" w14:textId="77777777" w:rsidR="00EE68A7" w:rsidRPr="00EE68A7" w:rsidRDefault="00EE68A7" w:rsidP="00EE68A7"/>
    <w:sectPr w:rsidR="00EE68A7" w:rsidRPr="00EE68A7" w:rsidSect="000A0A41">
      <w:headerReference w:type="first" r:id="rId1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2B561" w14:textId="77777777" w:rsidR="00291920" w:rsidRDefault="00291920" w:rsidP="00D82CC0">
      <w:r>
        <w:separator/>
      </w:r>
    </w:p>
  </w:endnote>
  <w:endnote w:type="continuationSeparator" w:id="0">
    <w:p w14:paraId="5066761F" w14:textId="77777777" w:rsidR="00291920" w:rsidRDefault="0029192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A3316" w14:textId="77777777" w:rsidR="00291920" w:rsidRDefault="00291920" w:rsidP="00D82CC0">
      <w:r>
        <w:separator/>
      </w:r>
    </w:p>
  </w:footnote>
  <w:footnote w:type="continuationSeparator" w:id="0">
    <w:p w14:paraId="472EC0C1" w14:textId="77777777" w:rsidR="00291920" w:rsidRDefault="0029192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18CA7" w14:textId="77777777" w:rsidR="00450F36" w:rsidRDefault="00450F36" w:rsidP="00D82CC0">
    <w:pPr>
      <w:pStyle w:val="Header"/>
    </w:pPr>
  </w:p>
  <w:tbl>
    <w:tblPr>
      <w:tblW w:w="8505" w:type="dxa"/>
      <w:tblLook w:val="01E0" w:firstRow="1" w:lastRow="1" w:firstColumn="1" w:lastColumn="1" w:noHBand="0" w:noVBand="0"/>
    </w:tblPr>
    <w:tblGrid>
      <w:gridCol w:w="8080"/>
      <w:gridCol w:w="425"/>
    </w:tblGrid>
    <w:tr w:rsidR="00450F36" w:rsidRPr="005F7AFE" w14:paraId="42D7534E" w14:textId="77777777" w:rsidTr="001F5393">
      <w:tc>
        <w:tcPr>
          <w:tcW w:w="8080" w:type="dxa"/>
          <w:shd w:val="clear" w:color="auto" w:fill="auto"/>
          <w:vAlign w:val="center"/>
        </w:tcPr>
        <w:p w14:paraId="64BDDE86" w14:textId="6727EA1A" w:rsidR="00450F36" w:rsidRPr="008A05F7" w:rsidRDefault="00450F36" w:rsidP="001F5393">
          <w:pPr>
            <w:pStyle w:val="Header"/>
            <w:spacing w:before="0" w:after="0"/>
            <w:rPr>
              <w:szCs w:val="20"/>
            </w:rPr>
          </w:pPr>
          <w:r w:rsidRPr="00DC33CF">
            <w:t xml:space="preserve">Vehicle Standard </w:t>
          </w:r>
          <w:r w:rsidR="00872987">
            <w:t xml:space="preserve">(Australian Design Rule </w:t>
          </w:r>
          <w:r w:rsidR="00786B33">
            <w:t>99</w:t>
          </w:r>
          <w:r w:rsidR="00872987">
            <w:t>/00</w:t>
          </w:r>
          <w:r w:rsidR="000A0A41">
            <w:t xml:space="preserve"> – Lane Departure Warning System</w:t>
          </w:r>
          <w:r w:rsidR="00F96CCB">
            <w:t>s</w:t>
          </w:r>
          <w:r w:rsidR="000A0A41">
            <w:t xml:space="preserve"> for Heavy</w:t>
          </w:r>
          <w:r w:rsidR="00827AF7">
            <w:t xml:space="preserve"> Vehicles)</w:t>
          </w:r>
          <w:r w:rsidR="000A0A41">
            <w:t xml:space="preserve"> 2022</w:t>
          </w:r>
        </w:p>
      </w:tc>
      <w:tc>
        <w:tcPr>
          <w:tcW w:w="425" w:type="dxa"/>
          <w:vMerge w:val="restart"/>
          <w:shd w:val="clear" w:color="auto" w:fill="auto"/>
        </w:tcPr>
        <w:p w14:paraId="630E9E2F" w14:textId="628234F4"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7C6347">
            <w:rPr>
              <w:noProof/>
              <w:spacing w:val="-2"/>
              <w:sz w:val="20"/>
              <w:szCs w:val="20"/>
              <w:lang w:val="x-none" w:eastAsia="x-none"/>
            </w:rPr>
            <w:t>9</w:t>
          </w:r>
          <w:r w:rsidRPr="005F7AFE">
            <w:rPr>
              <w:spacing w:val="-2"/>
              <w:sz w:val="20"/>
              <w:szCs w:val="20"/>
              <w:lang w:val="x-none" w:eastAsia="x-none"/>
            </w:rPr>
            <w:fldChar w:fldCharType="end"/>
          </w:r>
        </w:p>
      </w:tc>
    </w:tr>
    <w:tr w:rsidR="00450F36" w:rsidRPr="005F7AFE" w14:paraId="7F2998E0" w14:textId="77777777" w:rsidTr="001F5393">
      <w:tc>
        <w:tcPr>
          <w:tcW w:w="8080" w:type="dxa"/>
          <w:tcBorders>
            <w:bottom w:val="single" w:sz="4" w:space="0" w:color="auto"/>
          </w:tcBorders>
          <w:shd w:val="clear" w:color="auto" w:fill="auto"/>
          <w:vAlign w:val="center"/>
        </w:tcPr>
        <w:p w14:paraId="59A3B632" w14:textId="77777777" w:rsidR="00450F36" w:rsidRPr="00DC33CF" w:rsidRDefault="00450F36"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7891745A" w14:textId="77777777" w:rsidR="00450F36" w:rsidRPr="005F7AFE" w:rsidRDefault="00450F36" w:rsidP="001F5393">
          <w:pPr>
            <w:tabs>
              <w:tab w:val="center" w:pos="4153"/>
              <w:tab w:val="right" w:pos="8306"/>
            </w:tabs>
            <w:suppressAutoHyphens/>
            <w:spacing w:before="0" w:after="0"/>
            <w:jc w:val="center"/>
            <w:rPr>
              <w:spacing w:val="-2"/>
              <w:sz w:val="20"/>
              <w:szCs w:val="20"/>
              <w:lang w:val="x-none" w:eastAsia="x-none"/>
            </w:rPr>
          </w:pPr>
        </w:p>
      </w:tc>
    </w:tr>
  </w:tbl>
  <w:p w14:paraId="79DAD710" w14:textId="77777777" w:rsidR="00450F36" w:rsidRDefault="00450F36"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896150"/>
      <w:docPartObj>
        <w:docPartGallery w:val="Watermarks"/>
        <w:docPartUnique/>
      </w:docPartObj>
    </w:sdtPr>
    <w:sdtEndPr/>
    <w:sdtContent>
      <w:p w14:paraId="71F11AE0" w14:textId="1C208E74" w:rsidR="004B5921" w:rsidRDefault="00E242FC">
        <w:pPr>
          <w:pStyle w:val="Header"/>
        </w:pPr>
        <w:r>
          <w:rPr>
            <w:noProof/>
            <w:lang w:val="en-US" w:eastAsia="en-US"/>
          </w:rPr>
          <w:pict w14:anchorId="706A5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450F36" w:rsidRPr="001F5393" w14:paraId="1A37950B" w14:textId="77777777" w:rsidTr="001E3FA7">
      <w:tc>
        <w:tcPr>
          <w:tcW w:w="8162" w:type="dxa"/>
          <w:shd w:val="clear" w:color="auto" w:fill="auto"/>
          <w:vAlign w:val="center"/>
        </w:tcPr>
        <w:p w14:paraId="5C606A57" w14:textId="77777777" w:rsidR="00450F36" w:rsidRPr="001F5393" w:rsidRDefault="00450F36" w:rsidP="001F5393">
          <w:pPr>
            <w:pStyle w:val="Header"/>
            <w:spacing w:before="0" w:after="0"/>
            <w:rPr>
              <w:szCs w:val="20"/>
            </w:rPr>
          </w:pPr>
          <w:r w:rsidRPr="001F5393">
            <w:t xml:space="preserve">Vehicle Standard (Australian </w:t>
          </w:r>
          <w:r w:rsidR="00A52062">
            <w:t>Design Rule XX/XX Lane Departure Warning System for Heavy</w:t>
          </w:r>
          <w:r w:rsidR="00827AF7">
            <w:t xml:space="preserve"> Vehicles)</w:t>
          </w:r>
          <w:r w:rsidR="00A52062">
            <w:t xml:space="preserve"> 2022</w:t>
          </w:r>
        </w:p>
      </w:tc>
      <w:tc>
        <w:tcPr>
          <w:tcW w:w="343" w:type="dxa"/>
          <w:vMerge w:val="restart"/>
          <w:shd w:val="clear" w:color="auto" w:fill="auto"/>
        </w:tcPr>
        <w:p w14:paraId="79DC79BF" w14:textId="681CB66E"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7C6347">
            <w:rPr>
              <w:noProof/>
              <w:spacing w:val="-2"/>
              <w:sz w:val="20"/>
              <w:szCs w:val="20"/>
              <w:lang w:val="x-none" w:eastAsia="x-none"/>
            </w:rPr>
            <w:t>9</w:t>
          </w:r>
          <w:r w:rsidRPr="001F5393">
            <w:rPr>
              <w:spacing w:val="-2"/>
              <w:sz w:val="20"/>
              <w:szCs w:val="20"/>
              <w:lang w:val="x-none" w:eastAsia="x-none"/>
            </w:rPr>
            <w:fldChar w:fldCharType="end"/>
          </w:r>
        </w:p>
      </w:tc>
    </w:tr>
    <w:tr w:rsidR="00450F36" w:rsidRPr="001F5393" w14:paraId="53DE65A8" w14:textId="77777777" w:rsidTr="001E3FA7">
      <w:tc>
        <w:tcPr>
          <w:tcW w:w="8162" w:type="dxa"/>
          <w:tcBorders>
            <w:bottom w:val="single" w:sz="4" w:space="0" w:color="auto"/>
          </w:tcBorders>
          <w:shd w:val="clear" w:color="auto" w:fill="auto"/>
          <w:vAlign w:val="center"/>
        </w:tcPr>
        <w:p w14:paraId="615D75D3"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597E0DA5"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15EEBB65" w14:textId="77777777" w:rsidR="00450F36" w:rsidRDefault="0045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C0B1A"/>
    <w:multiLevelType w:val="multilevel"/>
    <w:tmpl w:val="20BAF5B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44CE"/>
    <w:multiLevelType w:val="hybridMultilevel"/>
    <w:tmpl w:val="947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3"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
  </w:num>
  <w:num w:numId="4">
    <w:abstractNumId w:val="22"/>
  </w:num>
  <w:num w:numId="5">
    <w:abstractNumId w:val="2"/>
  </w:num>
  <w:num w:numId="6">
    <w:abstractNumId w:val="20"/>
  </w:num>
  <w:num w:numId="7">
    <w:abstractNumId w:val="4"/>
  </w:num>
  <w:num w:numId="8">
    <w:abstractNumId w:val="16"/>
  </w:num>
  <w:num w:numId="9">
    <w:abstractNumId w:val="13"/>
  </w:num>
  <w:num w:numId="10">
    <w:abstractNumId w:val="18"/>
  </w:num>
  <w:num w:numId="11">
    <w:abstractNumId w:val="10"/>
  </w:num>
  <w:num w:numId="12">
    <w:abstractNumId w:val="15"/>
  </w:num>
  <w:num w:numId="13">
    <w:abstractNumId w:val="5"/>
  </w:num>
  <w:num w:numId="14">
    <w:abstractNumId w:val="14"/>
  </w:num>
  <w:num w:numId="15">
    <w:abstractNumId w:val="17"/>
  </w:num>
  <w:num w:numId="16">
    <w:abstractNumId w:val="17"/>
  </w:num>
  <w:num w:numId="17">
    <w:abstractNumId w:val="17"/>
  </w:num>
  <w:num w:numId="18">
    <w:abstractNumId w:val="17"/>
  </w:num>
  <w:num w:numId="19">
    <w:abstractNumId w:val="0"/>
  </w:num>
  <w:num w:numId="20">
    <w:abstractNumId w:val="17"/>
  </w:num>
  <w:num w:numId="21">
    <w:abstractNumId w:val="1"/>
  </w:num>
  <w:num w:numId="22">
    <w:abstractNumId w:val="17"/>
  </w:num>
  <w:num w:numId="23">
    <w:abstractNumId w:val="7"/>
  </w:num>
  <w:num w:numId="24">
    <w:abstractNumId w:val="8"/>
  </w:num>
  <w:num w:numId="25">
    <w:abstractNumId w:val="6"/>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9"/>
  </w:num>
  <w:num w:numId="38">
    <w:abstractNumId w:val="11"/>
  </w:num>
  <w:num w:numId="39">
    <w:abstractNumId w:val="21"/>
  </w:num>
  <w:num w:numId="40">
    <w:abstractNumId w:val="12"/>
  </w:num>
  <w:num w:numId="41">
    <w:abstractNumId w:val="17"/>
  </w:num>
  <w:num w:numId="42">
    <w:abstractNumId w:val="17"/>
  </w:num>
  <w:num w:numId="43">
    <w:abstractNumId w:val="17"/>
  </w:num>
  <w:num w:numId="44">
    <w:abstractNumId w:val="17"/>
  </w:num>
  <w:num w:numId="45">
    <w:abstractNumId w:val="1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046"/>
    <w:rsid w:val="00006B90"/>
    <w:rsid w:val="00007B5F"/>
    <w:rsid w:val="00010B0D"/>
    <w:rsid w:val="000157B0"/>
    <w:rsid w:val="000166ED"/>
    <w:rsid w:val="000220C0"/>
    <w:rsid w:val="00022CA1"/>
    <w:rsid w:val="00023874"/>
    <w:rsid w:val="000241C6"/>
    <w:rsid w:val="000245BE"/>
    <w:rsid w:val="00031C17"/>
    <w:rsid w:val="000335E2"/>
    <w:rsid w:val="00035887"/>
    <w:rsid w:val="0003681E"/>
    <w:rsid w:val="00040841"/>
    <w:rsid w:val="00041D7B"/>
    <w:rsid w:val="0004459A"/>
    <w:rsid w:val="000450E7"/>
    <w:rsid w:val="000476C9"/>
    <w:rsid w:val="00050C17"/>
    <w:rsid w:val="00050FB8"/>
    <w:rsid w:val="00052EF3"/>
    <w:rsid w:val="0005416F"/>
    <w:rsid w:val="00054492"/>
    <w:rsid w:val="00054851"/>
    <w:rsid w:val="00054DEF"/>
    <w:rsid w:val="000562F1"/>
    <w:rsid w:val="00056F3D"/>
    <w:rsid w:val="000604A0"/>
    <w:rsid w:val="000643D2"/>
    <w:rsid w:val="00064AFA"/>
    <w:rsid w:val="000650DA"/>
    <w:rsid w:val="000655E9"/>
    <w:rsid w:val="00066290"/>
    <w:rsid w:val="00066F93"/>
    <w:rsid w:val="00067219"/>
    <w:rsid w:val="000707B0"/>
    <w:rsid w:val="000713D8"/>
    <w:rsid w:val="00073E14"/>
    <w:rsid w:val="000740DE"/>
    <w:rsid w:val="00074D90"/>
    <w:rsid w:val="000760A3"/>
    <w:rsid w:val="0007625E"/>
    <w:rsid w:val="00081497"/>
    <w:rsid w:val="0008418F"/>
    <w:rsid w:val="00084625"/>
    <w:rsid w:val="0008652F"/>
    <w:rsid w:val="00093AA6"/>
    <w:rsid w:val="000957CE"/>
    <w:rsid w:val="000964DF"/>
    <w:rsid w:val="0009658B"/>
    <w:rsid w:val="000968DF"/>
    <w:rsid w:val="000A0A41"/>
    <w:rsid w:val="000A1DD0"/>
    <w:rsid w:val="000A1FE7"/>
    <w:rsid w:val="000A5A8B"/>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C06"/>
    <w:rsid w:val="000C57AC"/>
    <w:rsid w:val="000C6195"/>
    <w:rsid w:val="000D0AC6"/>
    <w:rsid w:val="000D1A08"/>
    <w:rsid w:val="000D1F9B"/>
    <w:rsid w:val="000D2C70"/>
    <w:rsid w:val="000D3459"/>
    <w:rsid w:val="000D4AC1"/>
    <w:rsid w:val="000D6331"/>
    <w:rsid w:val="000E3161"/>
    <w:rsid w:val="000E3BAA"/>
    <w:rsid w:val="000E3CB6"/>
    <w:rsid w:val="000E46B1"/>
    <w:rsid w:val="000E556E"/>
    <w:rsid w:val="000E6F99"/>
    <w:rsid w:val="000E73ED"/>
    <w:rsid w:val="000E7A76"/>
    <w:rsid w:val="000F0904"/>
    <w:rsid w:val="000F1192"/>
    <w:rsid w:val="000F162D"/>
    <w:rsid w:val="000F36B1"/>
    <w:rsid w:val="000F4182"/>
    <w:rsid w:val="000F534E"/>
    <w:rsid w:val="000F5B27"/>
    <w:rsid w:val="000F6F83"/>
    <w:rsid w:val="000F793B"/>
    <w:rsid w:val="00101E42"/>
    <w:rsid w:val="00102EE7"/>
    <w:rsid w:val="00105209"/>
    <w:rsid w:val="00106C75"/>
    <w:rsid w:val="001143B9"/>
    <w:rsid w:val="001147B7"/>
    <w:rsid w:val="0012081F"/>
    <w:rsid w:val="0012110B"/>
    <w:rsid w:val="00121CBA"/>
    <w:rsid w:val="0012466F"/>
    <w:rsid w:val="00127289"/>
    <w:rsid w:val="00130F68"/>
    <w:rsid w:val="00131492"/>
    <w:rsid w:val="00131C34"/>
    <w:rsid w:val="00132596"/>
    <w:rsid w:val="00132EF4"/>
    <w:rsid w:val="00133187"/>
    <w:rsid w:val="001359EF"/>
    <w:rsid w:val="00141E4F"/>
    <w:rsid w:val="00141FF9"/>
    <w:rsid w:val="0014211E"/>
    <w:rsid w:val="0014264C"/>
    <w:rsid w:val="0014311B"/>
    <w:rsid w:val="001465C7"/>
    <w:rsid w:val="00147F05"/>
    <w:rsid w:val="00150C04"/>
    <w:rsid w:val="0015120A"/>
    <w:rsid w:val="00152636"/>
    <w:rsid w:val="00153A82"/>
    <w:rsid w:val="001551CF"/>
    <w:rsid w:val="00155DDC"/>
    <w:rsid w:val="00155FE4"/>
    <w:rsid w:val="00157142"/>
    <w:rsid w:val="001572C8"/>
    <w:rsid w:val="00157631"/>
    <w:rsid w:val="001606BF"/>
    <w:rsid w:val="00160C84"/>
    <w:rsid w:val="00161B14"/>
    <w:rsid w:val="00161F08"/>
    <w:rsid w:val="00166DC2"/>
    <w:rsid w:val="00170AE8"/>
    <w:rsid w:val="001717FC"/>
    <w:rsid w:val="00171B84"/>
    <w:rsid w:val="00177811"/>
    <w:rsid w:val="00177ADF"/>
    <w:rsid w:val="001811E9"/>
    <w:rsid w:val="00181511"/>
    <w:rsid w:val="00185C42"/>
    <w:rsid w:val="00187070"/>
    <w:rsid w:val="00187A7D"/>
    <w:rsid w:val="00187D37"/>
    <w:rsid w:val="00192B4F"/>
    <w:rsid w:val="00192F2E"/>
    <w:rsid w:val="00194433"/>
    <w:rsid w:val="00197EE4"/>
    <w:rsid w:val="001A0001"/>
    <w:rsid w:val="001A28AB"/>
    <w:rsid w:val="001B0EFB"/>
    <w:rsid w:val="001B217D"/>
    <w:rsid w:val="001B2251"/>
    <w:rsid w:val="001B2451"/>
    <w:rsid w:val="001B29A2"/>
    <w:rsid w:val="001B38AA"/>
    <w:rsid w:val="001B3B65"/>
    <w:rsid w:val="001B5F38"/>
    <w:rsid w:val="001C2946"/>
    <w:rsid w:val="001C69AE"/>
    <w:rsid w:val="001D01E5"/>
    <w:rsid w:val="001D17F3"/>
    <w:rsid w:val="001D2618"/>
    <w:rsid w:val="001D2D0B"/>
    <w:rsid w:val="001D467A"/>
    <w:rsid w:val="001D4C8A"/>
    <w:rsid w:val="001D592B"/>
    <w:rsid w:val="001E0205"/>
    <w:rsid w:val="001E0A6A"/>
    <w:rsid w:val="001E1A19"/>
    <w:rsid w:val="001E218D"/>
    <w:rsid w:val="001E3FA7"/>
    <w:rsid w:val="001E543A"/>
    <w:rsid w:val="001E5490"/>
    <w:rsid w:val="001E6416"/>
    <w:rsid w:val="001E6F6F"/>
    <w:rsid w:val="001E7E7F"/>
    <w:rsid w:val="001F128D"/>
    <w:rsid w:val="001F5393"/>
    <w:rsid w:val="001F566C"/>
    <w:rsid w:val="00200879"/>
    <w:rsid w:val="00200AEE"/>
    <w:rsid w:val="002019EC"/>
    <w:rsid w:val="00201A02"/>
    <w:rsid w:val="00204702"/>
    <w:rsid w:val="0020549D"/>
    <w:rsid w:val="00206EF3"/>
    <w:rsid w:val="002105AD"/>
    <w:rsid w:val="00210C5E"/>
    <w:rsid w:val="00212153"/>
    <w:rsid w:val="00215C84"/>
    <w:rsid w:val="00216DD3"/>
    <w:rsid w:val="002172AC"/>
    <w:rsid w:val="002214DC"/>
    <w:rsid w:val="00225589"/>
    <w:rsid w:val="0022575C"/>
    <w:rsid w:val="00225D2D"/>
    <w:rsid w:val="00225EEA"/>
    <w:rsid w:val="00226CB6"/>
    <w:rsid w:val="0022719C"/>
    <w:rsid w:val="00227A72"/>
    <w:rsid w:val="0023125C"/>
    <w:rsid w:val="002313B3"/>
    <w:rsid w:val="002325B1"/>
    <w:rsid w:val="00232C1B"/>
    <w:rsid w:val="00233F4B"/>
    <w:rsid w:val="00235D5D"/>
    <w:rsid w:val="002373D8"/>
    <w:rsid w:val="00237831"/>
    <w:rsid w:val="0024087E"/>
    <w:rsid w:val="002411F9"/>
    <w:rsid w:val="0024155C"/>
    <w:rsid w:val="002425A0"/>
    <w:rsid w:val="00242D6F"/>
    <w:rsid w:val="0024440F"/>
    <w:rsid w:val="002449FF"/>
    <w:rsid w:val="00246F06"/>
    <w:rsid w:val="002471BF"/>
    <w:rsid w:val="00253F55"/>
    <w:rsid w:val="002550C2"/>
    <w:rsid w:val="00256C8A"/>
    <w:rsid w:val="002640E7"/>
    <w:rsid w:val="00265ABF"/>
    <w:rsid w:val="002664F3"/>
    <w:rsid w:val="002667FE"/>
    <w:rsid w:val="00266FE7"/>
    <w:rsid w:val="002707F7"/>
    <w:rsid w:val="0027099F"/>
    <w:rsid w:val="00270FAD"/>
    <w:rsid w:val="002714C6"/>
    <w:rsid w:val="00271DCE"/>
    <w:rsid w:val="00276384"/>
    <w:rsid w:val="00276D6F"/>
    <w:rsid w:val="00277209"/>
    <w:rsid w:val="00282AAC"/>
    <w:rsid w:val="0028346B"/>
    <w:rsid w:val="002834A5"/>
    <w:rsid w:val="00283C75"/>
    <w:rsid w:val="00283C82"/>
    <w:rsid w:val="00285ADA"/>
    <w:rsid w:val="00287770"/>
    <w:rsid w:val="002904A2"/>
    <w:rsid w:val="00290ABB"/>
    <w:rsid w:val="002918CC"/>
    <w:rsid w:val="00291920"/>
    <w:rsid w:val="00291E7B"/>
    <w:rsid w:val="00292D0D"/>
    <w:rsid w:val="00293D22"/>
    <w:rsid w:val="002968C5"/>
    <w:rsid w:val="00296D1C"/>
    <w:rsid w:val="00297504"/>
    <w:rsid w:val="002975C7"/>
    <w:rsid w:val="00297D5D"/>
    <w:rsid w:val="002A005B"/>
    <w:rsid w:val="002A063C"/>
    <w:rsid w:val="002A302C"/>
    <w:rsid w:val="002A4357"/>
    <w:rsid w:val="002A435A"/>
    <w:rsid w:val="002A4E59"/>
    <w:rsid w:val="002A5439"/>
    <w:rsid w:val="002A7B68"/>
    <w:rsid w:val="002B19F2"/>
    <w:rsid w:val="002B1FE3"/>
    <w:rsid w:val="002B574B"/>
    <w:rsid w:val="002B6473"/>
    <w:rsid w:val="002B7491"/>
    <w:rsid w:val="002B7CA5"/>
    <w:rsid w:val="002C4578"/>
    <w:rsid w:val="002C55A1"/>
    <w:rsid w:val="002C5829"/>
    <w:rsid w:val="002D070C"/>
    <w:rsid w:val="002D0D1B"/>
    <w:rsid w:val="002D295F"/>
    <w:rsid w:val="002D3608"/>
    <w:rsid w:val="002D508E"/>
    <w:rsid w:val="002D5A2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82F"/>
    <w:rsid w:val="003039C0"/>
    <w:rsid w:val="00304422"/>
    <w:rsid w:val="003057C9"/>
    <w:rsid w:val="00307AA5"/>
    <w:rsid w:val="00307DAE"/>
    <w:rsid w:val="00310E9F"/>
    <w:rsid w:val="003119C5"/>
    <w:rsid w:val="00314E88"/>
    <w:rsid w:val="00315263"/>
    <w:rsid w:val="003157F6"/>
    <w:rsid w:val="00316D44"/>
    <w:rsid w:val="003210C8"/>
    <w:rsid w:val="00325734"/>
    <w:rsid w:val="00325E9B"/>
    <w:rsid w:val="00327EF6"/>
    <w:rsid w:val="003303E7"/>
    <w:rsid w:val="0033055C"/>
    <w:rsid w:val="003319EF"/>
    <w:rsid w:val="0033287C"/>
    <w:rsid w:val="00335687"/>
    <w:rsid w:val="0033629A"/>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265F"/>
    <w:rsid w:val="0036300A"/>
    <w:rsid w:val="003634A7"/>
    <w:rsid w:val="00364F93"/>
    <w:rsid w:val="00365500"/>
    <w:rsid w:val="00366380"/>
    <w:rsid w:val="00367091"/>
    <w:rsid w:val="00373116"/>
    <w:rsid w:val="003736E6"/>
    <w:rsid w:val="003737A4"/>
    <w:rsid w:val="00373852"/>
    <w:rsid w:val="00373A7D"/>
    <w:rsid w:val="00374CD7"/>
    <w:rsid w:val="00376103"/>
    <w:rsid w:val="003764FA"/>
    <w:rsid w:val="00376574"/>
    <w:rsid w:val="003771C7"/>
    <w:rsid w:val="003778A3"/>
    <w:rsid w:val="00380D2E"/>
    <w:rsid w:val="00381BCC"/>
    <w:rsid w:val="0038362C"/>
    <w:rsid w:val="003864BF"/>
    <w:rsid w:val="003868ED"/>
    <w:rsid w:val="0039041B"/>
    <w:rsid w:val="00390444"/>
    <w:rsid w:val="003917B0"/>
    <w:rsid w:val="0039439E"/>
    <w:rsid w:val="00394DCB"/>
    <w:rsid w:val="00395DAB"/>
    <w:rsid w:val="00396C92"/>
    <w:rsid w:val="00397976"/>
    <w:rsid w:val="00397F88"/>
    <w:rsid w:val="003A06A3"/>
    <w:rsid w:val="003A2BF6"/>
    <w:rsid w:val="003A3291"/>
    <w:rsid w:val="003A3373"/>
    <w:rsid w:val="003A3E29"/>
    <w:rsid w:val="003A45FB"/>
    <w:rsid w:val="003A4F94"/>
    <w:rsid w:val="003A512F"/>
    <w:rsid w:val="003A7701"/>
    <w:rsid w:val="003A7E34"/>
    <w:rsid w:val="003B220C"/>
    <w:rsid w:val="003B2EB6"/>
    <w:rsid w:val="003B4057"/>
    <w:rsid w:val="003B4091"/>
    <w:rsid w:val="003B4482"/>
    <w:rsid w:val="003B48EF"/>
    <w:rsid w:val="003B6992"/>
    <w:rsid w:val="003B7123"/>
    <w:rsid w:val="003B7C60"/>
    <w:rsid w:val="003C06B1"/>
    <w:rsid w:val="003C0FCE"/>
    <w:rsid w:val="003C14FD"/>
    <w:rsid w:val="003C1591"/>
    <w:rsid w:val="003C33AE"/>
    <w:rsid w:val="003C3B0E"/>
    <w:rsid w:val="003D1A38"/>
    <w:rsid w:val="003D1AB8"/>
    <w:rsid w:val="003D1BC8"/>
    <w:rsid w:val="003D3D19"/>
    <w:rsid w:val="003D579C"/>
    <w:rsid w:val="003D7E2A"/>
    <w:rsid w:val="003E1D23"/>
    <w:rsid w:val="003E2ACE"/>
    <w:rsid w:val="003E40C9"/>
    <w:rsid w:val="003E49F6"/>
    <w:rsid w:val="003E5643"/>
    <w:rsid w:val="003E56E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FBD"/>
    <w:rsid w:val="004001EB"/>
    <w:rsid w:val="00401482"/>
    <w:rsid w:val="00402B28"/>
    <w:rsid w:val="00402C27"/>
    <w:rsid w:val="004047EF"/>
    <w:rsid w:val="00404CC7"/>
    <w:rsid w:val="00406B4C"/>
    <w:rsid w:val="00407B7A"/>
    <w:rsid w:val="00407EDD"/>
    <w:rsid w:val="00407F3B"/>
    <w:rsid w:val="00410063"/>
    <w:rsid w:val="00410952"/>
    <w:rsid w:val="00411ED1"/>
    <w:rsid w:val="004120B1"/>
    <w:rsid w:val="00412A94"/>
    <w:rsid w:val="00413440"/>
    <w:rsid w:val="00414BCC"/>
    <w:rsid w:val="004161CF"/>
    <w:rsid w:val="00420BFB"/>
    <w:rsid w:val="00422A41"/>
    <w:rsid w:val="004233CF"/>
    <w:rsid w:val="00423778"/>
    <w:rsid w:val="00423EEA"/>
    <w:rsid w:val="00426BF7"/>
    <w:rsid w:val="00430717"/>
    <w:rsid w:val="004317FF"/>
    <w:rsid w:val="00431883"/>
    <w:rsid w:val="0043191E"/>
    <w:rsid w:val="004319D5"/>
    <w:rsid w:val="00433473"/>
    <w:rsid w:val="0043557B"/>
    <w:rsid w:val="00436451"/>
    <w:rsid w:val="00437142"/>
    <w:rsid w:val="00437AB8"/>
    <w:rsid w:val="00441D7B"/>
    <w:rsid w:val="00443380"/>
    <w:rsid w:val="004433E1"/>
    <w:rsid w:val="004434BD"/>
    <w:rsid w:val="004454CA"/>
    <w:rsid w:val="00445A77"/>
    <w:rsid w:val="004472A2"/>
    <w:rsid w:val="00450F36"/>
    <w:rsid w:val="00450F3A"/>
    <w:rsid w:val="00451400"/>
    <w:rsid w:val="004524F9"/>
    <w:rsid w:val="00453027"/>
    <w:rsid w:val="004533BE"/>
    <w:rsid w:val="00454834"/>
    <w:rsid w:val="00455920"/>
    <w:rsid w:val="004574BB"/>
    <w:rsid w:val="00457BD8"/>
    <w:rsid w:val="004619D3"/>
    <w:rsid w:val="004621A1"/>
    <w:rsid w:val="004625CE"/>
    <w:rsid w:val="00462A19"/>
    <w:rsid w:val="004661F6"/>
    <w:rsid w:val="004674D6"/>
    <w:rsid w:val="00471385"/>
    <w:rsid w:val="00471762"/>
    <w:rsid w:val="00471F50"/>
    <w:rsid w:val="00472C2C"/>
    <w:rsid w:val="004767B9"/>
    <w:rsid w:val="00476B93"/>
    <w:rsid w:val="00477202"/>
    <w:rsid w:val="00477560"/>
    <w:rsid w:val="00477592"/>
    <w:rsid w:val="00481ACE"/>
    <w:rsid w:val="0048427B"/>
    <w:rsid w:val="00484940"/>
    <w:rsid w:val="00485D93"/>
    <w:rsid w:val="00485E16"/>
    <w:rsid w:val="00487D1D"/>
    <w:rsid w:val="0049097D"/>
    <w:rsid w:val="00490CB0"/>
    <w:rsid w:val="00491690"/>
    <w:rsid w:val="0049177C"/>
    <w:rsid w:val="004923CD"/>
    <w:rsid w:val="00493A3B"/>
    <w:rsid w:val="00494FFD"/>
    <w:rsid w:val="004A12B5"/>
    <w:rsid w:val="004A369F"/>
    <w:rsid w:val="004A3C32"/>
    <w:rsid w:val="004A41E0"/>
    <w:rsid w:val="004A4440"/>
    <w:rsid w:val="004A68FD"/>
    <w:rsid w:val="004B17C6"/>
    <w:rsid w:val="004B182E"/>
    <w:rsid w:val="004B5921"/>
    <w:rsid w:val="004B59B3"/>
    <w:rsid w:val="004B6091"/>
    <w:rsid w:val="004B6159"/>
    <w:rsid w:val="004B7D5C"/>
    <w:rsid w:val="004C0560"/>
    <w:rsid w:val="004C2A7B"/>
    <w:rsid w:val="004C3365"/>
    <w:rsid w:val="004C40E7"/>
    <w:rsid w:val="004C4E3A"/>
    <w:rsid w:val="004C52F0"/>
    <w:rsid w:val="004C68B7"/>
    <w:rsid w:val="004C77FE"/>
    <w:rsid w:val="004D4A4C"/>
    <w:rsid w:val="004D6CC1"/>
    <w:rsid w:val="004D785B"/>
    <w:rsid w:val="004E0001"/>
    <w:rsid w:val="004E2968"/>
    <w:rsid w:val="004E3E84"/>
    <w:rsid w:val="004E4D2D"/>
    <w:rsid w:val="004E5834"/>
    <w:rsid w:val="004E7515"/>
    <w:rsid w:val="004F1001"/>
    <w:rsid w:val="004F2075"/>
    <w:rsid w:val="004F3265"/>
    <w:rsid w:val="004F39A3"/>
    <w:rsid w:val="004F56B7"/>
    <w:rsid w:val="004F7C96"/>
    <w:rsid w:val="005022F7"/>
    <w:rsid w:val="00502C9B"/>
    <w:rsid w:val="0050367A"/>
    <w:rsid w:val="0050439A"/>
    <w:rsid w:val="00507DEA"/>
    <w:rsid w:val="00510C5B"/>
    <w:rsid w:val="00510E74"/>
    <w:rsid w:val="005111D7"/>
    <w:rsid w:val="0051368F"/>
    <w:rsid w:val="00514C80"/>
    <w:rsid w:val="00515D0D"/>
    <w:rsid w:val="00516CF8"/>
    <w:rsid w:val="00517BDA"/>
    <w:rsid w:val="005242E3"/>
    <w:rsid w:val="00524A81"/>
    <w:rsid w:val="00525905"/>
    <w:rsid w:val="00532C88"/>
    <w:rsid w:val="00532D71"/>
    <w:rsid w:val="00532F57"/>
    <w:rsid w:val="005338E3"/>
    <w:rsid w:val="00536F80"/>
    <w:rsid w:val="005405AD"/>
    <w:rsid w:val="00540BD6"/>
    <w:rsid w:val="00540FA7"/>
    <w:rsid w:val="005421B3"/>
    <w:rsid w:val="0054227D"/>
    <w:rsid w:val="005425A9"/>
    <w:rsid w:val="00542FE1"/>
    <w:rsid w:val="0054701F"/>
    <w:rsid w:val="00550A6B"/>
    <w:rsid w:val="005513D4"/>
    <w:rsid w:val="005517EA"/>
    <w:rsid w:val="00557504"/>
    <w:rsid w:val="0056022C"/>
    <w:rsid w:val="00560C37"/>
    <w:rsid w:val="00561BCD"/>
    <w:rsid w:val="005625B8"/>
    <w:rsid w:val="005632AF"/>
    <w:rsid w:val="0056701E"/>
    <w:rsid w:val="00571229"/>
    <w:rsid w:val="00571381"/>
    <w:rsid w:val="00571507"/>
    <w:rsid w:val="005718EA"/>
    <w:rsid w:val="005725C2"/>
    <w:rsid w:val="005737EB"/>
    <w:rsid w:val="00574ABB"/>
    <w:rsid w:val="005753E3"/>
    <w:rsid w:val="00577BF0"/>
    <w:rsid w:val="00581C0B"/>
    <w:rsid w:val="00581CB5"/>
    <w:rsid w:val="00581F4C"/>
    <w:rsid w:val="00582135"/>
    <w:rsid w:val="00582247"/>
    <w:rsid w:val="0058306B"/>
    <w:rsid w:val="005831BF"/>
    <w:rsid w:val="00583EAD"/>
    <w:rsid w:val="00584B46"/>
    <w:rsid w:val="005864B1"/>
    <w:rsid w:val="00586887"/>
    <w:rsid w:val="0059095D"/>
    <w:rsid w:val="00591671"/>
    <w:rsid w:val="0059192A"/>
    <w:rsid w:val="0059199F"/>
    <w:rsid w:val="00591CFD"/>
    <w:rsid w:val="00592B2F"/>
    <w:rsid w:val="0059343F"/>
    <w:rsid w:val="00594765"/>
    <w:rsid w:val="00595B2F"/>
    <w:rsid w:val="005963A1"/>
    <w:rsid w:val="00596853"/>
    <w:rsid w:val="005978F7"/>
    <w:rsid w:val="005A0F2A"/>
    <w:rsid w:val="005A3EFB"/>
    <w:rsid w:val="005A44A1"/>
    <w:rsid w:val="005A526D"/>
    <w:rsid w:val="005A7A67"/>
    <w:rsid w:val="005B114C"/>
    <w:rsid w:val="005B1202"/>
    <w:rsid w:val="005B1D19"/>
    <w:rsid w:val="005B31F5"/>
    <w:rsid w:val="005B36D2"/>
    <w:rsid w:val="005B578B"/>
    <w:rsid w:val="005B62EF"/>
    <w:rsid w:val="005B6759"/>
    <w:rsid w:val="005B70A8"/>
    <w:rsid w:val="005C0234"/>
    <w:rsid w:val="005C0DEA"/>
    <w:rsid w:val="005C1161"/>
    <w:rsid w:val="005C170C"/>
    <w:rsid w:val="005C3ACA"/>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5780"/>
    <w:rsid w:val="005E7CEF"/>
    <w:rsid w:val="005E7E6B"/>
    <w:rsid w:val="005F02D7"/>
    <w:rsid w:val="005F0774"/>
    <w:rsid w:val="005F1DF6"/>
    <w:rsid w:val="005F24BA"/>
    <w:rsid w:val="005F26EF"/>
    <w:rsid w:val="005F35E2"/>
    <w:rsid w:val="005F4354"/>
    <w:rsid w:val="005F51BD"/>
    <w:rsid w:val="005F671F"/>
    <w:rsid w:val="005F67B0"/>
    <w:rsid w:val="005F6B63"/>
    <w:rsid w:val="005F7451"/>
    <w:rsid w:val="005F7F32"/>
    <w:rsid w:val="00601B0E"/>
    <w:rsid w:val="00604430"/>
    <w:rsid w:val="00605DCE"/>
    <w:rsid w:val="00606506"/>
    <w:rsid w:val="00606DC2"/>
    <w:rsid w:val="00607F79"/>
    <w:rsid w:val="006103D4"/>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7EE"/>
    <w:rsid w:val="00626DBC"/>
    <w:rsid w:val="00627927"/>
    <w:rsid w:val="00630795"/>
    <w:rsid w:val="00630A4B"/>
    <w:rsid w:val="00630F38"/>
    <w:rsid w:val="00631505"/>
    <w:rsid w:val="00631AE5"/>
    <w:rsid w:val="006327B3"/>
    <w:rsid w:val="00633730"/>
    <w:rsid w:val="0063421C"/>
    <w:rsid w:val="00635090"/>
    <w:rsid w:val="00635444"/>
    <w:rsid w:val="00636B66"/>
    <w:rsid w:val="0063768F"/>
    <w:rsid w:val="00641268"/>
    <w:rsid w:val="00642A3D"/>
    <w:rsid w:val="006434F1"/>
    <w:rsid w:val="006438BB"/>
    <w:rsid w:val="006440AF"/>
    <w:rsid w:val="006448C3"/>
    <w:rsid w:val="00644988"/>
    <w:rsid w:val="00645459"/>
    <w:rsid w:val="00645C09"/>
    <w:rsid w:val="00647E31"/>
    <w:rsid w:val="006512CC"/>
    <w:rsid w:val="00651832"/>
    <w:rsid w:val="006534F5"/>
    <w:rsid w:val="00654410"/>
    <w:rsid w:val="00654C03"/>
    <w:rsid w:val="006550CE"/>
    <w:rsid w:val="006562FA"/>
    <w:rsid w:val="00662397"/>
    <w:rsid w:val="00662945"/>
    <w:rsid w:val="00663810"/>
    <w:rsid w:val="0066449E"/>
    <w:rsid w:val="0066531B"/>
    <w:rsid w:val="006665C5"/>
    <w:rsid w:val="00672700"/>
    <w:rsid w:val="00673DD8"/>
    <w:rsid w:val="00674CF8"/>
    <w:rsid w:val="00675C3C"/>
    <w:rsid w:val="0067686F"/>
    <w:rsid w:val="00680C49"/>
    <w:rsid w:val="0068132F"/>
    <w:rsid w:val="006815B3"/>
    <w:rsid w:val="00681FF3"/>
    <w:rsid w:val="00683139"/>
    <w:rsid w:val="00684418"/>
    <w:rsid w:val="00684A9B"/>
    <w:rsid w:val="00684C79"/>
    <w:rsid w:val="00685271"/>
    <w:rsid w:val="006858D4"/>
    <w:rsid w:val="00686219"/>
    <w:rsid w:val="006875BF"/>
    <w:rsid w:val="00690355"/>
    <w:rsid w:val="006904FE"/>
    <w:rsid w:val="0069365C"/>
    <w:rsid w:val="00694C9C"/>
    <w:rsid w:val="00696758"/>
    <w:rsid w:val="006971C6"/>
    <w:rsid w:val="006A0D9E"/>
    <w:rsid w:val="006A3C57"/>
    <w:rsid w:val="006A4B82"/>
    <w:rsid w:val="006A5E2A"/>
    <w:rsid w:val="006A5FCD"/>
    <w:rsid w:val="006A6A5D"/>
    <w:rsid w:val="006A6CDC"/>
    <w:rsid w:val="006A754C"/>
    <w:rsid w:val="006B2A4B"/>
    <w:rsid w:val="006B306D"/>
    <w:rsid w:val="006B3F0A"/>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C75E5"/>
    <w:rsid w:val="006D3E64"/>
    <w:rsid w:val="006D493C"/>
    <w:rsid w:val="006D5556"/>
    <w:rsid w:val="006D6283"/>
    <w:rsid w:val="006D7FA7"/>
    <w:rsid w:val="006E1541"/>
    <w:rsid w:val="006E381D"/>
    <w:rsid w:val="006E6538"/>
    <w:rsid w:val="006F25F7"/>
    <w:rsid w:val="006F2BF5"/>
    <w:rsid w:val="006F4650"/>
    <w:rsid w:val="006F589D"/>
    <w:rsid w:val="006F6F26"/>
    <w:rsid w:val="006F7D82"/>
    <w:rsid w:val="007011DC"/>
    <w:rsid w:val="00703ACD"/>
    <w:rsid w:val="0070692D"/>
    <w:rsid w:val="00707003"/>
    <w:rsid w:val="00707639"/>
    <w:rsid w:val="007136C2"/>
    <w:rsid w:val="007144E3"/>
    <w:rsid w:val="0071541C"/>
    <w:rsid w:val="007163CE"/>
    <w:rsid w:val="007243F0"/>
    <w:rsid w:val="00725167"/>
    <w:rsid w:val="00725705"/>
    <w:rsid w:val="00727DCD"/>
    <w:rsid w:val="0073109B"/>
    <w:rsid w:val="00731996"/>
    <w:rsid w:val="00731C60"/>
    <w:rsid w:val="00731D99"/>
    <w:rsid w:val="007324EE"/>
    <w:rsid w:val="00734046"/>
    <w:rsid w:val="0073476E"/>
    <w:rsid w:val="007358A7"/>
    <w:rsid w:val="00735FFE"/>
    <w:rsid w:val="00740261"/>
    <w:rsid w:val="00740F06"/>
    <w:rsid w:val="00741AB3"/>
    <w:rsid w:val="00743AC9"/>
    <w:rsid w:val="00743B9A"/>
    <w:rsid w:val="00744CAF"/>
    <w:rsid w:val="00744ED0"/>
    <w:rsid w:val="00745BB1"/>
    <w:rsid w:val="00746744"/>
    <w:rsid w:val="00746F95"/>
    <w:rsid w:val="00747D71"/>
    <w:rsid w:val="00747F6A"/>
    <w:rsid w:val="00750893"/>
    <w:rsid w:val="00751F22"/>
    <w:rsid w:val="00756E1D"/>
    <w:rsid w:val="00757931"/>
    <w:rsid w:val="00760342"/>
    <w:rsid w:val="00760426"/>
    <w:rsid w:val="00761C3F"/>
    <w:rsid w:val="00762957"/>
    <w:rsid w:val="0076466E"/>
    <w:rsid w:val="007653BB"/>
    <w:rsid w:val="00765462"/>
    <w:rsid w:val="00765739"/>
    <w:rsid w:val="0076682E"/>
    <w:rsid w:val="007668B6"/>
    <w:rsid w:val="007671F8"/>
    <w:rsid w:val="00767D05"/>
    <w:rsid w:val="007753E7"/>
    <w:rsid w:val="00776E99"/>
    <w:rsid w:val="00780DE8"/>
    <w:rsid w:val="00782661"/>
    <w:rsid w:val="0078303D"/>
    <w:rsid w:val="007832B9"/>
    <w:rsid w:val="00785284"/>
    <w:rsid w:val="00785BEC"/>
    <w:rsid w:val="00785C95"/>
    <w:rsid w:val="007861CC"/>
    <w:rsid w:val="00786B33"/>
    <w:rsid w:val="00787252"/>
    <w:rsid w:val="00787405"/>
    <w:rsid w:val="00787CED"/>
    <w:rsid w:val="00790205"/>
    <w:rsid w:val="0079040E"/>
    <w:rsid w:val="00790656"/>
    <w:rsid w:val="00792A45"/>
    <w:rsid w:val="00792C5E"/>
    <w:rsid w:val="00793E3C"/>
    <w:rsid w:val="00796570"/>
    <w:rsid w:val="00796751"/>
    <w:rsid w:val="00797677"/>
    <w:rsid w:val="00797BD2"/>
    <w:rsid w:val="00797ECB"/>
    <w:rsid w:val="007A1BE9"/>
    <w:rsid w:val="007A1E1A"/>
    <w:rsid w:val="007A36C3"/>
    <w:rsid w:val="007A3BB4"/>
    <w:rsid w:val="007A3DC6"/>
    <w:rsid w:val="007A576D"/>
    <w:rsid w:val="007B136E"/>
    <w:rsid w:val="007B14D6"/>
    <w:rsid w:val="007B247C"/>
    <w:rsid w:val="007B331E"/>
    <w:rsid w:val="007B53B1"/>
    <w:rsid w:val="007B679E"/>
    <w:rsid w:val="007B6B17"/>
    <w:rsid w:val="007B779C"/>
    <w:rsid w:val="007C337C"/>
    <w:rsid w:val="007C379F"/>
    <w:rsid w:val="007C4142"/>
    <w:rsid w:val="007C42D9"/>
    <w:rsid w:val="007C454A"/>
    <w:rsid w:val="007C6347"/>
    <w:rsid w:val="007C6571"/>
    <w:rsid w:val="007D28E4"/>
    <w:rsid w:val="007D5AE7"/>
    <w:rsid w:val="007D65A6"/>
    <w:rsid w:val="007D671C"/>
    <w:rsid w:val="007D7CA7"/>
    <w:rsid w:val="007E0293"/>
    <w:rsid w:val="007E25A1"/>
    <w:rsid w:val="007F1CA7"/>
    <w:rsid w:val="007F2A6F"/>
    <w:rsid w:val="007F2AA2"/>
    <w:rsid w:val="007F3A3C"/>
    <w:rsid w:val="007F5327"/>
    <w:rsid w:val="007F5822"/>
    <w:rsid w:val="007F60ED"/>
    <w:rsid w:val="00802062"/>
    <w:rsid w:val="0080439B"/>
    <w:rsid w:val="008048C9"/>
    <w:rsid w:val="00805CB4"/>
    <w:rsid w:val="00807755"/>
    <w:rsid w:val="00811BFA"/>
    <w:rsid w:val="00816F99"/>
    <w:rsid w:val="00816FAC"/>
    <w:rsid w:val="008175AE"/>
    <w:rsid w:val="00820DA2"/>
    <w:rsid w:val="0082139D"/>
    <w:rsid w:val="008217CA"/>
    <w:rsid w:val="00822B5C"/>
    <w:rsid w:val="008235EB"/>
    <w:rsid w:val="00826C3A"/>
    <w:rsid w:val="008276F3"/>
    <w:rsid w:val="00827AF7"/>
    <w:rsid w:val="00827FAE"/>
    <w:rsid w:val="00833446"/>
    <w:rsid w:val="008353AD"/>
    <w:rsid w:val="008356AB"/>
    <w:rsid w:val="00836221"/>
    <w:rsid w:val="00837CEA"/>
    <w:rsid w:val="0084069A"/>
    <w:rsid w:val="00841407"/>
    <w:rsid w:val="008439FD"/>
    <w:rsid w:val="00844365"/>
    <w:rsid w:val="00844828"/>
    <w:rsid w:val="0084493D"/>
    <w:rsid w:val="00845ABF"/>
    <w:rsid w:val="00845BB7"/>
    <w:rsid w:val="00846B0F"/>
    <w:rsid w:val="008470F8"/>
    <w:rsid w:val="008511A9"/>
    <w:rsid w:val="0085194A"/>
    <w:rsid w:val="008520BB"/>
    <w:rsid w:val="008529DA"/>
    <w:rsid w:val="00854C95"/>
    <w:rsid w:val="008553C3"/>
    <w:rsid w:val="0085692E"/>
    <w:rsid w:val="0085695A"/>
    <w:rsid w:val="0085751C"/>
    <w:rsid w:val="00862803"/>
    <w:rsid w:val="00863EF3"/>
    <w:rsid w:val="00864344"/>
    <w:rsid w:val="00866749"/>
    <w:rsid w:val="00866C59"/>
    <w:rsid w:val="008701EA"/>
    <w:rsid w:val="00872987"/>
    <w:rsid w:val="00872B7C"/>
    <w:rsid w:val="00872FD2"/>
    <w:rsid w:val="008735E6"/>
    <w:rsid w:val="008750AE"/>
    <w:rsid w:val="00875846"/>
    <w:rsid w:val="008766E5"/>
    <w:rsid w:val="00876BE8"/>
    <w:rsid w:val="00880704"/>
    <w:rsid w:val="008807C9"/>
    <w:rsid w:val="00880D9C"/>
    <w:rsid w:val="00882145"/>
    <w:rsid w:val="0088281D"/>
    <w:rsid w:val="00883598"/>
    <w:rsid w:val="00883F0F"/>
    <w:rsid w:val="0088400D"/>
    <w:rsid w:val="0088401C"/>
    <w:rsid w:val="00887FC8"/>
    <w:rsid w:val="00890219"/>
    <w:rsid w:val="00891FAC"/>
    <w:rsid w:val="008933C3"/>
    <w:rsid w:val="008933EB"/>
    <w:rsid w:val="00894A34"/>
    <w:rsid w:val="00896B15"/>
    <w:rsid w:val="00896E0E"/>
    <w:rsid w:val="008A1EBB"/>
    <w:rsid w:val="008A207F"/>
    <w:rsid w:val="008A4638"/>
    <w:rsid w:val="008A51A2"/>
    <w:rsid w:val="008A5774"/>
    <w:rsid w:val="008A5EAE"/>
    <w:rsid w:val="008A5F03"/>
    <w:rsid w:val="008A5F73"/>
    <w:rsid w:val="008A62BC"/>
    <w:rsid w:val="008A647B"/>
    <w:rsid w:val="008A782A"/>
    <w:rsid w:val="008B10C5"/>
    <w:rsid w:val="008B457B"/>
    <w:rsid w:val="008B4BF0"/>
    <w:rsid w:val="008C037F"/>
    <w:rsid w:val="008C0815"/>
    <w:rsid w:val="008C1455"/>
    <w:rsid w:val="008C1BC3"/>
    <w:rsid w:val="008C2F93"/>
    <w:rsid w:val="008C3DED"/>
    <w:rsid w:val="008C5860"/>
    <w:rsid w:val="008C59A1"/>
    <w:rsid w:val="008C5C53"/>
    <w:rsid w:val="008C605A"/>
    <w:rsid w:val="008C6190"/>
    <w:rsid w:val="008C6C0A"/>
    <w:rsid w:val="008C7693"/>
    <w:rsid w:val="008D0660"/>
    <w:rsid w:val="008D0CDE"/>
    <w:rsid w:val="008D374F"/>
    <w:rsid w:val="008D37EE"/>
    <w:rsid w:val="008D55D2"/>
    <w:rsid w:val="008E3028"/>
    <w:rsid w:val="008E4D40"/>
    <w:rsid w:val="008F2A0C"/>
    <w:rsid w:val="008F2C8A"/>
    <w:rsid w:val="008F5BAA"/>
    <w:rsid w:val="008F6DCD"/>
    <w:rsid w:val="008F74E6"/>
    <w:rsid w:val="0090191B"/>
    <w:rsid w:val="009025D1"/>
    <w:rsid w:val="009043D9"/>
    <w:rsid w:val="0090564C"/>
    <w:rsid w:val="0090590B"/>
    <w:rsid w:val="009074B5"/>
    <w:rsid w:val="009075F5"/>
    <w:rsid w:val="0091237F"/>
    <w:rsid w:val="00913CB4"/>
    <w:rsid w:val="00915987"/>
    <w:rsid w:val="009173CE"/>
    <w:rsid w:val="0091762B"/>
    <w:rsid w:val="00921439"/>
    <w:rsid w:val="00921CEF"/>
    <w:rsid w:val="00921D04"/>
    <w:rsid w:val="009231EC"/>
    <w:rsid w:val="00923635"/>
    <w:rsid w:val="009245E3"/>
    <w:rsid w:val="009250CC"/>
    <w:rsid w:val="0092514E"/>
    <w:rsid w:val="0092520B"/>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503B1"/>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7BCA"/>
    <w:rsid w:val="00970EA1"/>
    <w:rsid w:val="00971128"/>
    <w:rsid w:val="00974A19"/>
    <w:rsid w:val="00975685"/>
    <w:rsid w:val="00976110"/>
    <w:rsid w:val="00976F8A"/>
    <w:rsid w:val="009776DF"/>
    <w:rsid w:val="009805AB"/>
    <w:rsid w:val="009835B1"/>
    <w:rsid w:val="009835D6"/>
    <w:rsid w:val="0098397F"/>
    <w:rsid w:val="009846F3"/>
    <w:rsid w:val="00985846"/>
    <w:rsid w:val="00985862"/>
    <w:rsid w:val="009860B3"/>
    <w:rsid w:val="0098616B"/>
    <w:rsid w:val="0099296E"/>
    <w:rsid w:val="00992DAD"/>
    <w:rsid w:val="00994692"/>
    <w:rsid w:val="00995292"/>
    <w:rsid w:val="009975C1"/>
    <w:rsid w:val="00997893"/>
    <w:rsid w:val="009A08A2"/>
    <w:rsid w:val="009A1155"/>
    <w:rsid w:val="009A1670"/>
    <w:rsid w:val="009A17BF"/>
    <w:rsid w:val="009A1A44"/>
    <w:rsid w:val="009A269A"/>
    <w:rsid w:val="009A38D2"/>
    <w:rsid w:val="009A3B5E"/>
    <w:rsid w:val="009A40C7"/>
    <w:rsid w:val="009A4DF7"/>
    <w:rsid w:val="009B43CC"/>
    <w:rsid w:val="009B704A"/>
    <w:rsid w:val="009C0B8F"/>
    <w:rsid w:val="009C0F3B"/>
    <w:rsid w:val="009C17E7"/>
    <w:rsid w:val="009C1BA6"/>
    <w:rsid w:val="009C1F80"/>
    <w:rsid w:val="009C3304"/>
    <w:rsid w:val="009C407C"/>
    <w:rsid w:val="009C4376"/>
    <w:rsid w:val="009C5A05"/>
    <w:rsid w:val="009C5D51"/>
    <w:rsid w:val="009C69B1"/>
    <w:rsid w:val="009C6FCA"/>
    <w:rsid w:val="009C70AE"/>
    <w:rsid w:val="009C7CE6"/>
    <w:rsid w:val="009D2E35"/>
    <w:rsid w:val="009D3676"/>
    <w:rsid w:val="009D3A0B"/>
    <w:rsid w:val="009D510E"/>
    <w:rsid w:val="009D5BB8"/>
    <w:rsid w:val="009D6FB6"/>
    <w:rsid w:val="009E0D86"/>
    <w:rsid w:val="009E3AB8"/>
    <w:rsid w:val="009E6091"/>
    <w:rsid w:val="009E67A7"/>
    <w:rsid w:val="009E7D0B"/>
    <w:rsid w:val="009F04AC"/>
    <w:rsid w:val="009F38A6"/>
    <w:rsid w:val="009F5065"/>
    <w:rsid w:val="009F5254"/>
    <w:rsid w:val="009F6964"/>
    <w:rsid w:val="009F75E4"/>
    <w:rsid w:val="009F792A"/>
    <w:rsid w:val="009F7D12"/>
    <w:rsid w:val="00A00F59"/>
    <w:rsid w:val="00A01381"/>
    <w:rsid w:val="00A032F4"/>
    <w:rsid w:val="00A0637E"/>
    <w:rsid w:val="00A065ED"/>
    <w:rsid w:val="00A06C15"/>
    <w:rsid w:val="00A07F55"/>
    <w:rsid w:val="00A1063D"/>
    <w:rsid w:val="00A10B52"/>
    <w:rsid w:val="00A10F22"/>
    <w:rsid w:val="00A12980"/>
    <w:rsid w:val="00A12AAD"/>
    <w:rsid w:val="00A14E97"/>
    <w:rsid w:val="00A2467A"/>
    <w:rsid w:val="00A24E14"/>
    <w:rsid w:val="00A25E5A"/>
    <w:rsid w:val="00A27335"/>
    <w:rsid w:val="00A275B2"/>
    <w:rsid w:val="00A30939"/>
    <w:rsid w:val="00A30DC9"/>
    <w:rsid w:val="00A310A8"/>
    <w:rsid w:val="00A31B81"/>
    <w:rsid w:val="00A31E20"/>
    <w:rsid w:val="00A321D7"/>
    <w:rsid w:val="00A32D89"/>
    <w:rsid w:val="00A34A31"/>
    <w:rsid w:val="00A36FAB"/>
    <w:rsid w:val="00A41F5B"/>
    <w:rsid w:val="00A43237"/>
    <w:rsid w:val="00A4528C"/>
    <w:rsid w:val="00A45ACC"/>
    <w:rsid w:val="00A46041"/>
    <w:rsid w:val="00A501A3"/>
    <w:rsid w:val="00A50649"/>
    <w:rsid w:val="00A50768"/>
    <w:rsid w:val="00A51E84"/>
    <w:rsid w:val="00A52062"/>
    <w:rsid w:val="00A52B9D"/>
    <w:rsid w:val="00A53C3C"/>
    <w:rsid w:val="00A54A7E"/>
    <w:rsid w:val="00A553E3"/>
    <w:rsid w:val="00A55A94"/>
    <w:rsid w:val="00A6049F"/>
    <w:rsid w:val="00A606E7"/>
    <w:rsid w:val="00A62388"/>
    <w:rsid w:val="00A63852"/>
    <w:rsid w:val="00A63A1A"/>
    <w:rsid w:val="00A63BD3"/>
    <w:rsid w:val="00A63FE4"/>
    <w:rsid w:val="00A65769"/>
    <w:rsid w:val="00A65A2C"/>
    <w:rsid w:val="00A65E15"/>
    <w:rsid w:val="00A66905"/>
    <w:rsid w:val="00A66D92"/>
    <w:rsid w:val="00A67413"/>
    <w:rsid w:val="00A70E3B"/>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660B"/>
    <w:rsid w:val="00A96EC8"/>
    <w:rsid w:val="00A9788F"/>
    <w:rsid w:val="00AA205A"/>
    <w:rsid w:val="00AA2899"/>
    <w:rsid w:val="00AA2EDF"/>
    <w:rsid w:val="00AA584B"/>
    <w:rsid w:val="00AA61C9"/>
    <w:rsid w:val="00AA791B"/>
    <w:rsid w:val="00AB119D"/>
    <w:rsid w:val="00AB1873"/>
    <w:rsid w:val="00AB42B4"/>
    <w:rsid w:val="00AB4A3F"/>
    <w:rsid w:val="00AB52D9"/>
    <w:rsid w:val="00AB7541"/>
    <w:rsid w:val="00AC1A3A"/>
    <w:rsid w:val="00AC24D3"/>
    <w:rsid w:val="00AC2F31"/>
    <w:rsid w:val="00AC3972"/>
    <w:rsid w:val="00AC4CF2"/>
    <w:rsid w:val="00AC547F"/>
    <w:rsid w:val="00AC74A7"/>
    <w:rsid w:val="00AD0D6A"/>
    <w:rsid w:val="00AD12BE"/>
    <w:rsid w:val="00AD435B"/>
    <w:rsid w:val="00AD4991"/>
    <w:rsid w:val="00AD4A22"/>
    <w:rsid w:val="00AE000F"/>
    <w:rsid w:val="00AE13EB"/>
    <w:rsid w:val="00AE2D53"/>
    <w:rsid w:val="00AE5123"/>
    <w:rsid w:val="00AE52FE"/>
    <w:rsid w:val="00AE549C"/>
    <w:rsid w:val="00AE5AB2"/>
    <w:rsid w:val="00AE6EF0"/>
    <w:rsid w:val="00AE73B7"/>
    <w:rsid w:val="00AF0BD6"/>
    <w:rsid w:val="00AF19A2"/>
    <w:rsid w:val="00AF47C2"/>
    <w:rsid w:val="00AF5477"/>
    <w:rsid w:val="00AF5A65"/>
    <w:rsid w:val="00AF616F"/>
    <w:rsid w:val="00AF6452"/>
    <w:rsid w:val="00AF7A7F"/>
    <w:rsid w:val="00B01F01"/>
    <w:rsid w:val="00B03FF8"/>
    <w:rsid w:val="00B049DB"/>
    <w:rsid w:val="00B0637B"/>
    <w:rsid w:val="00B065D6"/>
    <w:rsid w:val="00B06A40"/>
    <w:rsid w:val="00B06BC0"/>
    <w:rsid w:val="00B07505"/>
    <w:rsid w:val="00B07906"/>
    <w:rsid w:val="00B07B3F"/>
    <w:rsid w:val="00B11712"/>
    <w:rsid w:val="00B129D9"/>
    <w:rsid w:val="00B13139"/>
    <w:rsid w:val="00B1441E"/>
    <w:rsid w:val="00B14F33"/>
    <w:rsid w:val="00B16CF5"/>
    <w:rsid w:val="00B208CF"/>
    <w:rsid w:val="00B20EE0"/>
    <w:rsid w:val="00B2407F"/>
    <w:rsid w:val="00B25A3B"/>
    <w:rsid w:val="00B2602F"/>
    <w:rsid w:val="00B262E8"/>
    <w:rsid w:val="00B26D4D"/>
    <w:rsid w:val="00B27156"/>
    <w:rsid w:val="00B271A5"/>
    <w:rsid w:val="00B27EF4"/>
    <w:rsid w:val="00B31E5C"/>
    <w:rsid w:val="00B332AC"/>
    <w:rsid w:val="00B33352"/>
    <w:rsid w:val="00B355A7"/>
    <w:rsid w:val="00B36270"/>
    <w:rsid w:val="00B41A41"/>
    <w:rsid w:val="00B441BF"/>
    <w:rsid w:val="00B44D3B"/>
    <w:rsid w:val="00B45E39"/>
    <w:rsid w:val="00B45F4C"/>
    <w:rsid w:val="00B462C5"/>
    <w:rsid w:val="00B4655F"/>
    <w:rsid w:val="00B468E6"/>
    <w:rsid w:val="00B47651"/>
    <w:rsid w:val="00B47B8A"/>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5982"/>
    <w:rsid w:val="00B774F3"/>
    <w:rsid w:val="00B779DB"/>
    <w:rsid w:val="00B831FE"/>
    <w:rsid w:val="00B83C7F"/>
    <w:rsid w:val="00B86670"/>
    <w:rsid w:val="00B900B5"/>
    <w:rsid w:val="00B9033E"/>
    <w:rsid w:val="00B90D86"/>
    <w:rsid w:val="00B927B4"/>
    <w:rsid w:val="00B92C90"/>
    <w:rsid w:val="00B94ED8"/>
    <w:rsid w:val="00B9726F"/>
    <w:rsid w:val="00BA0190"/>
    <w:rsid w:val="00BA1BFD"/>
    <w:rsid w:val="00BA233E"/>
    <w:rsid w:val="00BA4CCD"/>
    <w:rsid w:val="00BA4F48"/>
    <w:rsid w:val="00BA642A"/>
    <w:rsid w:val="00BB05C3"/>
    <w:rsid w:val="00BB1899"/>
    <w:rsid w:val="00BB31F0"/>
    <w:rsid w:val="00BB3C00"/>
    <w:rsid w:val="00BB3D12"/>
    <w:rsid w:val="00BB5D41"/>
    <w:rsid w:val="00BB6CEE"/>
    <w:rsid w:val="00BC0731"/>
    <w:rsid w:val="00BC1371"/>
    <w:rsid w:val="00BC1B09"/>
    <w:rsid w:val="00BC2672"/>
    <w:rsid w:val="00BC2B83"/>
    <w:rsid w:val="00BC3DB2"/>
    <w:rsid w:val="00BC5A17"/>
    <w:rsid w:val="00BC5CF7"/>
    <w:rsid w:val="00BC6AC3"/>
    <w:rsid w:val="00BC77EA"/>
    <w:rsid w:val="00BC77EE"/>
    <w:rsid w:val="00BD170E"/>
    <w:rsid w:val="00BD187C"/>
    <w:rsid w:val="00BD3C7B"/>
    <w:rsid w:val="00BD3C83"/>
    <w:rsid w:val="00BD4467"/>
    <w:rsid w:val="00BD453B"/>
    <w:rsid w:val="00BD4708"/>
    <w:rsid w:val="00BD4AA2"/>
    <w:rsid w:val="00BD5904"/>
    <w:rsid w:val="00BD69F3"/>
    <w:rsid w:val="00BD71DF"/>
    <w:rsid w:val="00BD7664"/>
    <w:rsid w:val="00BE0FE0"/>
    <w:rsid w:val="00BE1F6D"/>
    <w:rsid w:val="00BE409A"/>
    <w:rsid w:val="00BE4399"/>
    <w:rsid w:val="00BE44C6"/>
    <w:rsid w:val="00BE51BB"/>
    <w:rsid w:val="00BE7974"/>
    <w:rsid w:val="00BF2FD1"/>
    <w:rsid w:val="00C00EFA"/>
    <w:rsid w:val="00C010DA"/>
    <w:rsid w:val="00C02832"/>
    <w:rsid w:val="00C02EE1"/>
    <w:rsid w:val="00C03821"/>
    <w:rsid w:val="00C03DAD"/>
    <w:rsid w:val="00C04554"/>
    <w:rsid w:val="00C0461E"/>
    <w:rsid w:val="00C073E6"/>
    <w:rsid w:val="00C11D56"/>
    <w:rsid w:val="00C12E27"/>
    <w:rsid w:val="00C14345"/>
    <w:rsid w:val="00C14482"/>
    <w:rsid w:val="00C14FE4"/>
    <w:rsid w:val="00C15408"/>
    <w:rsid w:val="00C16AC9"/>
    <w:rsid w:val="00C17538"/>
    <w:rsid w:val="00C17636"/>
    <w:rsid w:val="00C20AA8"/>
    <w:rsid w:val="00C22F60"/>
    <w:rsid w:val="00C2459D"/>
    <w:rsid w:val="00C24B5D"/>
    <w:rsid w:val="00C254BE"/>
    <w:rsid w:val="00C25D8B"/>
    <w:rsid w:val="00C25FC1"/>
    <w:rsid w:val="00C262AF"/>
    <w:rsid w:val="00C271D6"/>
    <w:rsid w:val="00C277F3"/>
    <w:rsid w:val="00C3088D"/>
    <w:rsid w:val="00C319A8"/>
    <w:rsid w:val="00C319F9"/>
    <w:rsid w:val="00C3530A"/>
    <w:rsid w:val="00C353B7"/>
    <w:rsid w:val="00C3585B"/>
    <w:rsid w:val="00C35C89"/>
    <w:rsid w:val="00C36570"/>
    <w:rsid w:val="00C36EEA"/>
    <w:rsid w:val="00C3732D"/>
    <w:rsid w:val="00C422F8"/>
    <w:rsid w:val="00C43C8F"/>
    <w:rsid w:val="00C449E5"/>
    <w:rsid w:val="00C451FF"/>
    <w:rsid w:val="00C45889"/>
    <w:rsid w:val="00C476BC"/>
    <w:rsid w:val="00C47BC6"/>
    <w:rsid w:val="00C50F05"/>
    <w:rsid w:val="00C51114"/>
    <w:rsid w:val="00C519C2"/>
    <w:rsid w:val="00C51F93"/>
    <w:rsid w:val="00C52421"/>
    <w:rsid w:val="00C52AD3"/>
    <w:rsid w:val="00C53F93"/>
    <w:rsid w:val="00C54034"/>
    <w:rsid w:val="00C56213"/>
    <w:rsid w:val="00C564C8"/>
    <w:rsid w:val="00C56894"/>
    <w:rsid w:val="00C62C8A"/>
    <w:rsid w:val="00C6506F"/>
    <w:rsid w:val="00C6582D"/>
    <w:rsid w:val="00C667DD"/>
    <w:rsid w:val="00C72D86"/>
    <w:rsid w:val="00C73560"/>
    <w:rsid w:val="00C73CDE"/>
    <w:rsid w:val="00C74150"/>
    <w:rsid w:val="00C749DA"/>
    <w:rsid w:val="00C77983"/>
    <w:rsid w:val="00C77AE1"/>
    <w:rsid w:val="00C80926"/>
    <w:rsid w:val="00C8116D"/>
    <w:rsid w:val="00C818D7"/>
    <w:rsid w:val="00C83F5A"/>
    <w:rsid w:val="00C847AA"/>
    <w:rsid w:val="00C870DA"/>
    <w:rsid w:val="00C87C30"/>
    <w:rsid w:val="00C90D80"/>
    <w:rsid w:val="00C9217F"/>
    <w:rsid w:val="00C92559"/>
    <w:rsid w:val="00C931EC"/>
    <w:rsid w:val="00C937E6"/>
    <w:rsid w:val="00C940D9"/>
    <w:rsid w:val="00C96DCD"/>
    <w:rsid w:val="00CA0B88"/>
    <w:rsid w:val="00CA1826"/>
    <w:rsid w:val="00CA1D08"/>
    <w:rsid w:val="00CA25DB"/>
    <w:rsid w:val="00CA283F"/>
    <w:rsid w:val="00CA2B2E"/>
    <w:rsid w:val="00CA31E3"/>
    <w:rsid w:val="00CA46B8"/>
    <w:rsid w:val="00CA5C25"/>
    <w:rsid w:val="00CA6875"/>
    <w:rsid w:val="00CA6F29"/>
    <w:rsid w:val="00CA70D7"/>
    <w:rsid w:val="00CA7778"/>
    <w:rsid w:val="00CA7F62"/>
    <w:rsid w:val="00CA7FA6"/>
    <w:rsid w:val="00CB0314"/>
    <w:rsid w:val="00CB09A7"/>
    <w:rsid w:val="00CB1379"/>
    <w:rsid w:val="00CB2CAE"/>
    <w:rsid w:val="00CB3A64"/>
    <w:rsid w:val="00CB5631"/>
    <w:rsid w:val="00CB5719"/>
    <w:rsid w:val="00CB5A16"/>
    <w:rsid w:val="00CB5E63"/>
    <w:rsid w:val="00CB6542"/>
    <w:rsid w:val="00CB6FB6"/>
    <w:rsid w:val="00CB73CD"/>
    <w:rsid w:val="00CC0A3F"/>
    <w:rsid w:val="00CC1180"/>
    <w:rsid w:val="00CC160E"/>
    <w:rsid w:val="00CC28A7"/>
    <w:rsid w:val="00CC2B10"/>
    <w:rsid w:val="00CC4B07"/>
    <w:rsid w:val="00CD02EB"/>
    <w:rsid w:val="00CD085E"/>
    <w:rsid w:val="00CD3030"/>
    <w:rsid w:val="00CD3BF9"/>
    <w:rsid w:val="00CD4839"/>
    <w:rsid w:val="00CD4BC8"/>
    <w:rsid w:val="00CD5C4D"/>
    <w:rsid w:val="00CD5CEA"/>
    <w:rsid w:val="00CD7B08"/>
    <w:rsid w:val="00CE0424"/>
    <w:rsid w:val="00CE7CEC"/>
    <w:rsid w:val="00CF0DE5"/>
    <w:rsid w:val="00CF1DAF"/>
    <w:rsid w:val="00CF2EA4"/>
    <w:rsid w:val="00CF5C81"/>
    <w:rsid w:val="00CF6DAA"/>
    <w:rsid w:val="00CF7B2E"/>
    <w:rsid w:val="00D00F46"/>
    <w:rsid w:val="00D02685"/>
    <w:rsid w:val="00D0299B"/>
    <w:rsid w:val="00D0517D"/>
    <w:rsid w:val="00D0611E"/>
    <w:rsid w:val="00D065C8"/>
    <w:rsid w:val="00D067C9"/>
    <w:rsid w:val="00D10E77"/>
    <w:rsid w:val="00D13401"/>
    <w:rsid w:val="00D158C9"/>
    <w:rsid w:val="00D160C9"/>
    <w:rsid w:val="00D1718C"/>
    <w:rsid w:val="00D2039E"/>
    <w:rsid w:val="00D20477"/>
    <w:rsid w:val="00D2150E"/>
    <w:rsid w:val="00D2183A"/>
    <w:rsid w:val="00D21C2F"/>
    <w:rsid w:val="00D2209E"/>
    <w:rsid w:val="00D22DA8"/>
    <w:rsid w:val="00D234B0"/>
    <w:rsid w:val="00D2488D"/>
    <w:rsid w:val="00D24B98"/>
    <w:rsid w:val="00D2631A"/>
    <w:rsid w:val="00D3110E"/>
    <w:rsid w:val="00D320C8"/>
    <w:rsid w:val="00D32E8F"/>
    <w:rsid w:val="00D3344C"/>
    <w:rsid w:val="00D35304"/>
    <w:rsid w:val="00D36368"/>
    <w:rsid w:val="00D40376"/>
    <w:rsid w:val="00D4201E"/>
    <w:rsid w:val="00D42718"/>
    <w:rsid w:val="00D43142"/>
    <w:rsid w:val="00D43A16"/>
    <w:rsid w:val="00D43CA5"/>
    <w:rsid w:val="00D452A5"/>
    <w:rsid w:val="00D45CE7"/>
    <w:rsid w:val="00D50541"/>
    <w:rsid w:val="00D514DB"/>
    <w:rsid w:val="00D5709E"/>
    <w:rsid w:val="00D600BE"/>
    <w:rsid w:val="00D647E7"/>
    <w:rsid w:val="00D65666"/>
    <w:rsid w:val="00D6570D"/>
    <w:rsid w:val="00D6618A"/>
    <w:rsid w:val="00D66306"/>
    <w:rsid w:val="00D67391"/>
    <w:rsid w:val="00D71B6E"/>
    <w:rsid w:val="00D723CB"/>
    <w:rsid w:val="00D73018"/>
    <w:rsid w:val="00D73BC7"/>
    <w:rsid w:val="00D75A50"/>
    <w:rsid w:val="00D7635A"/>
    <w:rsid w:val="00D769DF"/>
    <w:rsid w:val="00D77391"/>
    <w:rsid w:val="00D803FA"/>
    <w:rsid w:val="00D8139A"/>
    <w:rsid w:val="00D81A4E"/>
    <w:rsid w:val="00D821C1"/>
    <w:rsid w:val="00D823F9"/>
    <w:rsid w:val="00D82CC0"/>
    <w:rsid w:val="00D850AF"/>
    <w:rsid w:val="00D85DE4"/>
    <w:rsid w:val="00D86FF6"/>
    <w:rsid w:val="00D91886"/>
    <w:rsid w:val="00D92FE3"/>
    <w:rsid w:val="00D93B61"/>
    <w:rsid w:val="00D952C5"/>
    <w:rsid w:val="00D96789"/>
    <w:rsid w:val="00D97173"/>
    <w:rsid w:val="00D97232"/>
    <w:rsid w:val="00DA1DB9"/>
    <w:rsid w:val="00DA4154"/>
    <w:rsid w:val="00DA4394"/>
    <w:rsid w:val="00DA45D5"/>
    <w:rsid w:val="00DA477B"/>
    <w:rsid w:val="00DA5969"/>
    <w:rsid w:val="00DA76B7"/>
    <w:rsid w:val="00DB132D"/>
    <w:rsid w:val="00DB3101"/>
    <w:rsid w:val="00DB47E9"/>
    <w:rsid w:val="00DB7024"/>
    <w:rsid w:val="00DC0845"/>
    <w:rsid w:val="00DC233D"/>
    <w:rsid w:val="00DC4200"/>
    <w:rsid w:val="00DC6202"/>
    <w:rsid w:val="00DC6A07"/>
    <w:rsid w:val="00DD24B1"/>
    <w:rsid w:val="00DD375E"/>
    <w:rsid w:val="00DD3D05"/>
    <w:rsid w:val="00DD4F22"/>
    <w:rsid w:val="00DD51BB"/>
    <w:rsid w:val="00DD5607"/>
    <w:rsid w:val="00DD5763"/>
    <w:rsid w:val="00DD5A80"/>
    <w:rsid w:val="00DD6F4A"/>
    <w:rsid w:val="00DE0385"/>
    <w:rsid w:val="00DE1C49"/>
    <w:rsid w:val="00DE550D"/>
    <w:rsid w:val="00DE57E6"/>
    <w:rsid w:val="00DE7041"/>
    <w:rsid w:val="00DE7B48"/>
    <w:rsid w:val="00DF02AF"/>
    <w:rsid w:val="00DF0E66"/>
    <w:rsid w:val="00DF305F"/>
    <w:rsid w:val="00DF31B1"/>
    <w:rsid w:val="00DF4F8A"/>
    <w:rsid w:val="00DF5206"/>
    <w:rsid w:val="00DF536E"/>
    <w:rsid w:val="00DF5443"/>
    <w:rsid w:val="00DF7C51"/>
    <w:rsid w:val="00E03457"/>
    <w:rsid w:val="00E0625B"/>
    <w:rsid w:val="00E069A2"/>
    <w:rsid w:val="00E12716"/>
    <w:rsid w:val="00E13FD9"/>
    <w:rsid w:val="00E15765"/>
    <w:rsid w:val="00E15849"/>
    <w:rsid w:val="00E173CC"/>
    <w:rsid w:val="00E20518"/>
    <w:rsid w:val="00E21837"/>
    <w:rsid w:val="00E242FC"/>
    <w:rsid w:val="00E24EFB"/>
    <w:rsid w:val="00E25F87"/>
    <w:rsid w:val="00E2681E"/>
    <w:rsid w:val="00E31604"/>
    <w:rsid w:val="00E32662"/>
    <w:rsid w:val="00E34C8D"/>
    <w:rsid w:val="00E3785E"/>
    <w:rsid w:val="00E43E64"/>
    <w:rsid w:val="00E44BDA"/>
    <w:rsid w:val="00E452CA"/>
    <w:rsid w:val="00E4548F"/>
    <w:rsid w:val="00E4712A"/>
    <w:rsid w:val="00E50EC0"/>
    <w:rsid w:val="00E52329"/>
    <w:rsid w:val="00E524EA"/>
    <w:rsid w:val="00E52BE8"/>
    <w:rsid w:val="00E540B0"/>
    <w:rsid w:val="00E5549B"/>
    <w:rsid w:val="00E5721E"/>
    <w:rsid w:val="00E60568"/>
    <w:rsid w:val="00E61E45"/>
    <w:rsid w:val="00E62678"/>
    <w:rsid w:val="00E62757"/>
    <w:rsid w:val="00E63216"/>
    <w:rsid w:val="00E63D47"/>
    <w:rsid w:val="00E64E18"/>
    <w:rsid w:val="00E65EAB"/>
    <w:rsid w:val="00E708DE"/>
    <w:rsid w:val="00E71CF4"/>
    <w:rsid w:val="00E72DD6"/>
    <w:rsid w:val="00E757F0"/>
    <w:rsid w:val="00E76467"/>
    <w:rsid w:val="00E7707B"/>
    <w:rsid w:val="00E77D52"/>
    <w:rsid w:val="00E829CA"/>
    <w:rsid w:val="00E82C94"/>
    <w:rsid w:val="00E85B69"/>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275D"/>
    <w:rsid w:val="00EB293D"/>
    <w:rsid w:val="00EB3DE0"/>
    <w:rsid w:val="00EB4CDB"/>
    <w:rsid w:val="00EB6FF1"/>
    <w:rsid w:val="00EB7372"/>
    <w:rsid w:val="00EB7D96"/>
    <w:rsid w:val="00EC209B"/>
    <w:rsid w:val="00EC2F81"/>
    <w:rsid w:val="00EC5E6A"/>
    <w:rsid w:val="00EC6915"/>
    <w:rsid w:val="00EC76A9"/>
    <w:rsid w:val="00EC7758"/>
    <w:rsid w:val="00ED0B82"/>
    <w:rsid w:val="00ED3152"/>
    <w:rsid w:val="00ED3E7E"/>
    <w:rsid w:val="00ED6F24"/>
    <w:rsid w:val="00EE025D"/>
    <w:rsid w:val="00EE02BB"/>
    <w:rsid w:val="00EE0782"/>
    <w:rsid w:val="00EE276D"/>
    <w:rsid w:val="00EE32E7"/>
    <w:rsid w:val="00EE6384"/>
    <w:rsid w:val="00EE67B4"/>
    <w:rsid w:val="00EE68A7"/>
    <w:rsid w:val="00EF1E7E"/>
    <w:rsid w:val="00EF1F5F"/>
    <w:rsid w:val="00EF414D"/>
    <w:rsid w:val="00EF5250"/>
    <w:rsid w:val="00EF7A48"/>
    <w:rsid w:val="00F00724"/>
    <w:rsid w:val="00F04059"/>
    <w:rsid w:val="00F061F9"/>
    <w:rsid w:val="00F06C00"/>
    <w:rsid w:val="00F10914"/>
    <w:rsid w:val="00F10F26"/>
    <w:rsid w:val="00F11530"/>
    <w:rsid w:val="00F122DA"/>
    <w:rsid w:val="00F12511"/>
    <w:rsid w:val="00F135DF"/>
    <w:rsid w:val="00F14473"/>
    <w:rsid w:val="00F1554D"/>
    <w:rsid w:val="00F157F1"/>
    <w:rsid w:val="00F20ADC"/>
    <w:rsid w:val="00F231F5"/>
    <w:rsid w:val="00F24B9A"/>
    <w:rsid w:val="00F25A34"/>
    <w:rsid w:val="00F25FB0"/>
    <w:rsid w:val="00F26AF1"/>
    <w:rsid w:val="00F312C1"/>
    <w:rsid w:val="00F34566"/>
    <w:rsid w:val="00F37121"/>
    <w:rsid w:val="00F376C5"/>
    <w:rsid w:val="00F37DB9"/>
    <w:rsid w:val="00F424DD"/>
    <w:rsid w:val="00F44541"/>
    <w:rsid w:val="00F452BF"/>
    <w:rsid w:val="00F45D54"/>
    <w:rsid w:val="00F4754C"/>
    <w:rsid w:val="00F51B92"/>
    <w:rsid w:val="00F51DE9"/>
    <w:rsid w:val="00F51F5C"/>
    <w:rsid w:val="00F52A23"/>
    <w:rsid w:val="00F53289"/>
    <w:rsid w:val="00F53CDB"/>
    <w:rsid w:val="00F5446D"/>
    <w:rsid w:val="00F553C0"/>
    <w:rsid w:val="00F55A53"/>
    <w:rsid w:val="00F569A1"/>
    <w:rsid w:val="00F56EDC"/>
    <w:rsid w:val="00F575DC"/>
    <w:rsid w:val="00F57937"/>
    <w:rsid w:val="00F6076A"/>
    <w:rsid w:val="00F6085C"/>
    <w:rsid w:val="00F61CCA"/>
    <w:rsid w:val="00F62DED"/>
    <w:rsid w:val="00F63CE3"/>
    <w:rsid w:val="00F64443"/>
    <w:rsid w:val="00F648B2"/>
    <w:rsid w:val="00F65091"/>
    <w:rsid w:val="00F67361"/>
    <w:rsid w:val="00F7011B"/>
    <w:rsid w:val="00F71B4E"/>
    <w:rsid w:val="00F727EF"/>
    <w:rsid w:val="00F7387B"/>
    <w:rsid w:val="00F7536E"/>
    <w:rsid w:val="00F7564C"/>
    <w:rsid w:val="00F763DA"/>
    <w:rsid w:val="00F80A33"/>
    <w:rsid w:val="00F81DA7"/>
    <w:rsid w:val="00F82B48"/>
    <w:rsid w:val="00F8343B"/>
    <w:rsid w:val="00F85838"/>
    <w:rsid w:val="00F8665A"/>
    <w:rsid w:val="00F875AE"/>
    <w:rsid w:val="00F901ED"/>
    <w:rsid w:val="00F90262"/>
    <w:rsid w:val="00F90A19"/>
    <w:rsid w:val="00F90E0B"/>
    <w:rsid w:val="00F9142C"/>
    <w:rsid w:val="00F92159"/>
    <w:rsid w:val="00F921F9"/>
    <w:rsid w:val="00F946B9"/>
    <w:rsid w:val="00F96CCB"/>
    <w:rsid w:val="00FA1357"/>
    <w:rsid w:val="00FA39FE"/>
    <w:rsid w:val="00FA6A12"/>
    <w:rsid w:val="00FA6A3F"/>
    <w:rsid w:val="00FA6E0C"/>
    <w:rsid w:val="00FB06DA"/>
    <w:rsid w:val="00FB4BA1"/>
    <w:rsid w:val="00FB5BE9"/>
    <w:rsid w:val="00FB5CCF"/>
    <w:rsid w:val="00FB7A5C"/>
    <w:rsid w:val="00FC0F02"/>
    <w:rsid w:val="00FC1CA3"/>
    <w:rsid w:val="00FC3F44"/>
    <w:rsid w:val="00FC7C4B"/>
    <w:rsid w:val="00FD0DE3"/>
    <w:rsid w:val="00FD12B2"/>
    <w:rsid w:val="00FD142D"/>
    <w:rsid w:val="00FD2136"/>
    <w:rsid w:val="00FD272C"/>
    <w:rsid w:val="00FD59BF"/>
    <w:rsid w:val="00FD6C2B"/>
    <w:rsid w:val="00FD6ED5"/>
    <w:rsid w:val="00FD79D3"/>
    <w:rsid w:val="00FE05F0"/>
    <w:rsid w:val="00FE0699"/>
    <w:rsid w:val="00FE36E8"/>
    <w:rsid w:val="00FE5281"/>
    <w:rsid w:val="00FE666D"/>
    <w:rsid w:val="00FE73BF"/>
    <w:rsid w:val="00FE769F"/>
    <w:rsid w:val="00FF12A4"/>
    <w:rsid w:val="00FF14E5"/>
    <w:rsid w:val="00FF614A"/>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AAB1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character" w:customStyle="1" w:styleId="SingleTxtGChar">
    <w:name w:val="_ Single Txt_G Char"/>
    <w:link w:val="SingleTxtG"/>
    <w:locked/>
    <w:rsid w:val="00B11712"/>
    <w:rPr>
      <w:lang w:val="en-GB" w:eastAsia="en-US"/>
    </w:rPr>
  </w:style>
  <w:style w:type="paragraph" w:customStyle="1" w:styleId="SingleTxtG">
    <w:name w:val="_ Single Txt_G"/>
    <w:basedOn w:val="Normal"/>
    <w:link w:val="SingleTxtGChar"/>
    <w:rsid w:val="00B11712"/>
    <w:pPr>
      <w:suppressAutoHyphens/>
      <w:spacing w:before="0" w:line="240" w:lineRule="atLeast"/>
      <w:ind w:left="1134" w:right="1134"/>
      <w:jc w:val="both"/>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36811">
      <w:bodyDiv w:val="1"/>
      <w:marLeft w:val="0"/>
      <w:marRight w:val="0"/>
      <w:marTop w:val="0"/>
      <w:marBottom w:val="0"/>
      <w:divBdr>
        <w:top w:val="none" w:sz="0" w:space="0" w:color="auto"/>
        <w:left w:val="none" w:sz="0" w:space="0" w:color="auto"/>
        <w:bottom w:val="none" w:sz="0" w:space="0" w:color="auto"/>
        <w:right w:val="none" w:sz="0" w:space="0" w:color="auto"/>
      </w:divBdr>
    </w:div>
    <w:div w:id="1496142006">
      <w:bodyDiv w:val="1"/>
      <w:marLeft w:val="0"/>
      <w:marRight w:val="0"/>
      <w:marTop w:val="0"/>
      <w:marBottom w:val="0"/>
      <w:divBdr>
        <w:top w:val="none" w:sz="0" w:space="0" w:color="auto"/>
        <w:left w:val="none" w:sz="0" w:space="0" w:color="auto"/>
        <w:bottom w:val="none" w:sz="0" w:space="0" w:color="auto"/>
        <w:right w:val="none" w:sz="0" w:space="0" w:color="auto"/>
      </w:divBdr>
    </w:div>
    <w:div w:id="18056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un-regulations-addenda-1958-agre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542F1B1-E671-4C6D-95E6-93E54916D5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36E1829869B04F9219F4047AA81252" ma:contentTypeVersion="" ma:contentTypeDescription="PDMS Document Site Content Type" ma:contentTypeScope="" ma:versionID="9be0e51cbddc800e65f90954844bb389">
  <xsd:schema xmlns:xsd="http://www.w3.org/2001/XMLSchema" xmlns:xs="http://www.w3.org/2001/XMLSchema" xmlns:p="http://schemas.microsoft.com/office/2006/metadata/properties" xmlns:ns2="9542F1B1-E671-4C6D-95E6-93E54916D530" targetNamespace="http://schemas.microsoft.com/office/2006/metadata/properties" ma:root="true" ma:fieldsID="0158506b0f31fe9def24a490ef5cb6cf" ns2:_="">
    <xsd:import namespace="9542F1B1-E671-4C6D-95E6-93E54916D53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2F1B1-E671-4C6D-95E6-93E54916D53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28B6-9936-4DCD-89A0-DB5D9A3FDD84}">
  <ds:schemaRefs>
    <ds:schemaRef ds:uri="http://schemas.microsoft.com/sharepoint/v3/contenttype/forms"/>
  </ds:schemaRefs>
</ds:datastoreItem>
</file>

<file path=customXml/itemProps2.xml><?xml version="1.0" encoding="utf-8"?>
<ds:datastoreItem xmlns:ds="http://schemas.openxmlformats.org/officeDocument/2006/customXml" ds:itemID="{EFF13BFC-7A95-4E67-88EA-37DC8AA74F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42F1B1-E671-4C6D-95E6-93E54916D530"/>
    <ds:schemaRef ds:uri="http://www.w3.org/XML/1998/namespace"/>
    <ds:schemaRef ds:uri="http://purl.org/dc/dcmitype/"/>
  </ds:schemaRefs>
</ds:datastoreItem>
</file>

<file path=customXml/itemProps3.xml><?xml version="1.0" encoding="utf-8"?>
<ds:datastoreItem xmlns:ds="http://schemas.openxmlformats.org/officeDocument/2006/customXml" ds:itemID="{24EBBBE4-18AF-4F3E-A5C7-C26B70371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2F1B1-E671-4C6D-95E6-93E54916D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81E97-5FAC-4193-8583-4F866110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2022-04-08T06:43:00Z</dcterms:created>
  <dcterms:modified xsi:type="dcterms:W3CDTF">2022-04-08T06:53:00Z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0x010100266966F133664895A6EE3632470D45F500E236E1829869B04F9219F4047AA81252</vt:lpwstr>
  </property>
</Properties>
</file>