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F8B91" w14:textId="77777777" w:rsidR="008B2F44" w:rsidRDefault="00AF202D" w:rsidP="008B2F44">
      <w:r>
        <w:rPr>
          <w:noProof/>
        </w:rPr>
        <w:drawing>
          <wp:inline distT="0" distB="0" distL="0" distR="0" wp14:anchorId="7A4582EA" wp14:editId="57BC4FA1">
            <wp:extent cx="1459817" cy="1080000"/>
            <wp:effectExtent l="0" t="0" r="7620" b="6350"/>
            <wp:docPr id="4"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817" cy="1080000"/>
                    </a:xfrm>
                    <a:prstGeom prst="rect">
                      <a:avLst/>
                    </a:prstGeom>
                    <a:noFill/>
                    <a:ln>
                      <a:noFill/>
                    </a:ln>
                  </pic:spPr>
                </pic:pic>
              </a:graphicData>
            </a:graphic>
          </wp:inline>
        </w:drawing>
      </w:r>
    </w:p>
    <w:p w14:paraId="55E9FFF5" w14:textId="77777777" w:rsidR="0078010D" w:rsidRDefault="0078010D" w:rsidP="00054F6A"/>
    <w:p w14:paraId="0D0D4262" w14:textId="77777777" w:rsidR="00054F6A" w:rsidRDefault="00054F6A" w:rsidP="00054F6A"/>
    <w:p w14:paraId="50B85E0D" w14:textId="77777777" w:rsidR="00D0235B" w:rsidRPr="00054F6A" w:rsidRDefault="00D0235B" w:rsidP="00054F6A"/>
    <w:p w14:paraId="4BFCF841" w14:textId="77777777" w:rsidR="00A85B7A" w:rsidRDefault="008B2F44" w:rsidP="008B2F44">
      <w:pPr>
        <w:pStyle w:val="ADRTitle"/>
      </w:pPr>
      <w:r>
        <w:t>Vehicle Standard (Australian Design Rule</w:t>
      </w:r>
      <w:r w:rsidR="001559C8">
        <w:t xml:space="preserve">) </w:t>
      </w:r>
      <w:r w:rsidR="00431EF9">
        <w:t>Vehicle Lighting</w:t>
      </w:r>
      <w:r w:rsidR="009757C5">
        <w:t xml:space="preserve"> Amendment</w:t>
      </w:r>
      <w:r w:rsidR="001559C8">
        <w:t xml:space="preserve"> </w:t>
      </w:r>
      <w:r w:rsidR="00E45B24">
        <w:t>202</w:t>
      </w:r>
      <w:r w:rsidR="00431EF9">
        <w:t>5</w:t>
      </w:r>
    </w:p>
    <w:p w14:paraId="42CCC628" w14:textId="77777777" w:rsidR="008B2F44" w:rsidRPr="008A16DC" w:rsidRDefault="000702F0" w:rsidP="000702F0">
      <w:pPr>
        <w:jc w:val="both"/>
      </w:pPr>
      <w:r w:rsidRPr="00334FD0">
        <w:t xml:space="preserve">I, </w:t>
      </w:r>
      <w:r w:rsidR="00431EF9">
        <w:t xml:space="preserve">XXX </w:t>
      </w:r>
      <w:proofErr w:type="spellStart"/>
      <w:r w:rsidR="00431EF9">
        <w:t>XXX</w:t>
      </w:r>
      <w:proofErr w:type="spellEnd"/>
      <w:r w:rsidR="004B4F46" w:rsidRPr="004B4F46">
        <w:t xml:space="preserve">, Minister for </w:t>
      </w:r>
      <w:r w:rsidR="00431EF9">
        <w:t>XXX</w:t>
      </w:r>
      <w:r w:rsidR="004B4F46" w:rsidRPr="004B4F46">
        <w:t>,</w:t>
      </w:r>
      <w:r w:rsidR="007D58F9">
        <w:t xml:space="preserve"> make the following determination</w:t>
      </w:r>
      <w:r w:rsidR="000C11CB">
        <w:t>.</w:t>
      </w:r>
    </w:p>
    <w:p w14:paraId="44DABFA0" w14:textId="77777777" w:rsidR="008B2F44" w:rsidRDefault="008B2F44"/>
    <w:p w14:paraId="16F647D3" w14:textId="77777777" w:rsidR="002302FE" w:rsidRDefault="002302FE"/>
    <w:p w14:paraId="012E364F" w14:textId="77777777" w:rsidR="002302FE" w:rsidRDefault="002302FE"/>
    <w:p w14:paraId="64E62134" w14:textId="77777777" w:rsidR="00966A4E" w:rsidRDefault="00966A4E"/>
    <w:p w14:paraId="6B94C40C" w14:textId="77777777" w:rsidR="0011409D" w:rsidRDefault="0011409D"/>
    <w:p w14:paraId="4531E4D7" w14:textId="3099B138" w:rsidR="008B2F44" w:rsidRDefault="001028EA" w:rsidP="00567968">
      <w:pPr>
        <w:tabs>
          <w:tab w:val="left" w:pos="1134"/>
        </w:tabs>
      </w:pPr>
      <w:r>
        <w:t>Dated</w:t>
      </w:r>
      <w:r w:rsidR="00567968">
        <w:tab/>
      </w:r>
    </w:p>
    <w:p w14:paraId="2624D5E9" w14:textId="77777777" w:rsidR="001028EA" w:rsidRDefault="001028EA"/>
    <w:p w14:paraId="6E2F2242" w14:textId="77777777" w:rsidR="001028EA" w:rsidRDefault="001028EA"/>
    <w:p w14:paraId="21423D48" w14:textId="77777777" w:rsidR="001028EA" w:rsidRDefault="001028EA" w:rsidP="00897376">
      <w:pPr>
        <w:tabs>
          <w:tab w:val="left" w:pos="2301"/>
        </w:tabs>
      </w:pPr>
    </w:p>
    <w:p w14:paraId="0535BE03" w14:textId="77777777" w:rsidR="002302FE" w:rsidRDefault="002302FE"/>
    <w:p w14:paraId="79C73E2C" w14:textId="77777777" w:rsidR="002302FE" w:rsidRDefault="002302FE"/>
    <w:p w14:paraId="6BA909F4" w14:textId="77777777" w:rsidR="002302FE" w:rsidRDefault="002302FE"/>
    <w:p w14:paraId="4EEFCC1A" w14:textId="77777777" w:rsidR="002302FE" w:rsidRDefault="002302FE"/>
    <w:p w14:paraId="6075E207" w14:textId="77777777" w:rsidR="002302FE" w:rsidRDefault="002302FE"/>
    <w:p w14:paraId="256D058E" w14:textId="77777777" w:rsidR="002302FE" w:rsidRDefault="002302FE"/>
    <w:p w14:paraId="627AD859" w14:textId="77777777" w:rsidR="002302FE" w:rsidRDefault="002302FE"/>
    <w:p w14:paraId="1DCABE47" w14:textId="77777777" w:rsidR="00064AB1" w:rsidRDefault="00064AB1"/>
    <w:p w14:paraId="05F26B82" w14:textId="77777777" w:rsidR="00064AB1" w:rsidRDefault="00064AB1"/>
    <w:p w14:paraId="4013192B" w14:textId="77777777" w:rsidR="00064AB1" w:rsidRDefault="00064AB1"/>
    <w:p w14:paraId="37B95047" w14:textId="5ABC4227" w:rsidR="00064AB1" w:rsidRDefault="00567968">
      <w:r>
        <w:t>[</w:t>
      </w:r>
      <w:r w:rsidR="003B4C72">
        <w:t xml:space="preserve">DRAFT </w:t>
      </w:r>
      <w:r w:rsidR="008D149F">
        <w:t>FOR CONSULTATION</w:t>
      </w:r>
      <w:r>
        <w:t>]</w:t>
      </w:r>
    </w:p>
    <w:p w14:paraId="5B497C79" w14:textId="2E9E84B6" w:rsidR="004B4F46" w:rsidRDefault="00431EF9" w:rsidP="004B4F46">
      <w:pPr>
        <w:spacing w:before="100" w:beforeAutospacing="1" w:after="100" w:afterAutospacing="1"/>
      </w:pPr>
      <w:r>
        <w:t xml:space="preserve">XXX </w:t>
      </w:r>
    </w:p>
    <w:p w14:paraId="2D390F24" w14:textId="27742AE6" w:rsidR="00926E89" w:rsidRDefault="00431EF9" w:rsidP="004B4F46">
      <w:pPr>
        <w:spacing w:before="100" w:beforeAutospacing="1" w:after="100" w:afterAutospacing="1"/>
      </w:pPr>
      <w:r>
        <w:t>XXX</w:t>
      </w:r>
    </w:p>
    <w:p w14:paraId="0106A21D" w14:textId="77777777" w:rsidR="00076FFF" w:rsidRDefault="00076FFF" w:rsidP="000E0F91">
      <w:pPr>
        <w:spacing w:before="100" w:beforeAutospacing="1" w:after="100" w:afterAutospacing="1"/>
      </w:pPr>
    </w:p>
    <w:p w14:paraId="7685D154" w14:textId="77777777" w:rsidR="00076FFF" w:rsidRDefault="00076FFF" w:rsidP="000E0F91">
      <w:pPr>
        <w:spacing w:before="100" w:beforeAutospacing="1" w:after="100" w:afterAutospacing="1"/>
      </w:pPr>
    </w:p>
    <w:p w14:paraId="06BC7676" w14:textId="77777777" w:rsidR="0011409D" w:rsidRDefault="0011409D" w:rsidP="0011409D">
      <w:pPr>
        <w:spacing w:before="100" w:beforeAutospacing="1" w:after="100" w:afterAutospacing="1"/>
        <w:sectPr w:rsidR="0011409D" w:rsidSect="003F0CF3">
          <w:headerReference w:type="even" r:id="rId12"/>
          <w:headerReference w:type="default" r:id="rId13"/>
          <w:footerReference w:type="even" r:id="rId14"/>
          <w:footerReference w:type="default" r:id="rId15"/>
          <w:headerReference w:type="first" r:id="rId16"/>
          <w:footerReference w:type="first" r:id="rId17"/>
          <w:pgSz w:w="11906" w:h="16838"/>
          <w:pgMar w:top="1440" w:right="1701" w:bottom="1440" w:left="1701" w:header="709" w:footer="709" w:gutter="0"/>
          <w:cols w:space="708"/>
          <w:docGrid w:linePitch="360"/>
        </w:sectPr>
      </w:pPr>
    </w:p>
    <w:p w14:paraId="07193DF3" w14:textId="77777777" w:rsidR="00C35C89" w:rsidRDefault="00C35C89" w:rsidP="00236C7C">
      <w:pPr>
        <w:jc w:val="center"/>
        <w:rPr>
          <w:b/>
        </w:rPr>
      </w:pPr>
    </w:p>
    <w:p w14:paraId="6E6A45C7" w14:textId="77777777" w:rsidR="001028EA" w:rsidRDefault="007A731E" w:rsidP="00C35C89">
      <w:pPr>
        <w:jc w:val="center"/>
        <w:rPr>
          <w:b/>
        </w:rPr>
      </w:pPr>
      <w:r w:rsidRPr="00550132">
        <w:rPr>
          <w:b/>
        </w:rPr>
        <w:t>CONTENTS</w:t>
      </w:r>
    </w:p>
    <w:p w14:paraId="7E03CD77" w14:textId="77777777" w:rsidR="00C35C89" w:rsidRPr="00550132" w:rsidRDefault="00C35C89" w:rsidP="00C35C89">
      <w:pPr>
        <w:jc w:val="center"/>
        <w:rPr>
          <w:b/>
        </w:rPr>
      </w:pPr>
    </w:p>
    <w:p w14:paraId="72EE36E7" w14:textId="77777777" w:rsidR="00C46884" w:rsidRDefault="00C46884">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Name</w:t>
      </w:r>
      <w:r>
        <w:rPr>
          <w:noProof/>
        </w:rPr>
        <w:tab/>
      </w:r>
      <w:r w:rsidR="007F7954">
        <w:rPr>
          <w:noProof/>
        </w:rPr>
        <w:t>3</w:t>
      </w:r>
    </w:p>
    <w:p w14:paraId="37BD32AE" w14:textId="77777777" w:rsidR="00C46884" w:rsidRDefault="00C46884">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Commencement</w:t>
      </w:r>
      <w:r>
        <w:rPr>
          <w:noProof/>
        </w:rPr>
        <w:tab/>
      </w:r>
      <w:r w:rsidR="007F7954">
        <w:rPr>
          <w:noProof/>
        </w:rPr>
        <w:t>3</w:t>
      </w:r>
    </w:p>
    <w:p w14:paraId="704E134D" w14:textId="77777777" w:rsidR="00C46884" w:rsidRDefault="00C4688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Authority</w:t>
      </w:r>
      <w:r>
        <w:rPr>
          <w:noProof/>
        </w:rPr>
        <w:tab/>
      </w:r>
      <w:r w:rsidR="007F7954">
        <w:rPr>
          <w:noProof/>
        </w:rPr>
        <w:t>3</w:t>
      </w:r>
    </w:p>
    <w:p w14:paraId="7E4765DB" w14:textId="77777777" w:rsidR="00C46884" w:rsidRDefault="00C4688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Schedules</w:t>
      </w:r>
      <w:r>
        <w:rPr>
          <w:noProof/>
        </w:rPr>
        <w:tab/>
      </w:r>
      <w:r w:rsidR="007F7954">
        <w:rPr>
          <w:noProof/>
        </w:rPr>
        <w:t>3</w:t>
      </w:r>
    </w:p>
    <w:p w14:paraId="141B908D" w14:textId="77777777" w:rsidR="00C46884" w:rsidRDefault="00C46884">
      <w:pPr>
        <w:pStyle w:val="TOC1"/>
        <w:rPr>
          <w:rFonts w:asciiTheme="minorHAnsi" w:eastAsiaTheme="minorEastAsia" w:hAnsiTheme="minorHAnsi" w:cstheme="minorBidi"/>
          <w:caps w:val="0"/>
          <w:noProof/>
          <w:sz w:val="22"/>
          <w:szCs w:val="22"/>
        </w:rPr>
      </w:pPr>
      <w:r>
        <w:rPr>
          <w:noProof/>
        </w:rPr>
        <w:t>Schedule 1 – Amendments</w:t>
      </w:r>
      <w:r>
        <w:rPr>
          <w:noProof/>
        </w:rPr>
        <w:tab/>
      </w:r>
      <w:r w:rsidR="007F7954">
        <w:rPr>
          <w:noProof/>
        </w:rPr>
        <w:t>4</w:t>
      </w:r>
    </w:p>
    <w:p w14:paraId="00852CCB" w14:textId="0C4395C6" w:rsidR="00C46884" w:rsidRDefault="00C46884">
      <w:pPr>
        <w:pStyle w:val="TOC1"/>
        <w:rPr>
          <w:rFonts w:asciiTheme="minorHAnsi" w:eastAsiaTheme="minorEastAsia" w:hAnsiTheme="minorHAnsi" w:cstheme="minorBidi"/>
          <w:caps w:val="0"/>
          <w:noProof/>
          <w:sz w:val="22"/>
          <w:szCs w:val="22"/>
        </w:rPr>
      </w:pPr>
      <w:r>
        <w:rPr>
          <w:noProof/>
        </w:rPr>
        <w:t>Schedule 2 – Amendments</w:t>
      </w:r>
      <w:r>
        <w:rPr>
          <w:noProof/>
        </w:rPr>
        <w:tab/>
      </w:r>
      <w:r w:rsidR="00AA7929">
        <w:rPr>
          <w:noProof/>
        </w:rPr>
        <w:t>7</w:t>
      </w:r>
    </w:p>
    <w:p w14:paraId="10142ABC" w14:textId="40C89764" w:rsidR="00C46884" w:rsidRDefault="00C46884">
      <w:pPr>
        <w:pStyle w:val="TOC1"/>
        <w:rPr>
          <w:rFonts w:asciiTheme="minorHAnsi" w:eastAsiaTheme="minorEastAsia" w:hAnsiTheme="minorHAnsi" w:cstheme="minorBidi"/>
          <w:caps w:val="0"/>
          <w:noProof/>
          <w:sz w:val="22"/>
          <w:szCs w:val="22"/>
        </w:rPr>
      </w:pPr>
      <w:r>
        <w:rPr>
          <w:noProof/>
        </w:rPr>
        <w:t>Schedule 3 – Amendments</w:t>
      </w:r>
      <w:r>
        <w:rPr>
          <w:noProof/>
        </w:rPr>
        <w:tab/>
      </w:r>
      <w:r w:rsidR="00AA7929">
        <w:rPr>
          <w:noProof/>
        </w:rPr>
        <w:t>8</w:t>
      </w:r>
    </w:p>
    <w:p w14:paraId="70B8309B" w14:textId="31C67DE4" w:rsidR="007A731E" w:rsidRPr="00244F67" w:rsidRDefault="00C46884" w:rsidP="00244F67">
      <w:pPr>
        <w:pStyle w:val="TOC1"/>
        <w:rPr>
          <w:rFonts w:asciiTheme="minorHAnsi" w:eastAsiaTheme="minorEastAsia" w:hAnsiTheme="minorHAnsi" w:cstheme="minorBidi"/>
          <w:caps w:val="0"/>
          <w:noProof/>
          <w:sz w:val="22"/>
          <w:szCs w:val="22"/>
        </w:rPr>
      </w:pPr>
      <w:r>
        <w:rPr>
          <w:noProof/>
        </w:rPr>
        <w:t>Schedule 4 – Amendments</w:t>
      </w:r>
      <w:r>
        <w:rPr>
          <w:noProof/>
        </w:rPr>
        <w:tab/>
      </w:r>
      <w:r w:rsidR="00AA7929">
        <w:rPr>
          <w:noProof/>
        </w:rPr>
        <w:t>9</w:t>
      </w:r>
    </w:p>
    <w:p w14:paraId="652DAC7F" w14:textId="77777777" w:rsidR="00906CD2" w:rsidRPr="00596FFC" w:rsidRDefault="002302FE" w:rsidP="00596FFC">
      <w:pPr>
        <w:pStyle w:val="Heading2"/>
      </w:pPr>
      <w:r>
        <w:br w:type="page"/>
      </w:r>
      <w:bookmarkStart w:id="0" w:name="_Toc140579360"/>
      <w:r w:rsidR="00354C6A">
        <w:lastRenderedPageBreak/>
        <w:t>Name</w:t>
      </w:r>
      <w:bookmarkEnd w:id="0"/>
    </w:p>
    <w:p w14:paraId="243F61E0" w14:textId="77777777" w:rsidR="007A731E" w:rsidRDefault="007A731E" w:rsidP="00354C6A">
      <w:pPr>
        <w:pStyle w:val="Subclause"/>
      </w:pPr>
      <w:r>
        <w:t xml:space="preserve">This </w:t>
      </w:r>
      <w:r w:rsidR="009B2101">
        <w:t>instrument</w:t>
      </w:r>
      <w:r>
        <w:t xml:space="preserve"> is the Vehicle Standard (Australian Design Rule)</w:t>
      </w:r>
      <w:r w:rsidR="00354C6A">
        <w:t xml:space="preserve"> </w:t>
      </w:r>
      <w:r w:rsidR="00431EF9">
        <w:t>Vehicle Lighting</w:t>
      </w:r>
      <w:r w:rsidR="0013462A">
        <w:t xml:space="preserve"> </w:t>
      </w:r>
      <w:r w:rsidR="009B2101">
        <w:t xml:space="preserve">Amendment </w:t>
      </w:r>
      <w:r w:rsidR="00E45B24">
        <w:t>202</w:t>
      </w:r>
      <w:r w:rsidR="00431EF9">
        <w:t>5</w:t>
      </w:r>
      <w:r w:rsidR="0066040D">
        <w:t>.</w:t>
      </w:r>
    </w:p>
    <w:p w14:paraId="2E9A8AC5" w14:textId="77777777" w:rsidR="00354C6A" w:rsidRDefault="00354C6A" w:rsidP="00596FFC">
      <w:pPr>
        <w:pStyle w:val="Heading2"/>
      </w:pPr>
      <w:bookmarkStart w:id="1" w:name="_Toc140579361"/>
      <w:r>
        <w:t>Commencement</w:t>
      </w:r>
      <w:bookmarkEnd w:id="1"/>
    </w:p>
    <w:p w14:paraId="79CA6A79" w14:textId="77777777" w:rsidR="00354C6A" w:rsidRPr="00354C6A" w:rsidRDefault="00354C6A" w:rsidP="00354C6A">
      <w:pPr>
        <w:pStyle w:val="Subclause"/>
      </w:pPr>
      <w:r w:rsidRPr="00354C6A">
        <w:t>This instrument commences on the day after it is registered.</w:t>
      </w:r>
    </w:p>
    <w:p w14:paraId="6563AC06" w14:textId="77777777" w:rsidR="00354C6A" w:rsidRDefault="00354C6A" w:rsidP="00596FFC">
      <w:pPr>
        <w:pStyle w:val="Heading2"/>
      </w:pPr>
      <w:bookmarkStart w:id="2" w:name="_Toc140579362"/>
      <w:r>
        <w:t>Authority</w:t>
      </w:r>
      <w:bookmarkEnd w:id="2"/>
    </w:p>
    <w:p w14:paraId="3BCB5CFD" w14:textId="77777777" w:rsidR="00354C6A" w:rsidRPr="00354C6A" w:rsidRDefault="00354C6A" w:rsidP="00354C6A">
      <w:pPr>
        <w:pStyle w:val="Subclause"/>
      </w:pPr>
      <w:r>
        <w:t xml:space="preserve">This instrument is made under section 12 of the </w:t>
      </w:r>
      <w:r w:rsidRPr="00354C6A">
        <w:rPr>
          <w:i/>
        </w:rPr>
        <w:t>Road Vehicle Standards Act 2018</w:t>
      </w:r>
      <w:r>
        <w:t>.</w:t>
      </w:r>
    </w:p>
    <w:p w14:paraId="03BB2497" w14:textId="77777777" w:rsidR="00573C97" w:rsidRDefault="00354C6A" w:rsidP="00596FFC">
      <w:pPr>
        <w:pStyle w:val="Heading2"/>
      </w:pPr>
      <w:bookmarkStart w:id="3" w:name="_Toc140579363"/>
      <w:r>
        <w:t>Schedules</w:t>
      </w:r>
      <w:bookmarkEnd w:id="3"/>
    </w:p>
    <w:p w14:paraId="3D775DB1" w14:textId="77777777" w:rsidR="00076FFF" w:rsidRDefault="00386745" w:rsidP="00386745">
      <w:pPr>
        <w:pStyle w:val="Subclause"/>
      </w:pPr>
      <w:r>
        <w:t>Each instrument that is specified in a Schedule to this instrument is amended as set out in the applicable items in the Schedule concerned, and any other item in a Schedule to this instrument has effect according to its terms.</w:t>
      </w:r>
    </w:p>
    <w:p w14:paraId="275228EB" w14:textId="77777777" w:rsidR="00386745" w:rsidRPr="00386745" w:rsidRDefault="00386745" w:rsidP="00386745"/>
    <w:p w14:paraId="15F87C24" w14:textId="77777777" w:rsidR="003F0CF3" w:rsidRDefault="003F0CF3" w:rsidP="009B2101">
      <w:pPr>
        <w:sectPr w:rsidR="003F0CF3" w:rsidSect="00F97BB1">
          <w:headerReference w:type="even" r:id="rId18"/>
          <w:headerReference w:type="default" r:id="rId19"/>
          <w:headerReference w:type="first" r:id="rId20"/>
          <w:pgSz w:w="11906" w:h="16838"/>
          <w:pgMar w:top="1440" w:right="1701" w:bottom="1440" w:left="1701" w:header="709" w:footer="709" w:gutter="0"/>
          <w:cols w:space="708"/>
          <w:docGrid w:linePitch="360"/>
        </w:sectPr>
      </w:pPr>
    </w:p>
    <w:p w14:paraId="78BF3077" w14:textId="77777777" w:rsidR="00030EA4" w:rsidRDefault="00030EA4" w:rsidP="00C42BB5">
      <w:pPr>
        <w:pStyle w:val="Heading3"/>
      </w:pPr>
      <w:r>
        <w:lastRenderedPageBreak/>
        <w:t xml:space="preserve">SCHEDULE 1 – AMENDMENTS </w:t>
      </w:r>
    </w:p>
    <w:p w14:paraId="59B338B2" w14:textId="77777777" w:rsidR="00C42BB5" w:rsidRPr="00C42BB5" w:rsidRDefault="00C42BB5" w:rsidP="00C42BB5">
      <w:pPr>
        <w:pStyle w:val="Heading3"/>
      </w:pPr>
      <w:r w:rsidRPr="00C42BB5">
        <w:t xml:space="preserve">Vehicle Standard (Australian Design Rule </w:t>
      </w:r>
      <w:r w:rsidR="001203DB">
        <w:t xml:space="preserve">13/00 </w:t>
      </w:r>
      <w:r w:rsidRPr="00C42BB5">
        <w:t xml:space="preserve">– </w:t>
      </w:r>
      <w:r w:rsidR="003E26C9">
        <w:t>Installation of Lighting and Light Signalling Devices on other than L-Group Vehicles</w:t>
      </w:r>
      <w:r w:rsidRPr="00C42BB5">
        <w:t>) 2005</w:t>
      </w:r>
    </w:p>
    <w:p w14:paraId="5BEA927C" w14:textId="7EE4F8D9" w:rsidR="00DC4483" w:rsidRDefault="00DC4483" w:rsidP="004F72EF">
      <w:pPr>
        <w:pStyle w:val="Scheduleitem"/>
      </w:pPr>
      <w:r>
        <w:t>Clause 7.7</w:t>
      </w:r>
      <w:r w:rsidR="00612CC2">
        <w:t>, r</w:t>
      </w:r>
      <w:r>
        <w:t>epeal the clause, substitute:</w:t>
      </w:r>
    </w:p>
    <w:p w14:paraId="51027630" w14:textId="312B8C8D" w:rsidR="00DC4483" w:rsidRDefault="003C013E" w:rsidP="003C013E">
      <w:pPr>
        <w:pStyle w:val="Scheduleitem"/>
        <w:numPr>
          <w:ilvl w:val="0"/>
          <w:numId w:val="0"/>
        </w:numPr>
        <w:ind w:left="1440" w:hanging="720"/>
      </w:pPr>
      <w:r>
        <w:t>7.7</w:t>
      </w:r>
      <w:r w:rsidR="0068296F">
        <w:t>.</w:t>
      </w:r>
      <w:r>
        <w:tab/>
      </w:r>
      <w:r w:rsidR="00DC4483">
        <w:t xml:space="preserve">References to UN regulations for lighting components in the table below are to be read as references to the ADRs as set out in the table below. </w:t>
      </w:r>
    </w:p>
    <w:p w14:paraId="667CF2CA" w14:textId="77777777" w:rsidR="00DC4483" w:rsidRDefault="00DC4483" w:rsidP="00DC448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shows the UN regulation numbers referenced in UN regulation 48 and its Corresponding ADR numbers "/>
      </w:tblPr>
      <w:tblGrid>
        <w:gridCol w:w="1323"/>
        <w:gridCol w:w="2804"/>
        <w:gridCol w:w="2550"/>
        <w:gridCol w:w="1817"/>
      </w:tblGrid>
      <w:tr w:rsidR="00DC4483" w14:paraId="7A4D40DA"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627B2A0A" w14:textId="6EBBD077" w:rsidR="00DC4483" w:rsidRDefault="00DC4483" w:rsidP="004F72EF">
            <w:pPr>
              <w:spacing w:beforeLines="20" w:before="48" w:afterLines="20" w:after="48" w:line="257" w:lineRule="auto"/>
              <w:rPr>
                <w:b/>
                <w:lang w:eastAsia="en-US"/>
              </w:rPr>
            </w:pPr>
            <w:r>
              <w:rPr>
                <w:b/>
                <w:lang w:eastAsia="en-US"/>
              </w:rPr>
              <w:t xml:space="preserve">UN R 48 </w:t>
            </w:r>
            <w:r w:rsidR="00AD058F">
              <w:rPr>
                <w:b/>
                <w:lang w:eastAsia="en-US"/>
              </w:rPr>
              <w:t>Paragraph</w:t>
            </w:r>
          </w:p>
        </w:tc>
        <w:tc>
          <w:tcPr>
            <w:tcW w:w="2903" w:type="dxa"/>
            <w:tcBorders>
              <w:top w:val="single" w:sz="4" w:space="0" w:color="000000"/>
              <w:left w:val="single" w:sz="4" w:space="0" w:color="000000"/>
              <w:bottom w:val="single" w:sz="4" w:space="0" w:color="000000"/>
              <w:right w:val="single" w:sz="4" w:space="0" w:color="000000"/>
            </w:tcBorders>
            <w:hideMark/>
          </w:tcPr>
          <w:p w14:paraId="2A08A8BC" w14:textId="77777777" w:rsidR="00DC4483" w:rsidRDefault="00DC4483">
            <w:pPr>
              <w:keepNext/>
              <w:keepLines/>
              <w:spacing w:beforeLines="20" w:before="48" w:afterLines="20" w:after="48" w:line="256" w:lineRule="auto"/>
              <w:rPr>
                <w:b/>
                <w:lang w:eastAsia="en-US"/>
              </w:rPr>
            </w:pPr>
            <w:r>
              <w:rPr>
                <w:b/>
                <w:lang w:eastAsia="en-US"/>
              </w:rPr>
              <w:t>Title</w:t>
            </w:r>
          </w:p>
        </w:tc>
        <w:tc>
          <w:tcPr>
            <w:tcW w:w="2638" w:type="dxa"/>
            <w:tcBorders>
              <w:top w:val="single" w:sz="4" w:space="0" w:color="000000"/>
              <w:left w:val="single" w:sz="4" w:space="0" w:color="000000"/>
              <w:bottom w:val="single" w:sz="4" w:space="0" w:color="000000"/>
              <w:right w:val="single" w:sz="4" w:space="0" w:color="000000"/>
            </w:tcBorders>
            <w:hideMark/>
          </w:tcPr>
          <w:p w14:paraId="293E0BBD" w14:textId="77777777" w:rsidR="00DC4483" w:rsidRDefault="00DC4483">
            <w:pPr>
              <w:keepNext/>
              <w:keepLines/>
              <w:spacing w:beforeLines="20" w:before="48" w:afterLines="20" w:after="48" w:line="256" w:lineRule="auto"/>
              <w:rPr>
                <w:b/>
                <w:lang w:eastAsia="en-US"/>
              </w:rPr>
            </w:pPr>
            <w:r>
              <w:rPr>
                <w:b/>
                <w:lang w:eastAsia="en-US"/>
              </w:rPr>
              <w:t>UN R/s it references</w:t>
            </w:r>
          </w:p>
        </w:tc>
        <w:tc>
          <w:tcPr>
            <w:tcW w:w="1853" w:type="dxa"/>
            <w:tcBorders>
              <w:top w:val="single" w:sz="4" w:space="0" w:color="000000"/>
              <w:left w:val="single" w:sz="4" w:space="0" w:color="000000"/>
              <w:bottom w:val="single" w:sz="4" w:space="0" w:color="000000"/>
              <w:right w:val="single" w:sz="4" w:space="0" w:color="000000"/>
            </w:tcBorders>
            <w:hideMark/>
          </w:tcPr>
          <w:p w14:paraId="4C552A86" w14:textId="77777777" w:rsidR="00DC4483" w:rsidRDefault="00DC4483">
            <w:pPr>
              <w:keepNext/>
              <w:keepLines/>
              <w:spacing w:beforeLines="20" w:before="48" w:afterLines="20" w:after="48" w:line="256" w:lineRule="auto"/>
              <w:rPr>
                <w:b/>
                <w:lang w:eastAsia="en-US"/>
              </w:rPr>
            </w:pPr>
            <w:r>
              <w:rPr>
                <w:b/>
                <w:lang w:eastAsia="en-US"/>
              </w:rPr>
              <w:t>Equivalent ADR/s</w:t>
            </w:r>
          </w:p>
        </w:tc>
      </w:tr>
      <w:tr w:rsidR="00DC4483" w14:paraId="2EA7C1E3"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00BDD3CD" w14:textId="77777777" w:rsidR="00DC4483" w:rsidRDefault="00DC4483" w:rsidP="004F72EF">
            <w:pPr>
              <w:spacing w:beforeLines="20" w:before="48" w:afterLines="20" w:after="48" w:line="257" w:lineRule="auto"/>
              <w:rPr>
                <w:lang w:eastAsia="en-US"/>
              </w:rPr>
            </w:pPr>
            <w:r>
              <w:rPr>
                <w:lang w:eastAsia="en-US"/>
              </w:rPr>
              <w:t>6.1.</w:t>
            </w:r>
          </w:p>
        </w:tc>
        <w:tc>
          <w:tcPr>
            <w:tcW w:w="2903" w:type="dxa"/>
            <w:tcBorders>
              <w:top w:val="single" w:sz="4" w:space="0" w:color="000000"/>
              <w:left w:val="single" w:sz="4" w:space="0" w:color="000000"/>
              <w:bottom w:val="single" w:sz="4" w:space="0" w:color="000000"/>
              <w:right w:val="single" w:sz="4" w:space="0" w:color="000000"/>
            </w:tcBorders>
            <w:hideMark/>
          </w:tcPr>
          <w:p w14:paraId="0D730278" w14:textId="77777777" w:rsidR="00DC4483" w:rsidRDefault="00DC4483" w:rsidP="004F72EF">
            <w:pPr>
              <w:spacing w:beforeLines="20" w:before="48" w:afterLines="20" w:after="48" w:line="257" w:lineRule="auto"/>
              <w:rPr>
                <w:lang w:eastAsia="en-US"/>
              </w:rPr>
            </w:pPr>
            <w:r>
              <w:rPr>
                <w:lang w:eastAsia="en-US"/>
              </w:rPr>
              <w:t>Main-Beam Headlamps</w:t>
            </w:r>
          </w:p>
        </w:tc>
        <w:tc>
          <w:tcPr>
            <w:tcW w:w="2638" w:type="dxa"/>
            <w:tcBorders>
              <w:top w:val="single" w:sz="4" w:space="0" w:color="000000"/>
              <w:left w:val="single" w:sz="4" w:space="0" w:color="000000"/>
              <w:bottom w:val="single" w:sz="4" w:space="0" w:color="000000"/>
              <w:right w:val="single" w:sz="4" w:space="0" w:color="000000"/>
            </w:tcBorders>
            <w:hideMark/>
          </w:tcPr>
          <w:p w14:paraId="10326268" w14:textId="77777777" w:rsidR="00DC4483" w:rsidRDefault="00DC4483" w:rsidP="004F72EF">
            <w:pPr>
              <w:spacing w:beforeLines="20" w:before="48" w:afterLines="20" w:after="48" w:line="257" w:lineRule="auto"/>
              <w:rPr>
                <w:lang w:eastAsia="en-US"/>
              </w:rPr>
            </w:pPr>
            <w:r>
              <w:rPr>
                <w:lang w:eastAsia="en-US"/>
              </w:rPr>
              <w:t>Regulations Nos. 98 or 112</w:t>
            </w:r>
          </w:p>
        </w:tc>
        <w:tc>
          <w:tcPr>
            <w:tcW w:w="1853" w:type="dxa"/>
            <w:tcBorders>
              <w:top w:val="single" w:sz="4" w:space="0" w:color="000000"/>
              <w:left w:val="single" w:sz="4" w:space="0" w:color="000000"/>
              <w:bottom w:val="single" w:sz="4" w:space="0" w:color="000000"/>
              <w:right w:val="single" w:sz="4" w:space="0" w:color="000000"/>
            </w:tcBorders>
            <w:hideMark/>
          </w:tcPr>
          <w:p w14:paraId="77F5E038" w14:textId="77777777" w:rsidR="00DC4483" w:rsidRDefault="003C013E" w:rsidP="004F72EF">
            <w:pPr>
              <w:spacing w:beforeLines="20" w:before="48" w:afterLines="20" w:after="48" w:line="257" w:lineRule="auto"/>
              <w:rPr>
                <w:lang w:eastAsia="en-US"/>
              </w:rPr>
            </w:pPr>
            <w:r>
              <w:t>46/00, 77/00 and 103/00</w:t>
            </w:r>
          </w:p>
        </w:tc>
      </w:tr>
      <w:tr w:rsidR="00DC4483" w14:paraId="5F4DDF1E"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74C5F528" w14:textId="77777777" w:rsidR="00DC4483" w:rsidRDefault="00DC4483" w:rsidP="004F72EF">
            <w:pPr>
              <w:spacing w:beforeLines="20" w:before="48" w:afterLines="20" w:after="48" w:line="257" w:lineRule="auto"/>
              <w:rPr>
                <w:lang w:eastAsia="en-US"/>
              </w:rPr>
            </w:pPr>
            <w:r>
              <w:rPr>
                <w:lang w:eastAsia="en-US"/>
              </w:rPr>
              <w:t>6.2.</w:t>
            </w:r>
          </w:p>
        </w:tc>
        <w:tc>
          <w:tcPr>
            <w:tcW w:w="2903" w:type="dxa"/>
            <w:tcBorders>
              <w:top w:val="single" w:sz="4" w:space="0" w:color="000000"/>
              <w:left w:val="single" w:sz="4" w:space="0" w:color="000000"/>
              <w:bottom w:val="single" w:sz="4" w:space="0" w:color="000000"/>
              <w:right w:val="single" w:sz="4" w:space="0" w:color="000000"/>
            </w:tcBorders>
            <w:hideMark/>
          </w:tcPr>
          <w:p w14:paraId="695AFB9C" w14:textId="77777777" w:rsidR="00DC4483" w:rsidRDefault="00DC4483" w:rsidP="004F72EF">
            <w:pPr>
              <w:spacing w:beforeLines="20" w:before="48" w:afterLines="20" w:after="48" w:line="257" w:lineRule="auto"/>
              <w:rPr>
                <w:lang w:eastAsia="en-US"/>
              </w:rPr>
            </w:pPr>
            <w:r>
              <w:rPr>
                <w:lang w:eastAsia="en-US"/>
              </w:rPr>
              <w:t>Dipped-Beam Headlamps</w:t>
            </w:r>
          </w:p>
        </w:tc>
        <w:tc>
          <w:tcPr>
            <w:tcW w:w="2638" w:type="dxa"/>
            <w:tcBorders>
              <w:top w:val="single" w:sz="4" w:space="0" w:color="000000"/>
              <w:left w:val="single" w:sz="4" w:space="0" w:color="000000"/>
              <w:bottom w:val="single" w:sz="4" w:space="0" w:color="000000"/>
              <w:right w:val="single" w:sz="4" w:space="0" w:color="000000"/>
            </w:tcBorders>
            <w:hideMark/>
          </w:tcPr>
          <w:p w14:paraId="62738814" w14:textId="77777777" w:rsidR="00DC4483" w:rsidRDefault="00DC4483" w:rsidP="004F72EF">
            <w:pPr>
              <w:spacing w:beforeLines="20" w:before="48" w:afterLines="20" w:after="48" w:line="257" w:lineRule="auto"/>
              <w:rPr>
                <w:lang w:eastAsia="en-US"/>
              </w:rPr>
            </w:pPr>
            <w:r>
              <w:rPr>
                <w:lang w:eastAsia="en-US"/>
              </w:rPr>
              <w:t>Regulations Nos. 98 or 112</w:t>
            </w:r>
          </w:p>
        </w:tc>
        <w:tc>
          <w:tcPr>
            <w:tcW w:w="1853" w:type="dxa"/>
            <w:tcBorders>
              <w:top w:val="single" w:sz="4" w:space="0" w:color="000000"/>
              <w:left w:val="single" w:sz="4" w:space="0" w:color="000000"/>
              <w:bottom w:val="single" w:sz="4" w:space="0" w:color="000000"/>
              <w:right w:val="single" w:sz="4" w:space="0" w:color="000000"/>
            </w:tcBorders>
            <w:hideMark/>
          </w:tcPr>
          <w:p w14:paraId="05386380" w14:textId="77777777" w:rsidR="00DC4483" w:rsidRDefault="003C013E" w:rsidP="004F72EF">
            <w:pPr>
              <w:spacing w:beforeLines="20" w:before="48" w:afterLines="20" w:after="48" w:line="257" w:lineRule="auto"/>
              <w:rPr>
                <w:lang w:eastAsia="en-US"/>
              </w:rPr>
            </w:pPr>
            <w:r>
              <w:t>46/00, 77/00 and 103/00</w:t>
            </w:r>
          </w:p>
        </w:tc>
      </w:tr>
      <w:tr w:rsidR="00DC4483" w14:paraId="6872DAC7"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497575E3" w14:textId="77777777" w:rsidR="00DC4483" w:rsidRDefault="00DC4483" w:rsidP="004F72EF">
            <w:pPr>
              <w:spacing w:beforeLines="20" w:before="48" w:afterLines="20" w:after="48" w:line="257" w:lineRule="auto"/>
              <w:rPr>
                <w:lang w:eastAsia="en-US"/>
              </w:rPr>
            </w:pPr>
            <w:r>
              <w:rPr>
                <w:lang w:eastAsia="en-US"/>
              </w:rPr>
              <w:t>6.2.9.</w:t>
            </w:r>
          </w:p>
        </w:tc>
        <w:tc>
          <w:tcPr>
            <w:tcW w:w="2903" w:type="dxa"/>
            <w:tcBorders>
              <w:top w:val="single" w:sz="4" w:space="0" w:color="000000"/>
              <w:left w:val="single" w:sz="4" w:space="0" w:color="000000"/>
              <w:bottom w:val="single" w:sz="4" w:space="0" w:color="000000"/>
              <w:right w:val="single" w:sz="4" w:space="0" w:color="000000"/>
            </w:tcBorders>
            <w:hideMark/>
          </w:tcPr>
          <w:p w14:paraId="3A386633" w14:textId="77777777" w:rsidR="00DC4483" w:rsidRDefault="00DC4483" w:rsidP="004F72EF">
            <w:pPr>
              <w:spacing w:beforeLines="20" w:before="48" w:afterLines="20" w:after="48" w:line="257" w:lineRule="auto"/>
              <w:rPr>
                <w:lang w:eastAsia="en-US"/>
              </w:rPr>
            </w:pPr>
            <w:r>
              <w:rPr>
                <w:lang w:eastAsia="en-US"/>
              </w:rPr>
              <w:t>Other requirements (Headlamp Cleaners)</w:t>
            </w:r>
          </w:p>
        </w:tc>
        <w:tc>
          <w:tcPr>
            <w:tcW w:w="2638" w:type="dxa"/>
            <w:tcBorders>
              <w:top w:val="single" w:sz="4" w:space="0" w:color="000000"/>
              <w:left w:val="single" w:sz="4" w:space="0" w:color="000000"/>
              <w:bottom w:val="single" w:sz="4" w:space="0" w:color="000000"/>
              <w:right w:val="single" w:sz="4" w:space="0" w:color="000000"/>
            </w:tcBorders>
            <w:hideMark/>
          </w:tcPr>
          <w:p w14:paraId="20B5791D" w14:textId="77777777" w:rsidR="00DC4483" w:rsidRDefault="00DC4483" w:rsidP="004F72EF">
            <w:pPr>
              <w:spacing w:beforeLines="20" w:before="48" w:afterLines="20" w:after="48" w:line="257" w:lineRule="auto"/>
              <w:rPr>
                <w:lang w:eastAsia="en-US"/>
              </w:rPr>
            </w:pPr>
            <w:r>
              <w:rPr>
                <w:lang w:eastAsia="en-US"/>
              </w:rPr>
              <w:t>Regulation No. 45</w:t>
            </w:r>
          </w:p>
        </w:tc>
        <w:tc>
          <w:tcPr>
            <w:tcW w:w="1853" w:type="dxa"/>
            <w:tcBorders>
              <w:top w:val="single" w:sz="4" w:space="0" w:color="000000"/>
              <w:left w:val="single" w:sz="4" w:space="0" w:color="000000"/>
              <w:bottom w:val="single" w:sz="4" w:space="0" w:color="000000"/>
              <w:right w:val="single" w:sz="4" w:space="0" w:color="000000"/>
            </w:tcBorders>
            <w:hideMark/>
          </w:tcPr>
          <w:p w14:paraId="6CF4050E" w14:textId="77777777" w:rsidR="00DC4483" w:rsidRDefault="00DC4483" w:rsidP="004F72EF">
            <w:pPr>
              <w:spacing w:beforeLines="20" w:before="48" w:afterLines="20" w:after="48" w:line="257" w:lineRule="auto"/>
              <w:rPr>
                <w:lang w:eastAsia="en-US"/>
              </w:rPr>
            </w:pPr>
            <w:r>
              <w:rPr>
                <w:lang w:eastAsia="en-US"/>
              </w:rPr>
              <w:t>75/00</w:t>
            </w:r>
          </w:p>
        </w:tc>
      </w:tr>
      <w:tr w:rsidR="00DC4483" w14:paraId="716919E0"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193FE554" w14:textId="77777777" w:rsidR="00DC4483" w:rsidRDefault="00DC4483" w:rsidP="004F72EF">
            <w:pPr>
              <w:spacing w:beforeLines="20" w:before="48" w:afterLines="20" w:after="48" w:line="257" w:lineRule="auto"/>
              <w:rPr>
                <w:lang w:eastAsia="en-US"/>
              </w:rPr>
            </w:pPr>
            <w:r>
              <w:rPr>
                <w:lang w:eastAsia="en-US"/>
              </w:rPr>
              <w:t>6.3.</w:t>
            </w:r>
          </w:p>
        </w:tc>
        <w:tc>
          <w:tcPr>
            <w:tcW w:w="2903" w:type="dxa"/>
            <w:tcBorders>
              <w:top w:val="single" w:sz="4" w:space="0" w:color="000000"/>
              <w:left w:val="single" w:sz="4" w:space="0" w:color="000000"/>
              <w:bottom w:val="single" w:sz="4" w:space="0" w:color="000000"/>
              <w:right w:val="single" w:sz="4" w:space="0" w:color="000000"/>
            </w:tcBorders>
            <w:hideMark/>
          </w:tcPr>
          <w:p w14:paraId="434D839C" w14:textId="77777777" w:rsidR="00DC4483" w:rsidRDefault="00DC4483" w:rsidP="004F72EF">
            <w:pPr>
              <w:spacing w:beforeLines="20" w:before="48" w:afterLines="20" w:after="48" w:line="257" w:lineRule="auto"/>
              <w:rPr>
                <w:lang w:eastAsia="en-US"/>
              </w:rPr>
            </w:pPr>
            <w:r>
              <w:rPr>
                <w:lang w:eastAsia="en-US"/>
              </w:rPr>
              <w:t>Front Fog Lamps</w:t>
            </w:r>
          </w:p>
        </w:tc>
        <w:tc>
          <w:tcPr>
            <w:tcW w:w="2638" w:type="dxa"/>
            <w:tcBorders>
              <w:top w:val="single" w:sz="4" w:space="0" w:color="000000"/>
              <w:left w:val="single" w:sz="4" w:space="0" w:color="000000"/>
              <w:bottom w:val="single" w:sz="4" w:space="0" w:color="000000"/>
              <w:right w:val="single" w:sz="4" w:space="0" w:color="000000"/>
            </w:tcBorders>
            <w:hideMark/>
          </w:tcPr>
          <w:p w14:paraId="0FBEC513" w14:textId="77777777" w:rsidR="00DC4483" w:rsidRDefault="00DC4483" w:rsidP="004F72EF">
            <w:pPr>
              <w:spacing w:beforeLines="20" w:before="48" w:afterLines="20" w:after="48" w:line="257" w:lineRule="auto"/>
              <w:rPr>
                <w:lang w:eastAsia="en-US"/>
              </w:rPr>
            </w:pPr>
            <w:r>
              <w:rPr>
                <w:lang w:eastAsia="en-US"/>
              </w:rPr>
              <w:t>Regulation No. 19</w:t>
            </w:r>
          </w:p>
        </w:tc>
        <w:tc>
          <w:tcPr>
            <w:tcW w:w="1853" w:type="dxa"/>
            <w:tcBorders>
              <w:top w:val="single" w:sz="4" w:space="0" w:color="000000"/>
              <w:left w:val="single" w:sz="4" w:space="0" w:color="000000"/>
              <w:bottom w:val="single" w:sz="4" w:space="0" w:color="000000"/>
              <w:right w:val="single" w:sz="4" w:space="0" w:color="000000"/>
            </w:tcBorders>
            <w:hideMark/>
          </w:tcPr>
          <w:p w14:paraId="249B35BB" w14:textId="77777777" w:rsidR="00DC4483" w:rsidRDefault="003C013E" w:rsidP="004F72EF">
            <w:pPr>
              <w:spacing w:beforeLines="20" w:before="48" w:afterLines="20" w:after="48" w:line="257" w:lineRule="auto"/>
              <w:rPr>
                <w:lang w:eastAsia="en-US"/>
              </w:rPr>
            </w:pPr>
            <w:r>
              <w:t>50/00 and 103/00</w:t>
            </w:r>
          </w:p>
        </w:tc>
      </w:tr>
      <w:tr w:rsidR="00DC4483" w14:paraId="1E2D4953"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6812A97F" w14:textId="77777777" w:rsidR="00DC4483" w:rsidRDefault="00DC4483" w:rsidP="004F72EF">
            <w:pPr>
              <w:spacing w:beforeLines="20" w:before="48" w:afterLines="20" w:after="48" w:line="257" w:lineRule="auto"/>
              <w:rPr>
                <w:lang w:eastAsia="en-US"/>
              </w:rPr>
            </w:pPr>
            <w:r>
              <w:rPr>
                <w:lang w:eastAsia="en-US"/>
              </w:rPr>
              <w:t>6.4.</w:t>
            </w:r>
          </w:p>
        </w:tc>
        <w:tc>
          <w:tcPr>
            <w:tcW w:w="2903" w:type="dxa"/>
            <w:tcBorders>
              <w:top w:val="single" w:sz="4" w:space="0" w:color="000000"/>
              <w:left w:val="single" w:sz="4" w:space="0" w:color="000000"/>
              <w:bottom w:val="single" w:sz="4" w:space="0" w:color="000000"/>
              <w:right w:val="single" w:sz="4" w:space="0" w:color="000000"/>
            </w:tcBorders>
            <w:hideMark/>
          </w:tcPr>
          <w:p w14:paraId="2EFD688C" w14:textId="77777777" w:rsidR="00DC4483" w:rsidRDefault="00DC4483" w:rsidP="004F72EF">
            <w:pPr>
              <w:spacing w:beforeLines="20" w:before="48" w:afterLines="20" w:after="48" w:line="257" w:lineRule="auto"/>
              <w:rPr>
                <w:lang w:eastAsia="en-US"/>
              </w:rPr>
            </w:pPr>
            <w:r>
              <w:rPr>
                <w:lang w:eastAsia="en-US"/>
              </w:rPr>
              <w:t>Reversing Lamp</w:t>
            </w:r>
          </w:p>
        </w:tc>
        <w:tc>
          <w:tcPr>
            <w:tcW w:w="2638" w:type="dxa"/>
            <w:tcBorders>
              <w:top w:val="single" w:sz="4" w:space="0" w:color="000000"/>
              <w:left w:val="single" w:sz="4" w:space="0" w:color="000000"/>
              <w:bottom w:val="single" w:sz="4" w:space="0" w:color="000000"/>
              <w:right w:val="single" w:sz="4" w:space="0" w:color="000000"/>
            </w:tcBorders>
            <w:hideMark/>
          </w:tcPr>
          <w:p w14:paraId="4AA07C8E" w14:textId="77777777" w:rsidR="00DC4483" w:rsidRDefault="00DC4483" w:rsidP="004F72EF">
            <w:pPr>
              <w:spacing w:beforeLines="20" w:before="48" w:afterLines="20" w:after="48" w:line="257" w:lineRule="auto"/>
              <w:rPr>
                <w:lang w:eastAsia="en-US"/>
              </w:rPr>
            </w:pPr>
            <w:r>
              <w:rPr>
                <w:lang w:eastAsia="en-US"/>
              </w:rPr>
              <w:t>Regulation No. 23</w:t>
            </w:r>
          </w:p>
        </w:tc>
        <w:tc>
          <w:tcPr>
            <w:tcW w:w="1853" w:type="dxa"/>
            <w:tcBorders>
              <w:top w:val="single" w:sz="4" w:space="0" w:color="000000"/>
              <w:left w:val="single" w:sz="4" w:space="0" w:color="000000"/>
              <w:bottom w:val="single" w:sz="4" w:space="0" w:color="000000"/>
              <w:right w:val="single" w:sz="4" w:space="0" w:color="000000"/>
            </w:tcBorders>
            <w:hideMark/>
          </w:tcPr>
          <w:p w14:paraId="09D7282F" w14:textId="77777777" w:rsidR="00DC4483" w:rsidRDefault="003C013E" w:rsidP="004F72EF">
            <w:pPr>
              <w:spacing w:beforeLines="20" w:before="48" w:afterLines="20" w:after="48" w:line="257" w:lineRule="auto"/>
              <w:rPr>
                <w:lang w:eastAsia="en-US"/>
              </w:rPr>
            </w:pPr>
            <w:r>
              <w:t>1/00 and 102/00</w:t>
            </w:r>
          </w:p>
        </w:tc>
      </w:tr>
      <w:tr w:rsidR="00DC4483" w14:paraId="44B37D14"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4A62BC1C" w14:textId="77777777" w:rsidR="00DC4483" w:rsidRDefault="00DC4483" w:rsidP="004F72EF">
            <w:pPr>
              <w:spacing w:beforeLines="20" w:before="48" w:afterLines="20" w:after="48" w:line="257" w:lineRule="auto"/>
              <w:rPr>
                <w:lang w:eastAsia="en-US"/>
              </w:rPr>
            </w:pPr>
            <w:r>
              <w:rPr>
                <w:lang w:eastAsia="en-US"/>
              </w:rPr>
              <w:t>6.5.</w:t>
            </w:r>
          </w:p>
        </w:tc>
        <w:tc>
          <w:tcPr>
            <w:tcW w:w="2903" w:type="dxa"/>
            <w:tcBorders>
              <w:top w:val="single" w:sz="4" w:space="0" w:color="000000"/>
              <w:left w:val="single" w:sz="4" w:space="0" w:color="000000"/>
              <w:bottom w:val="single" w:sz="4" w:space="0" w:color="000000"/>
              <w:right w:val="single" w:sz="4" w:space="0" w:color="000000"/>
            </w:tcBorders>
            <w:hideMark/>
          </w:tcPr>
          <w:p w14:paraId="48D75889" w14:textId="77777777" w:rsidR="00DC4483" w:rsidRDefault="00DC4483" w:rsidP="004F72EF">
            <w:pPr>
              <w:spacing w:beforeLines="20" w:before="48" w:afterLines="20" w:after="48" w:line="257" w:lineRule="auto"/>
              <w:rPr>
                <w:lang w:eastAsia="en-US"/>
              </w:rPr>
            </w:pPr>
            <w:r>
              <w:rPr>
                <w:lang w:eastAsia="en-US"/>
              </w:rPr>
              <w:t>Direction Indicator Lamp</w:t>
            </w:r>
          </w:p>
        </w:tc>
        <w:tc>
          <w:tcPr>
            <w:tcW w:w="2638" w:type="dxa"/>
            <w:tcBorders>
              <w:top w:val="single" w:sz="4" w:space="0" w:color="000000"/>
              <w:left w:val="single" w:sz="4" w:space="0" w:color="000000"/>
              <w:bottom w:val="single" w:sz="4" w:space="0" w:color="000000"/>
              <w:right w:val="single" w:sz="4" w:space="0" w:color="000000"/>
            </w:tcBorders>
            <w:hideMark/>
          </w:tcPr>
          <w:p w14:paraId="086C5BDC" w14:textId="77777777" w:rsidR="00DC4483" w:rsidRDefault="00DC4483" w:rsidP="004F72EF">
            <w:pPr>
              <w:spacing w:beforeLines="20" w:before="48" w:afterLines="20" w:after="48" w:line="257" w:lineRule="auto"/>
              <w:rPr>
                <w:lang w:eastAsia="en-US"/>
              </w:rPr>
            </w:pPr>
            <w:r>
              <w:rPr>
                <w:lang w:eastAsia="en-US"/>
              </w:rPr>
              <w:t>Regulation No. 6</w:t>
            </w:r>
          </w:p>
        </w:tc>
        <w:tc>
          <w:tcPr>
            <w:tcW w:w="1853" w:type="dxa"/>
            <w:tcBorders>
              <w:top w:val="single" w:sz="4" w:space="0" w:color="000000"/>
              <w:left w:val="single" w:sz="4" w:space="0" w:color="000000"/>
              <w:bottom w:val="single" w:sz="4" w:space="0" w:color="000000"/>
              <w:right w:val="single" w:sz="4" w:space="0" w:color="000000"/>
            </w:tcBorders>
            <w:hideMark/>
          </w:tcPr>
          <w:p w14:paraId="400CC377" w14:textId="77777777" w:rsidR="00DC4483" w:rsidRDefault="003C013E" w:rsidP="004F72EF">
            <w:pPr>
              <w:spacing w:beforeLines="20" w:before="48" w:afterLines="20" w:after="48" w:line="257" w:lineRule="auto"/>
              <w:rPr>
                <w:lang w:eastAsia="en-US"/>
              </w:rPr>
            </w:pPr>
            <w:r>
              <w:t>6/00 and 102/00</w:t>
            </w:r>
          </w:p>
        </w:tc>
      </w:tr>
      <w:tr w:rsidR="00DC4483" w14:paraId="1050FA5D"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34D241BB" w14:textId="77777777" w:rsidR="00DC4483" w:rsidRDefault="00DC4483" w:rsidP="004F72EF">
            <w:pPr>
              <w:spacing w:beforeLines="20" w:before="48" w:afterLines="20" w:after="48" w:line="257" w:lineRule="auto"/>
              <w:rPr>
                <w:lang w:eastAsia="en-US"/>
              </w:rPr>
            </w:pPr>
            <w:r>
              <w:rPr>
                <w:lang w:eastAsia="en-US"/>
              </w:rPr>
              <w:t>6.7.</w:t>
            </w:r>
          </w:p>
        </w:tc>
        <w:tc>
          <w:tcPr>
            <w:tcW w:w="2903" w:type="dxa"/>
            <w:tcBorders>
              <w:top w:val="single" w:sz="4" w:space="0" w:color="000000"/>
              <w:left w:val="single" w:sz="4" w:space="0" w:color="000000"/>
              <w:bottom w:val="single" w:sz="4" w:space="0" w:color="000000"/>
              <w:right w:val="single" w:sz="4" w:space="0" w:color="000000"/>
            </w:tcBorders>
            <w:hideMark/>
          </w:tcPr>
          <w:p w14:paraId="01307822" w14:textId="77777777" w:rsidR="00DC4483" w:rsidRDefault="00DC4483" w:rsidP="004F72EF">
            <w:pPr>
              <w:spacing w:beforeLines="20" w:before="48" w:afterLines="20" w:after="48" w:line="257" w:lineRule="auto"/>
              <w:rPr>
                <w:lang w:eastAsia="en-US"/>
              </w:rPr>
            </w:pPr>
            <w:r>
              <w:rPr>
                <w:lang w:eastAsia="en-US"/>
              </w:rPr>
              <w:t>Stop Lamp</w:t>
            </w:r>
          </w:p>
        </w:tc>
        <w:tc>
          <w:tcPr>
            <w:tcW w:w="2638" w:type="dxa"/>
            <w:tcBorders>
              <w:top w:val="single" w:sz="4" w:space="0" w:color="000000"/>
              <w:left w:val="single" w:sz="4" w:space="0" w:color="000000"/>
              <w:bottom w:val="single" w:sz="4" w:space="0" w:color="000000"/>
              <w:right w:val="single" w:sz="4" w:space="0" w:color="000000"/>
            </w:tcBorders>
            <w:hideMark/>
          </w:tcPr>
          <w:p w14:paraId="3B7D519F" w14:textId="77777777" w:rsidR="00DC4483" w:rsidRDefault="00DC4483" w:rsidP="004F72EF">
            <w:pPr>
              <w:spacing w:beforeLines="20" w:before="48" w:afterLines="20" w:after="48" w:line="257" w:lineRule="auto"/>
              <w:rPr>
                <w:lang w:eastAsia="en-US"/>
              </w:rPr>
            </w:pPr>
            <w:r>
              <w:rPr>
                <w:lang w:eastAsia="en-US"/>
              </w:rPr>
              <w:t>Regulation No. 7</w:t>
            </w:r>
          </w:p>
        </w:tc>
        <w:tc>
          <w:tcPr>
            <w:tcW w:w="1853" w:type="dxa"/>
            <w:tcBorders>
              <w:top w:val="single" w:sz="4" w:space="0" w:color="000000"/>
              <w:left w:val="single" w:sz="4" w:space="0" w:color="000000"/>
              <w:bottom w:val="single" w:sz="4" w:space="0" w:color="000000"/>
              <w:right w:val="single" w:sz="4" w:space="0" w:color="000000"/>
            </w:tcBorders>
            <w:hideMark/>
          </w:tcPr>
          <w:p w14:paraId="51B10D1D" w14:textId="77777777" w:rsidR="00DC4483" w:rsidRDefault="003C013E" w:rsidP="004F72EF">
            <w:pPr>
              <w:spacing w:beforeLines="20" w:before="48" w:afterLines="20" w:after="48" w:line="257" w:lineRule="auto"/>
              <w:rPr>
                <w:lang w:eastAsia="en-US"/>
              </w:rPr>
            </w:pPr>
            <w:r>
              <w:t>49/00 and 102/00</w:t>
            </w:r>
          </w:p>
        </w:tc>
      </w:tr>
      <w:tr w:rsidR="00DC4483" w14:paraId="5044A23E"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0DA179AF" w14:textId="77777777" w:rsidR="00DC4483" w:rsidRDefault="00DC4483" w:rsidP="004F72EF">
            <w:pPr>
              <w:spacing w:beforeLines="20" w:before="48" w:afterLines="20" w:after="48" w:line="257" w:lineRule="auto"/>
              <w:rPr>
                <w:lang w:eastAsia="en-US"/>
              </w:rPr>
            </w:pPr>
            <w:r>
              <w:rPr>
                <w:lang w:eastAsia="en-US"/>
              </w:rPr>
              <w:t>6.8.</w:t>
            </w:r>
          </w:p>
        </w:tc>
        <w:tc>
          <w:tcPr>
            <w:tcW w:w="2903" w:type="dxa"/>
            <w:tcBorders>
              <w:top w:val="single" w:sz="4" w:space="0" w:color="000000"/>
              <w:left w:val="single" w:sz="4" w:space="0" w:color="000000"/>
              <w:bottom w:val="single" w:sz="4" w:space="0" w:color="000000"/>
              <w:right w:val="single" w:sz="4" w:space="0" w:color="000000"/>
            </w:tcBorders>
            <w:hideMark/>
          </w:tcPr>
          <w:p w14:paraId="06C5F563" w14:textId="77777777" w:rsidR="00DC4483" w:rsidRDefault="00DC4483" w:rsidP="004F72EF">
            <w:pPr>
              <w:spacing w:beforeLines="20" w:before="48" w:afterLines="20" w:after="48" w:line="257" w:lineRule="auto"/>
              <w:rPr>
                <w:lang w:eastAsia="en-US"/>
              </w:rPr>
            </w:pPr>
            <w:r>
              <w:rPr>
                <w:lang w:eastAsia="en-US"/>
              </w:rPr>
              <w:t>Rear Registration Plate Lamp</w:t>
            </w:r>
          </w:p>
        </w:tc>
        <w:tc>
          <w:tcPr>
            <w:tcW w:w="2638" w:type="dxa"/>
            <w:tcBorders>
              <w:top w:val="single" w:sz="4" w:space="0" w:color="000000"/>
              <w:left w:val="single" w:sz="4" w:space="0" w:color="000000"/>
              <w:bottom w:val="single" w:sz="4" w:space="0" w:color="000000"/>
              <w:right w:val="single" w:sz="4" w:space="0" w:color="000000"/>
            </w:tcBorders>
            <w:hideMark/>
          </w:tcPr>
          <w:p w14:paraId="73637D07" w14:textId="77777777" w:rsidR="00DC4483" w:rsidRDefault="00DC4483" w:rsidP="004F72EF">
            <w:pPr>
              <w:spacing w:beforeLines="20" w:before="48" w:afterLines="20" w:after="48" w:line="257" w:lineRule="auto"/>
              <w:rPr>
                <w:lang w:eastAsia="en-US"/>
              </w:rPr>
            </w:pPr>
            <w:r>
              <w:rPr>
                <w:lang w:eastAsia="en-US"/>
              </w:rPr>
              <w:t>Regulation No. 4</w:t>
            </w:r>
          </w:p>
        </w:tc>
        <w:tc>
          <w:tcPr>
            <w:tcW w:w="1853" w:type="dxa"/>
            <w:tcBorders>
              <w:top w:val="single" w:sz="4" w:space="0" w:color="000000"/>
              <w:left w:val="single" w:sz="4" w:space="0" w:color="000000"/>
              <w:bottom w:val="single" w:sz="4" w:space="0" w:color="000000"/>
              <w:right w:val="single" w:sz="4" w:space="0" w:color="000000"/>
            </w:tcBorders>
            <w:hideMark/>
          </w:tcPr>
          <w:p w14:paraId="4AC059DF" w14:textId="77777777" w:rsidR="00DC4483" w:rsidRDefault="003C013E" w:rsidP="004F72EF">
            <w:pPr>
              <w:spacing w:beforeLines="20" w:before="48" w:afterLines="20" w:after="48" w:line="257" w:lineRule="auto"/>
              <w:rPr>
                <w:lang w:eastAsia="en-US"/>
              </w:rPr>
            </w:pPr>
            <w:r>
              <w:t>48/00 and 102/00</w:t>
            </w:r>
          </w:p>
        </w:tc>
      </w:tr>
      <w:tr w:rsidR="00DC4483" w14:paraId="150A2B3D"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74110361" w14:textId="77777777" w:rsidR="00DC4483" w:rsidRDefault="00DC4483" w:rsidP="004F72EF">
            <w:pPr>
              <w:spacing w:beforeLines="20" w:before="48" w:afterLines="20" w:after="48" w:line="257" w:lineRule="auto"/>
              <w:rPr>
                <w:lang w:eastAsia="en-US"/>
              </w:rPr>
            </w:pPr>
            <w:r>
              <w:rPr>
                <w:lang w:eastAsia="en-US"/>
              </w:rPr>
              <w:t>6.9.</w:t>
            </w:r>
          </w:p>
        </w:tc>
        <w:tc>
          <w:tcPr>
            <w:tcW w:w="2903" w:type="dxa"/>
            <w:tcBorders>
              <w:top w:val="single" w:sz="4" w:space="0" w:color="000000"/>
              <w:left w:val="single" w:sz="4" w:space="0" w:color="000000"/>
              <w:bottom w:val="single" w:sz="4" w:space="0" w:color="000000"/>
              <w:right w:val="single" w:sz="4" w:space="0" w:color="000000"/>
            </w:tcBorders>
            <w:hideMark/>
          </w:tcPr>
          <w:p w14:paraId="4BBB9ECB" w14:textId="77777777" w:rsidR="00DC4483" w:rsidRDefault="00DC4483" w:rsidP="004F72EF">
            <w:pPr>
              <w:spacing w:beforeLines="20" w:before="48" w:afterLines="20" w:after="48" w:line="257" w:lineRule="auto"/>
              <w:rPr>
                <w:lang w:eastAsia="en-US"/>
              </w:rPr>
            </w:pPr>
            <w:r>
              <w:rPr>
                <w:lang w:eastAsia="en-US"/>
              </w:rPr>
              <w:t>Front Position Lamp</w:t>
            </w:r>
          </w:p>
        </w:tc>
        <w:tc>
          <w:tcPr>
            <w:tcW w:w="2638" w:type="dxa"/>
            <w:tcBorders>
              <w:top w:val="single" w:sz="4" w:space="0" w:color="000000"/>
              <w:left w:val="single" w:sz="4" w:space="0" w:color="000000"/>
              <w:bottom w:val="single" w:sz="4" w:space="0" w:color="000000"/>
              <w:right w:val="single" w:sz="4" w:space="0" w:color="000000"/>
            </w:tcBorders>
            <w:hideMark/>
          </w:tcPr>
          <w:p w14:paraId="77C7A3A4" w14:textId="77777777" w:rsidR="00DC4483" w:rsidRDefault="00DC4483" w:rsidP="004F72EF">
            <w:pPr>
              <w:spacing w:beforeLines="20" w:before="48" w:afterLines="20" w:after="48" w:line="257" w:lineRule="auto"/>
              <w:rPr>
                <w:lang w:eastAsia="en-US"/>
              </w:rPr>
            </w:pPr>
            <w:r>
              <w:rPr>
                <w:lang w:eastAsia="en-US"/>
              </w:rPr>
              <w:t>Regulation No. 7</w:t>
            </w:r>
          </w:p>
        </w:tc>
        <w:tc>
          <w:tcPr>
            <w:tcW w:w="1853" w:type="dxa"/>
            <w:tcBorders>
              <w:top w:val="single" w:sz="4" w:space="0" w:color="000000"/>
              <w:left w:val="single" w:sz="4" w:space="0" w:color="000000"/>
              <w:bottom w:val="single" w:sz="4" w:space="0" w:color="000000"/>
              <w:right w:val="single" w:sz="4" w:space="0" w:color="000000"/>
            </w:tcBorders>
            <w:hideMark/>
          </w:tcPr>
          <w:p w14:paraId="40DDB8DF" w14:textId="77777777" w:rsidR="00DC4483" w:rsidRDefault="003C013E" w:rsidP="004F72EF">
            <w:pPr>
              <w:spacing w:beforeLines="20" w:before="48" w:afterLines="20" w:after="48" w:line="257" w:lineRule="auto"/>
              <w:rPr>
                <w:lang w:eastAsia="en-US"/>
              </w:rPr>
            </w:pPr>
            <w:r>
              <w:t>49/00 and 102/00</w:t>
            </w:r>
          </w:p>
        </w:tc>
      </w:tr>
      <w:tr w:rsidR="00DC4483" w14:paraId="07C6F0DE"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42299009" w14:textId="77777777" w:rsidR="00DC4483" w:rsidRDefault="00DC4483" w:rsidP="004F72EF">
            <w:pPr>
              <w:spacing w:beforeLines="20" w:before="48" w:afterLines="20" w:after="48" w:line="257" w:lineRule="auto"/>
              <w:rPr>
                <w:lang w:eastAsia="en-US"/>
              </w:rPr>
            </w:pPr>
            <w:r>
              <w:rPr>
                <w:lang w:eastAsia="en-US"/>
              </w:rPr>
              <w:t>6.10.</w:t>
            </w:r>
          </w:p>
        </w:tc>
        <w:tc>
          <w:tcPr>
            <w:tcW w:w="2903" w:type="dxa"/>
            <w:tcBorders>
              <w:top w:val="single" w:sz="4" w:space="0" w:color="000000"/>
              <w:left w:val="single" w:sz="4" w:space="0" w:color="000000"/>
              <w:bottom w:val="single" w:sz="4" w:space="0" w:color="000000"/>
              <w:right w:val="single" w:sz="4" w:space="0" w:color="000000"/>
            </w:tcBorders>
            <w:hideMark/>
          </w:tcPr>
          <w:p w14:paraId="4F87910B" w14:textId="77777777" w:rsidR="00DC4483" w:rsidRDefault="00DC4483" w:rsidP="004F72EF">
            <w:pPr>
              <w:spacing w:beforeLines="20" w:before="48" w:afterLines="20" w:after="48" w:line="257" w:lineRule="auto"/>
              <w:rPr>
                <w:lang w:eastAsia="en-US"/>
              </w:rPr>
            </w:pPr>
            <w:r>
              <w:rPr>
                <w:lang w:eastAsia="en-US"/>
              </w:rPr>
              <w:t>Rear Position Lamp</w:t>
            </w:r>
          </w:p>
        </w:tc>
        <w:tc>
          <w:tcPr>
            <w:tcW w:w="2638" w:type="dxa"/>
            <w:tcBorders>
              <w:top w:val="single" w:sz="4" w:space="0" w:color="000000"/>
              <w:left w:val="single" w:sz="4" w:space="0" w:color="000000"/>
              <w:bottom w:val="single" w:sz="4" w:space="0" w:color="000000"/>
              <w:right w:val="single" w:sz="4" w:space="0" w:color="000000"/>
            </w:tcBorders>
            <w:hideMark/>
          </w:tcPr>
          <w:p w14:paraId="1ED442CB" w14:textId="77777777" w:rsidR="00DC4483" w:rsidRDefault="00DC4483" w:rsidP="004F72EF">
            <w:pPr>
              <w:spacing w:beforeLines="20" w:before="48" w:afterLines="20" w:after="48" w:line="257" w:lineRule="auto"/>
              <w:rPr>
                <w:lang w:eastAsia="en-US"/>
              </w:rPr>
            </w:pPr>
            <w:r>
              <w:rPr>
                <w:lang w:eastAsia="en-US"/>
              </w:rPr>
              <w:t>Regulation No. 7</w:t>
            </w:r>
          </w:p>
        </w:tc>
        <w:tc>
          <w:tcPr>
            <w:tcW w:w="1853" w:type="dxa"/>
            <w:tcBorders>
              <w:top w:val="single" w:sz="4" w:space="0" w:color="000000"/>
              <w:left w:val="single" w:sz="4" w:space="0" w:color="000000"/>
              <w:bottom w:val="single" w:sz="4" w:space="0" w:color="000000"/>
              <w:right w:val="single" w:sz="4" w:space="0" w:color="000000"/>
            </w:tcBorders>
            <w:hideMark/>
          </w:tcPr>
          <w:p w14:paraId="50131985" w14:textId="77777777" w:rsidR="00DC4483" w:rsidRDefault="003C013E" w:rsidP="004F72EF">
            <w:pPr>
              <w:spacing w:beforeLines="20" w:before="48" w:afterLines="20" w:after="48" w:line="257" w:lineRule="auto"/>
              <w:rPr>
                <w:lang w:eastAsia="en-US"/>
              </w:rPr>
            </w:pPr>
            <w:r>
              <w:t>49/00 and 102/00</w:t>
            </w:r>
          </w:p>
        </w:tc>
      </w:tr>
      <w:tr w:rsidR="00DC4483" w14:paraId="751ECF6D"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76131730" w14:textId="77777777" w:rsidR="00DC4483" w:rsidRDefault="00DC4483" w:rsidP="004F72EF">
            <w:pPr>
              <w:spacing w:beforeLines="20" w:before="48" w:afterLines="20" w:after="48" w:line="257" w:lineRule="auto"/>
              <w:rPr>
                <w:lang w:eastAsia="en-US"/>
              </w:rPr>
            </w:pPr>
            <w:r>
              <w:rPr>
                <w:lang w:eastAsia="en-US"/>
              </w:rPr>
              <w:t>6.11.</w:t>
            </w:r>
          </w:p>
        </w:tc>
        <w:tc>
          <w:tcPr>
            <w:tcW w:w="2903" w:type="dxa"/>
            <w:tcBorders>
              <w:top w:val="single" w:sz="4" w:space="0" w:color="000000"/>
              <w:left w:val="single" w:sz="4" w:space="0" w:color="000000"/>
              <w:bottom w:val="single" w:sz="4" w:space="0" w:color="000000"/>
              <w:right w:val="single" w:sz="4" w:space="0" w:color="000000"/>
            </w:tcBorders>
            <w:hideMark/>
          </w:tcPr>
          <w:p w14:paraId="556D8286" w14:textId="77777777" w:rsidR="00DC4483" w:rsidRDefault="00DC4483" w:rsidP="004F72EF">
            <w:pPr>
              <w:spacing w:beforeLines="20" w:before="48" w:afterLines="20" w:after="48" w:line="257" w:lineRule="auto"/>
              <w:rPr>
                <w:lang w:eastAsia="en-US"/>
              </w:rPr>
            </w:pPr>
            <w:r>
              <w:rPr>
                <w:lang w:eastAsia="en-US"/>
              </w:rPr>
              <w:t>Rear Fog Lamp</w:t>
            </w:r>
          </w:p>
        </w:tc>
        <w:tc>
          <w:tcPr>
            <w:tcW w:w="2638" w:type="dxa"/>
            <w:tcBorders>
              <w:top w:val="single" w:sz="4" w:space="0" w:color="000000"/>
              <w:left w:val="single" w:sz="4" w:space="0" w:color="000000"/>
              <w:bottom w:val="single" w:sz="4" w:space="0" w:color="000000"/>
              <w:right w:val="single" w:sz="4" w:space="0" w:color="000000"/>
            </w:tcBorders>
            <w:hideMark/>
          </w:tcPr>
          <w:p w14:paraId="653532B5" w14:textId="77777777" w:rsidR="00DC4483" w:rsidRDefault="00DC4483" w:rsidP="004F72EF">
            <w:pPr>
              <w:spacing w:beforeLines="20" w:before="48" w:afterLines="20" w:after="48" w:line="257" w:lineRule="auto"/>
              <w:rPr>
                <w:lang w:eastAsia="en-US"/>
              </w:rPr>
            </w:pPr>
            <w:r>
              <w:rPr>
                <w:lang w:eastAsia="en-US"/>
              </w:rPr>
              <w:t>Regulation No. 38</w:t>
            </w:r>
          </w:p>
        </w:tc>
        <w:tc>
          <w:tcPr>
            <w:tcW w:w="1853" w:type="dxa"/>
            <w:tcBorders>
              <w:top w:val="single" w:sz="4" w:space="0" w:color="000000"/>
              <w:left w:val="single" w:sz="4" w:space="0" w:color="000000"/>
              <w:bottom w:val="single" w:sz="4" w:space="0" w:color="000000"/>
              <w:right w:val="single" w:sz="4" w:space="0" w:color="000000"/>
            </w:tcBorders>
            <w:hideMark/>
          </w:tcPr>
          <w:p w14:paraId="44E73666" w14:textId="77777777" w:rsidR="00DC4483" w:rsidRDefault="003C013E" w:rsidP="004F72EF">
            <w:pPr>
              <w:spacing w:beforeLines="20" w:before="48" w:afterLines="20" w:after="48" w:line="257" w:lineRule="auto"/>
              <w:rPr>
                <w:lang w:eastAsia="en-US"/>
              </w:rPr>
            </w:pPr>
            <w:r>
              <w:t>52/00 and 102/00</w:t>
            </w:r>
          </w:p>
        </w:tc>
      </w:tr>
      <w:tr w:rsidR="00DC4483" w14:paraId="7EA72899"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3A0889C6" w14:textId="77777777" w:rsidR="00DC4483" w:rsidRDefault="00DC4483" w:rsidP="004F72EF">
            <w:pPr>
              <w:spacing w:beforeLines="20" w:before="48" w:afterLines="20" w:after="48" w:line="257" w:lineRule="auto"/>
              <w:rPr>
                <w:lang w:eastAsia="en-US"/>
              </w:rPr>
            </w:pPr>
            <w:r>
              <w:rPr>
                <w:lang w:eastAsia="en-US"/>
              </w:rPr>
              <w:t>6.12.</w:t>
            </w:r>
          </w:p>
        </w:tc>
        <w:tc>
          <w:tcPr>
            <w:tcW w:w="2903" w:type="dxa"/>
            <w:tcBorders>
              <w:top w:val="single" w:sz="4" w:space="0" w:color="000000"/>
              <w:left w:val="single" w:sz="4" w:space="0" w:color="000000"/>
              <w:bottom w:val="single" w:sz="4" w:space="0" w:color="000000"/>
              <w:right w:val="single" w:sz="4" w:space="0" w:color="000000"/>
            </w:tcBorders>
            <w:hideMark/>
          </w:tcPr>
          <w:p w14:paraId="749A5076" w14:textId="77777777" w:rsidR="00DC4483" w:rsidRDefault="00DC4483" w:rsidP="004F72EF">
            <w:pPr>
              <w:spacing w:beforeLines="20" w:before="48" w:afterLines="20" w:after="48" w:line="257" w:lineRule="auto"/>
              <w:rPr>
                <w:lang w:eastAsia="en-US"/>
              </w:rPr>
            </w:pPr>
            <w:r>
              <w:rPr>
                <w:lang w:eastAsia="en-US"/>
              </w:rPr>
              <w:t>Parking Lamp</w:t>
            </w:r>
          </w:p>
        </w:tc>
        <w:tc>
          <w:tcPr>
            <w:tcW w:w="2638" w:type="dxa"/>
            <w:tcBorders>
              <w:top w:val="single" w:sz="4" w:space="0" w:color="000000"/>
              <w:left w:val="single" w:sz="4" w:space="0" w:color="000000"/>
              <w:bottom w:val="single" w:sz="4" w:space="0" w:color="000000"/>
              <w:right w:val="single" w:sz="4" w:space="0" w:color="000000"/>
            </w:tcBorders>
            <w:hideMark/>
          </w:tcPr>
          <w:p w14:paraId="5F0DAF68" w14:textId="77777777" w:rsidR="00DC4483" w:rsidRDefault="00DC4483" w:rsidP="004F72EF">
            <w:pPr>
              <w:spacing w:beforeLines="20" w:before="48" w:afterLines="20" w:after="48" w:line="257" w:lineRule="auto"/>
              <w:rPr>
                <w:lang w:eastAsia="en-US"/>
              </w:rPr>
            </w:pPr>
            <w:r>
              <w:rPr>
                <w:lang w:eastAsia="en-US"/>
              </w:rPr>
              <w:t>Regulation No. 77 or 7</w:t>
            </w:r>
          </w:p>
        </w:tc>
        <w:tc>
          <w:tcPr>
            <w:tcW w:w="1853" w:type="dxa"/>
            <w:tcBorders>
              <w:top w:val="single" w:sz="4" w:space="0" w:color="000000"/>
              <w:left w:val="single" w:sz="4" w:space="0" w:color="000000"/>
              <w:bottom w:val="single" w:sz="4" w:space="0" w:color="000000"/>
              <w:right w:val="single" w:sz="4" w:space="0" w:color="000000"/>
            </w:tcBorders>
            <w:hideMark/>
          </w:tcPr>
          <w:p w14:paraId="2B0F2264" w14:textId="77777777" w:rsidR="00DC4483" w:rsidRDefault="003C013E" w:rsidP="004F72EF">
            <w:pPr>
              <w:spacing w:beforeLines="20" w:before="48" w:afterLines="20" w:after="48" w:line="257" w:lineRule="auto"/>
              <w:rPr>
                <w:lang w:eastAsia="en-US"/>
              </w:rPr>
            </w:pPr>
            <w:r>
              <w:t>86/00 and 102/00</w:t>
            </w:r>
          </w:p>
        </w:tc>
      </w:tr>
      <w:tr w:rsidR="00DC4483" w14:paraId="6EFA5539"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6DCD605A" w14:textId="77777777" w:rsidR="00DC4483" w:rsidRDefault="00DC4483" w:rsidP="004F72EF">
            <w:pPr>
              <w:pageBreakBefore/>
              <w:spacing w:beforeLines="20" w:before="48" w:afterLines="20" w:after="48" w:line="257" w:lineRule="auto"/>
              <w:rPr>
                <w:lang w:eastAsia="en-US"/>
              </w:rPr>
            </w:pPr>
            <w:r>
              <w:rPr>
                <w:lang w:eastAsia="en-US"/>
              </w:rPr>
              <w:lastRenderedPageBreak/>
              <w:t>6.13.</w:t>
            </w:r>
          </w:p>
        </w:tc>
        <w:tc>
          <w:tcPr>
            <w:tcW w:w="2903" w:type="dxa"/>
            <w:tcBorders>
              <w:top w:val="single" w:sz="4" w:space="0" w:color="000000"/>
              <w:left w:val="single" w:sz="4" w:space="0" w:color="000000"/>
              <w:bottom w:val="single" w:sz="4" w:space="0" w:color="000000"/>
              <w:right w:val="single" w:sz="4" w:space="0" w:color="000000"/>
            </w:tcBorders>
            <w:hideMark/>
          </w:tcPr>
          <w:p w14:paraId="7AF656C0" w14:textId="77777777" w:rsidR="00DC4483" w:rsidRDefault="00DC4483" w:rsidP="004F72EF">
            <w:pPr>
              <w:spacing w:beforeLines="20" w:before="48" w:afterLines="20" w:after="48" w:line="257" w:lineRule="auto"/>
              <w:rPr>
                <w:lang w:eastAsia="en-US"/>
              </w:rPr>
            </w:pPr>
            <w:r>
              <w:rPr>
                <w:lang w:eastAsia="en-US"/>
              </w:rPr>
              <w:t>End-Outline Marker Lamp</w:t>
            </w:r>
          </w:p>
        </w:tc>
        <w:tc>
          <w:tcPr>
            <w:tcW w:w="2638" w:type="dxa"/>
            <w:tcBorders>
              <w:top w:val="single" w:sz="4" w:space="0" w:color="000000"/>
              <w:left w:val="single" w:sz="4" w:space="0" w:color="000000"/>
              <w:bottom w:val="single" w:sz="4" w:space="0" w:color="000000"/>
              <w:right w:val="single" w:sz="4" w:space="0" w:color="000000"/>
            </w:tcBorders>
            <w:hideMark/>
          </w:tcPr>
          <w:p w14:paraId="576AFFE8" w14:textId="77777777" w:rsidR="00DC4483" w:rsidRDefault="00DC4483" w:rsidP="004F72EF">
            <w:pPr>
              <w:spacing w:beforeLines="20" w:before="48" w:afterLines="20" w:after="48" w:line="257" w:lineRule="auto"/>
              <w:rPr>
                <w:lang w:eastAsia="en-US"/>
              </w:rPr>
            </w:pPr>
            <w:r>
              <w:rPr>
                <w:lang w:eastAsia="en-US"/>
              </w:rPr>
              <w:t>Regulation No. 7</w:t>
            </w:r>
          </w:p>
        </w:tc>
        <w:tc>
          <w:tcPr>
            <w:tcW w:w="1853" w:type="dxa"/>
            <w:tcBorders>
              <w:top w:val="single" w:sz="4" w:space="0" w:color="000000"/>
              <w:left w:val="single" w:sz="4" w:space="0" w:color="000000"/>
              <w:bottom w:val="single" w:sz="4" w:space="0" w:color="000000"/>
              <w:right w:val="single" w:sz="4" w:space="0" w:color="000000"/>
            </w:tcBorders>
            <w:hideMark/>
          </w:tcPr>
          <w:p w14:paraId="3EE8405F" w14:textId="77777777" w:rsidR="00DC4483" w:rsidRDefault="003C013E" w:rsidP="004F72EF">
            <w:pPr>
              <w:spacing w:beforeLines="20" w:before="48" w:afterLines="20" w:after="48" w:line="257" w:lineRule="auto"/>
              <w:rPr>
                <w:lang w:eastAsia="en-US"/>
              </w:rPr>
            </w:pPr>
            <w:r>
              <w:t>49/00 and 102/00</w:t>
            </w:r>
          </w:p>
        </w:tc>
      </w:tr>
      <w:tr w:rsidR="00DC4483" w14:paraId="430279EF"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14A46E4F" w14:textId="77777777" w:rsidR="00DC4483" w:rsidRDefault="00DC4483" w:rsidP="004F72EF">
            <w:pPr>
              <w:spacing w:beforeLines="20" w:before="48" w:afterLines="20" w:after="48" w:line="257" w:lineRule="auto"/>
              <w:rPr>
                <w:lang w:eastAsia="en-US"/>
              </w:rPr>
            </w:pPr>
            <w:r>
              <w:rPr>
                <w:lang w:eastAsia="en-US"/>
              </w:rPr>
              <w:t>6.14.</w:t>
            </w:r>
          </w:p>
        </w:tc>
        <w:tc>
          <w:tcPr>
            <w:tcW w:w="2903" w:type="dxa"/>
            <w:tcBorders>
              <w:top w:val="single" w:sz="4" w:space="0" w:color="000000"/>
              <w:left w:val="single" w:sz="4" w:space="0" w:color="000000"/>
              <w:bottom w:val="single" w:sz="4" w:space="0" w:color="000000"/>
              <w:right w:val="single" w:sz="4" w:space="0" w:color="000000"/>
            </w:tcBorders>
            <w:hideMark/>
          </w:tcPr>
          <w:p w14:paraId="03289742" w14:textId="77777777" w:rsidR="00DC4483" w:rsidRDefault="00DC4483" w:rsidP="004F72EF">
            <w:pPr>
              <w:spacing w:beforeLines="20" w:before="48" w:afterLines="20" w:after="48" w:line="257" w:lineRule="auto"/>
              <w:rPr>
                <w:lang w:eastAsia="en-US"/>
              </w:rPr>
            </w:pPr>
            <w:r>
              <w:rPr>
                <w:lang w:eastAsia="en-US"/>
              </w:rPr>
              <w:t>Rear Retro-reflector, non-triangular</w:t>
            </w:r>
          </w:p>
        </w:tc>
        <w:tc>
          <w:tcPr>
            <w:tcW w:w="2638" w:type="dxa"/>
            <w:tcBorders>
              <w:top w:val="single" w:sz="4" w:space="0" w:color="000000"/>
              <w:left w:val="single" w:sz="4" w:space="0" w:color="000000"/>
              <w:bottom w:val="single" w:sz="4" w:space="0" w:color="000000"/>
              <w:right w:val="single" w:sz="4" w:space="0" w:color="000000"/>
            </w:tcBorders>
            <w:hideMark/>
          </w:tcPr>
          <w:p w14:paraId="473F6830" w14:textId="77777777" w:rsidR="00DC4483" w:rsidRDefault="00DC4483" w:rsidP="004F72EF">
            <w:pPr>
              <w:spacing w:beforeLines="20" w:before="48" w:afterLines="20" w:after="48" w:line="257" w:lineRule="auto"/>
              <w:rPr>
                <w:lang w:eastAsia="en-US"/>
              </w:rPr>
            </w:pPr>
            <w:r>
              <w:rPr>
                <w:lang w:eastAsia="en-US"/>
              </w:rPr>
              <w:t>Regulation No. 3</w:t>
            </w:r>
          </w:p>
        </w:tc>
        <w:tc>
          <w:tcPr>
            <w:tcW w:w="1853" w:type="dxa"/>
            <w:tcBorders>
              <w:top w:val="single" w:sz="4" w:space="0" w:color="000000"/>
              <w:left w:val="single" w:sz="4" w:space="0" w:color="000000"/>
              <w:bottom w:val="single" w:sz="4" w:space="0" w:color="000000"/>
              <w:right w:val="single" w:sz="4" w:space="0" w:color="000000"/>
            </w:tcBorders>
            <w:hideMark/>
          </w:tcPr>
          <w:p w14:paraId="668CCF88" w14:textId="77777777" w:rsidR="00DC4483" w:rsidRDefault="003C013E" w:rsidP="004F72EF">
            <w:pPr>
              <w:spacing w:beforeLines="20" w:before="48" w:afterLines="20" w:after="48" w:line="257" w:lineRule="auto"/>
              <w:rPr>
                <w:lang w:eastAsia="en-US"/>
              </w:rPr>
            </w:pPr>
            <w:r>
              <w:t>47/00 and 104/00</w:t>
            </w:r>
          </w:p>
        </w:tc>
      </w:tr>
      <w:tr w:rsidR="00DC4483" w14:paraId="3BB50EBC"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510CA462" w14:textId="77777777" w:rsidR="00DC4483" w:rsidRDefault="00DC4483" w:rsidP="004F72EF">
            <w:pPr>
              <w:spacing w:beforeLines="20" w:before="48" w:afterLines="20" w:after="48" w:line="257" w:lineRule="auto"/>
              <w:rPr>
                <w:lang w:eastAsia="en-US"/>
              </w:rPr>
            </w:pPr>
            <w:r>
              <w:rPr>
                <w:lang w:eastAsia="en-US"/>
              </w:rPr>
              <w:t>6.15.</w:t>
            </w:r>
          </w:p>
        </w:tc>
        <w:tc>
          <w:tcPr>
            <w:tcW w:w="2903" w:type="dxa"/>
            <w:tcBorders>
              <w:top w:val="single" w:sz="4" w:space="0" w:color="000000"/>
              <w:left w:val="single" w:sz="4" w:space="0" w:color="000000"/>
              <w:bottom w:val="single" w:sz="4" w:space="0" w:color="000000"/>
              <w:right w:val="single" w:sz="4" w:space="0" w:color="000000"/>
            </w:tcBorders>
            <w:hideMark/>
          </w:tcPr>
          <w:p w14:paraId="6D0B2648" w14:textId="77777777" w:rsidR="00DC4483" w:rsidRDefault="00DC4483" w:rsidP="004F72EF">
            <w:pPr>
              <w:spacing w:beforeLines="20" w:before="48" w:afterLines="20" w:after="48" w:line="257" w:lineRule="auto"/>
              <w:rPr>
                <w:lang w:eastAsia="en-US"/>
              </w:rPr>
            </w:pPr>
            <w:r>
              <w:rPr>
                <w:lang w:eastAsia="en-US"/>
              </w:rPr>
              <w:t>Rear Retro-reflector, triangular</w:t>
            </w:r>
          </w:p>
        </w:tc>
        <w:tc>
          <w:tcPr>
            <w:tcW w:w="2638" w:type="dxa"/>
            <w:tcBorders>
              <w:top w:val="single" w:sz="4" w:space="0" w:color="000000"/>
              <w:left w:val="single" w:sz="4" w:space="0" w:color="000000"/>
              <w:bottom w:val="single" w:sz="4" w:space="0" w:color="000000"/>
              <w:right w:val="single" w:sz="4" w:space="0" w:color="000000"/>
            </w:tcBorders>
            <w:hideMark/>
          </w:tcPr>
          <w:p w14:paraId="5FC87A76" w14:textId="77777777" w:rsidR="00DC4483" w:rsidRDefault="00DC4483" w:rsidP="004F72EF">
            <w:pPr>
              <w:spacing w:beforeLines="20" w:before="48" w:afterLines="20" w:after="48" w:line="257" w:lineRule="auto"/>
              <w:rPr>
                <w:lang w:eastAsia="en-US"/>
              </w:rPr>
            </w:pPr>
            <w:r>
              <w:rPr>
                <w:lang w:eastAsia="en-US"/>
              </w:rPr>
              <w:t>Regulation No. 3</w:t>
            </w:r>
          </w:p>
        </w:tc>
        <w:tc>
          <w:tcPr>
            <w:tcW w:w="1853" w:type="dxa"/>
            <w:tcBorders>
              <w:top w:val="single" w:sz="4" w:space="0" w:color="000000"/>
              <w:left w:val="single" w:sz="4" w:space="0" w:color="000000"/>
              <w:bottom w:val="single" w:sz="4" w:space="0" w:color="000000"/>
              <w:right w:val="single" w:sz="4" w:space="0" w:color="000000"/>
            </w:tcBorders>
            <w:hideMark/>
          </w:tcPr>
          <w:p w14:paraId="290EE6B2" w14:textId="77777777" w:rsidR="00DC4483" w:rsidRDefault="003C013E" w:rsidP="004F72EF">
            <w:pPr>
              <w:spacing w:beforeLines="20" w:before="48" w:afterLines="20" w:after="48" w:line="257" w:lineRule="auto"/>
              <w:rPr>
                <w:lang w:eastAsia="en-US"/>
              </w:rPr>
            </w:pPr>
            <w:r>
              <w:t>47/00 and 104/00</w:t>
            </w:r>
          </w:p>
        </w:tc>
      </w:tr>
      <w:tr w:rsidR="00DC4483" w14:paraId="08FA8CCA"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2C03147F" w14:textId="77777777" w:rsidR="00DC4483" w:rsidRDefault="00DC4483" w:rsidP="004F72EF">
            <w:pPr>
              <w:spacing w:beforeLines="20" w:before="48" w:afterLines="20" w:after="48" w:line="257" w:lineRule="auto"/>
              <w:rPr>
                <w:lang w:eastAsia="en-US"/>
              </w:rPr>
            </w:pPr>
            <w:r>
              <w:rPr>
                <w:lang w:eastAsia="en-US"/>
              </w:rPr>
              <w:t>6.16.</w:t>
            </w:r>
          </w:p>
        </w:tc>
        <w:tc>
          <w:tcPr>
            <w:tcW w:w="2903" w:type="dxa"/>
            <w:tcBorders>
              <w:top w:val="single" w:sz="4" w:space="0" w:color="000000"/>
              <w:left w:val="single" w:sz="4" w:space="0" w:color="000000"/>
              <w:bottom w:val="single" w:sz="4" w:space="0" w:color="000000"/>
              <w:right w:val="single" w:sz="4" w:space="0" w:color="000000"/>
            </w:tcBorders>
            <w:hideMark/>
          </w:tcPr>
          <w:p w14:paraId="0D360995" w14:textId="77777777" w:rsidR="00DC4483" w:rsidRDefault="00DC4483" w:rsidP="004F72EF">
            <w:pPr>
              <w:spacing w:beforeLines="20" w:before="48" w:afterLines="20" w:after="48" w:line="257" w:lineRule="auto"/>
              <w:rPr>
                <w:lang w:eastAsia="en-US"/>
              </w:rPr>
            </w:pPr>
            <w:r>
              <w:rPr>
                <w:lang w:eastAsia="en-US"/>
              </w:rPr>
              <w:t>Front Retro-reflector, non-triangular</w:t>
            </w:r>
          </w:p>
        </w:tc>
        <w:tc>
          <w:tcPr>
            <w:tcW w:w="2638" w:type="dxa"/>
            <w:tcBorders>
              <w:top w:val="single" w:sz="4" w:space="0" w:color="000000"/>
              <w:left w:val="single" w:sz="4" w:space="0" w:color="000000"/>
              <w:bottom w:val="single" w:sz="4" w:space="0" w:color="000000"/>
              <w:right w:val="single" w:sz="4" w:space="0" w:color="000000"/>
            </w:tcBorders>
            <w:hideMark/>
          </w:tcPr>
          <w:p w14:paraId="6D1A4A81" w14:textId="77777777" w:rsidR="00DC4483" w:rsidRDefault="00DC4483" w:rsidP="004F72EF">
            <w:pPr>
              <w:spacing w:beforeLines="20" w:before="48" w:afterLines="20" w:after="48" w:line="257" w:lineRule="auto"/>
              <w:rPr>
                <w:lang w:eastAsia="en-US"/>
              </w:rPr>
            </w:pPr>
            <w:r>
              <w:rPr>
                <w:lang w:eastAsia="en-US"/>
              </w:rPr>
              <w:t>Regulation No. 3</w:t>
            </w:r>
          </w:p>
        </w:tc>
        <w:tc>
          <w:tcPr>
            <w:tcW w:w="1853" w:type="dxa"/>
            <w:tcBorders>
              <w:top w:val="single" w:sz="4" w:space="0" w:color="000000"/>
              <w:left w:val="single" w:sz="4" w:space="0" w:color="000000"/>
              <w:bottom w:val="single" w:sz="4" w:space="0" w:color="000000"/>
              <w:right w:val="single" w:sz="4" w:space="0" w:color="000000"/>
            </w:tcBorders>
            <w:hideMark/>
          </w:tcPr>
          <w:p w14:paraId="24A92B9B" w14:textId="77777777" w:rsidR="00DC4483" w:rsidRDefault="003C013E" w:rsidP="004F72EF">
            <w:pPr>
              <w:spacing w:beforeLines="20" w:before="48" w:afterLines="20" w:after="48" w:line="257" w:lineRule="auto"/>
              <w:rPr>
                <w:lang w:eastAsia="en-US"/>
              </w:rPr>
            </w:pPr>
            <w:r>
              <w:t>47/00 and 104/00</w:t>
            </w:r>
          </w:p>
        </w:tc>
      </w:tr>
      <w:tr w:rsidR="00DC4483" w14:paraId="6651E716"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0EF7CCB2" w14:textId="77777777" w:rsidR="00DC4483" w:rsidRDefault="00DC4483" w:rsidP="004F72EF">
            <w:pPr>
              <w:spacing w:beforeLines="20" w:before="48" w:afterLines="20" w:after="48" w:line="257" w:lineRule="auto"/>
              <w:rPr>
                <w:lang w:eastAsia="en-US"/>
              </w:rPr>
            </w:pPr>
            <w:r>
              <w:rPr>
                <w:lang w:eastAsia="en-US"/>
              </w:rPr>
              <w:t>6.17.</w:t>
            </w:r>
          </w:p>
        </w:tc>
        <w:tc>
          <w:tcPr>
            <w:tcW w:w="2903" w:type="dxa"/>
            <w:tcBorders>
              <w:top w:val="single" w:sz="4" w:space="0" w:color="000000"/>
              <w:left w:val="single" w:sz="4" w:space="0" w:color="000000"/>
              <w:bottom w:val="single" w:sz="4" w:space="0" w:color="000000"/>
              <w:right w:val="single" w:sz="4" w:space="0" w:color="000000"/>
            </w:tcBorders>
            <w:hideMark/>
          </w:tcPr>
          <w:p w14:paraId="53747BB0" w14:textId="77777777" w:rsidR="00DC4483" w:rsidRDefault="00DC4483" w:rsidP="004F72EF">
            <w:pPr>
              <w:spacing w:beforeLines="20" w:before="48" w:afterLines="20" w:after="48" w:line="257" w:lineRule="auto"/>
              <w:rPr>
                <w:lang w:eastAsia="en-US"/>
              </w:rPr>
            </w:pPr>
            <w:r>
              <w:rPr>
                <w:lang w:eastAsia="en-US"/>
              </w:rPr>
              <w:t>Side Retro-reflector, non-triangular</w:t>
            </w:r>
          </w:p>
        </w:tc>
        <w:tc>
          <w:tcPr>
            <w:tcW w:w="2638" w:type="dxa"/>
            <w:tcBorders>
              <w:top w:val="single" w:sz="4" w:space="0" w:color="000000"/>
              <w:left w:val="single" w:sz="4" w:space="0" w:color="000000"/>
              <w:bottom w:val="single" w:sz="4" w:space="0" w:color="000000"/>
              <w:right w:val="single" w:sz="4" w:space="0" w:color="000000"/>
            </w:tcBorders>
            <w:hideMark/>
          </w:tcPr>
          <w:p w14:paraId="36BA0387" w14:textId="77777777" w:rsidR="00DC4483" w:rsidRDefault="00DC4483" w:rsidP="004F72EF">
            <w:pPr>
              <w:spacing w:beforeLines="20" w:before="48" w:afterLines="20" w:after="48" w:line="257" w:lineRule="auto"/>
              <w:rPr>
                <w:lang w:eastAsia="en-US"/>
              </w:rPr>
            </w:pPr>
            <w:r>
              <w:rPr>
                <w:lang w:eastAsia="en-US"/>
              </w:rPr>
              <w:t>Regulation No. 3</w:t>
            </w:r>
          </w:p>
        </w:tc>
        <w:tc>
          <w:tcPr>
            <w:tcW w:w="1853" w:type="dxa"/>
            <w:tcBorders>
              <w:top w:val="single" w:sz="4" w:space="0" w:color="000000"/>
              <w:left w:val="single" w:sz="4" w:space="0" w:color="000000"/>
              <w:bottom w:val="single" w:sz="4" w:space="0" w:color="000000"/>
              <w:right w:val="single" w:sz="4" w:space="0" w:color="000000"/>
            </w:tcBorders>
            <w:hideMark/>
          </w:tcPr>
          <w:p w14:paraId="19261DCC" w14:textId="77777777" w:rsidR="00DC4483" w:rsidRDefault="003C013E" w:rsidP="004F72EF">
            <w:pPr>
              <w:spacing w:beforeLines="20" w:before="48" w:afterLines="20" w:after="48" w:line="257" w:lineRule="auto"/>
              <w:rPr>
                <w:lang w:eastAsia="en-US"/>
              </w:rPr>
            </w:pPr>
            <w:r>
              <w:t>47/00 and 104/00</w:t>
            </w:r>
          </w:p>
        </w:tc>
      </w:tr>
      <w:tr w:rsidR="00DC4483" w14:paraId="2564B427"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6F1B17DF" w14:textId="77777777" w:rsidR="00DC4483" w:rsidRDefault="00DC4483" w:rsidP="004F72EF">
            <w:pPr>
              <w:spacing w:beforeLines="20" w:before="48" w:afterLines="20" w:after="48" w:line="257" w:lineRule="auto"/>
              <w:rPr>
                <w:lang w:eastAsia="en-US"/>
              </w:rPr>
            </w:pPr>
            <w:r>
              <w:rPr>
                <w:lang w:eastAsia="en-US"/>
              </w:rPr>
              <w:t>6.18.</w:t>
            </w:r>
          </w:p>
        </w:tc>
        <w:tc>
          <w:tcPr>
            <w:tcW w:w="2903" w:type="dxa"/>
            <w:tcBorders>
              <w:top w:val="single" w:sz="4" w:space="0" w:color="000000"/>
              <w:left w:val="single" w:sz="4" w:space="0" w:color="000000"/>
              <w:bottom w:val="single" w:sz="4" w:space="0" w:color="000000"/>
              <w:right w:val="single" w:sz="4" w:space="0" w:color="000000"/>
            </w:tcBorders>
            <w:hideMark/>
          </w:tcPr>
          <w:p w14:paraId="7D6FC0E4" w14:textId="77777777" w:rsidR="00DC4483" w:rsidRDefault="00DC4483" w:rsidP="004F72EF">
            <w:pPr>
              <w:spacing w:beforeLines="20" w:before="48" w:afterLines="20" w:after="48" w:line="257" w:lineRule="auto"/>
              <w:rPr>
                <w:lang w:eastAsia="en-US"/>
              </w:rPr>
            </w:pPr>
            <w:r>
              <w:rPr>
                <w:lang w:eastAsia="en-US"/>
              </w:rPr>
              <w:t>Side Marker Lamp</w:t>
            </w:r>
          </w:p>
        </w:tc>
        <w:tc>
          <w:tcPr>
            <w:tcW w:w="2638" w:type="dxa"/>
            <w:tcBorders>
              <w:top w:val="single" w:sz="4" w:space="0" w:color="000000"/>
              <w:left w:val="single" w:sz="4" w:space="0" w:color="000000"/>
              <w:bottom w:val="single" w:sz="4" w:space="0" w:color="000000"/>
              <w:right w:val="single" w:sz="4" w:space="0" w:color="000000"/>
            </w:tcBorders>
            <w:hideMark/>
          </w:tcPr>
          <w:p w14:paraId="4347E6D6" w14:textId="77777777" w:rsidR="00DC4483" w:rsidRDefault="00DC4483" w:rsidP="004F72EF">
            <w:pPr>
              <w:spacing w:beforeLines="20" w:before="48" w:afterLines="20" w:after="48" w:line="257" w:lineRule="auto"/>
              <w:rPr>
                <w:lang w:eastAsia="en-US"/>
              </w:rPr>
            </w:pPr>
            <w:r>
              <w:rPr>
                <w:lang w:eastAsia="en-US"/>
              </w:rPr>
              <w:t>Regulation No. 91</w:t>
            </w:r>
          </w:p>
        </w:tc>
        <w:tc>
          <w:tcPr>
            <w:tcW w:w="1853" w:type="dxa"/>
            <w:tcBorders>
              <w:top w:val="single" w:sz="4" w:space="0" w:color="000000"/>
              <w:left w:val="single" w:sz="4" w:space="0" w:color="000000"/>
              <w:bottom w:val="single" w:sz="4" w:space="0" w:color="000000"/>
              <w:right w:val="single" w:sz="4" w:space="0" w:color="000000"/>
            </w:tcBorders>
            <w:hideMark/>
          </w:tcPr>
          <w:p w14:paraId="386F6AE5" w14:textId="77777777" w:rsidR="00DC4483" w:rsidRDefault="003C013E" w:rsidP="004F72EF">
            <w:pPr>
              <w:spacing w:beforeLines="20" w:before="48" w:afterLines="20" w:after="48" w:line="257" w:lineRule="auto"/>
              <w:rPr>
                <w:lang w:eastAsia="en-US"/>
              </w:rPr>
            </w:pPr>
            <w:r>
              <w:t>74/00 and 102/00</w:t>
            </w:r>
          </w:p>
        </w:tc>
      </w:tr>
      <w:tr w:rsidR="00DC4483" w14:paraId="6C04D9AC"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235FF14B" w14:textId="77777777" w:rsidR="00DC4483" w:rsidRDefault="00DC4483" w:rsidP="004F72EF">
            <w:pPr>
              <w:spacing w:beforeLines="20" w:before="48" w:afterLines="20" w:after="48" w:line="257" w:lineRule="auto"/>
              <w:rPr>
                <w:lang w:eastAsia="en-US"/>
              </w:rPr>
            </w:pPr>
            <w:r>
              <w:rPr>
                <w:lang w:eastAsia="en-US"/>
              </w:rPr>
              <w:t>6.19.</w:t>
            </w:r>
          </w:p>
        </w:tc>
        <w:tc>
          <w:tcPr>
            <w:tcW w:w="2903" w:type="dxa"/>
            <w:tcBorders>
              <w:top w:val="single" w:sz="4" w:space="0" w:color="000000"/>
              <w:left w:val="single" w:sz="4" w:space="0" w:color="000000"/>
              <w:bottom w:val="single" w:sz="4" w:space="0" w:color="000000"/>
              <w:right w:val="single" w:sz="4" w:space="0" w:color="000000"/>
            </w:tcBorders>
            <w:hideMark/>
          </w:tcPr>
          <w:p w14:paraId="32B89BC5" w14:textId="77777777" w:rsidR="00DC4483" w:rsidRDefault="00DC4483" w:rsidP="004F72EF">
            <w:pPr>
              <w:spacing w:beforeLines="20" w:before="48" w:afterLines="20" w:after="48" w:line="257" w:lineRule="auto"/>
              <w:rPr>
                <w:lang w:eastAsia="en-US"/>
              </w:rPr>
            </w:pPr>
            <w:r>
              <w:rPr>
                <w:lang w:eastAsia="en-US"/>
              </w:rPr>
              <w:t>Daytime Running Lamp</w:t>
            </w:r>
          </w:p>
        </w:tc>
        <w:tc>
          <w:tcPr>
            <w:tcW w:w="2638" w:type="dxa"/>
            <w:tcBorders>
              <w:top w:val="single" w:sz="4" w:space="0" w:color="000000"/>
              <w:left w:val="single" w:sz="4" w:space="0" w:color="000000"/>
              <w:bottom w:val="single" w:sz="4" w:space="0" w:color="000000"/>
              <w:right w:val="single" w:sz="4" w:space="0" w:color="000000"/>
            </w:tcBorders>
            <w:hideMark/>
          </w:tcPr>
          <w:p w14:paraId="6F3CA004" w14:textId="77777777" w:rsidR="00DC4483" w:rsidRDefault="00DC4483" w:rsidP="004F72EF">
            <w:pPr>
              <w:spacing w:beforeLines="20" w:before="48" w:afterLines="20" w:after="48" w:line="257" w:lineRule="auto"/>
              <w:rPr>
                <w:lang w:eastAsia="en-US"/>
              </w:rPr>
            </w:pPr>
            <w:r>
              <w:rPr>
                <w:lang w:eastAsia="en-US"/>
              </w:rPr>
              <w:t>Regulation No. 87</w:t>
            </w:r>
          </w:p>
        </w:tc>
        <w:tc>
          <w:tcPr>
            <w:tcW w:w="1853" w:type="dxa"/>
            <w:tcBorders>
              <w:top w:val="single" w:sz="4" w:space="0" w:color="000000"/>
              <w:left w:val="single" w:sz="4" w:space="0" w:color="000000"/>
              <w:bottom w:val="single" w:sz="4" w:space="0" w:color="000000"/>
              <w:right w:val="single" w:sz="4" w:space="0" w:color="000000"/>
            </w:tcBorders>
            <w:hideMark/>
          </w:tcPr>
          <w:p w14:paraId="03D3B64A" w14:textId="77777777" w:rsidR="00DC4483" w:rsidRDefault="003C013E" w:rsidP="004F72EF">
            <w:pPr>
              <w:spacing w:beforeLines="20" w:before="48" w:afterLines="20" w:after="48" w:line="257" w:lineRule="auto"/>
              <w:rPr>
                <w:lang w:eastAsia="en-US"/>
              </w:rPr>
            </w:pPr>
            <w:r>
              <w:t>76/00 and 102/00</w:t>
            </w:r>
          </w:p>
        </w:tc>
      </w:tr>
      <w:tr w:rsidR="00DC4483" w14:paraId="5B65C8A9"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111F7C72" w14:textId="77777777" w:rsidR="00DC4483" w:rsidRDefault="00DC4483" w:rsidP="004F72EF">
            <w:pPr>
              <w:spacing w:beforeLines="20" w:before="48" w:afterLines="20" w:after="48" w:line="257" w:lineRule="auto"/>
              <w:rPr>
                <w:lang w:eastAsia="en-US"/>
              </w:rPr>
            </w:pPr>
            <w:r>
              <w:rPr>
                <w:lang w:eastAsia="en-US"/>
              </w:rPr>
              <w:t>6.20.</w:t>
            </w:r>
          </w:p>
        </w:tc>
        <w:tc>
          <w:tcPr>
            <w:tcW w:w="2903" w:type="dxa"/>
            <w:tcBorders>
              <w:top w:val="single" w:sz="4" w:space="0" w:color="000000"/>
              <w:left w:val="single" w:sz="4" w:space="0" w:color="000000"/>
              <w:bottom w:val="single" w:sz="4" w:space="0" w:color="000000"/>
              <w:right w:val="single" w:sz="4" w:space="0" w:color="000000"/>
            </w:tcBorders>
            <w:hideMark/>
          </w:tcPr>
          <w:p w14:paraId="7FF5D6AF" w14:textId="77777777" w:rsidR="00DC4483" w:rsidRDefault="00DC4483" w:rsidP="004F72EF">
            <w:pPr>
              <w:spacing w:beforeLines="20" w:before="48" w:afterLines="20" w:after="48" w:line="257" w:lineRule="auto"/>
              <w:rPr>
                <w:lang w:eastAsia="en-US"/>
              </w:rPr>
            </w:pPr>
            <w:r>
              <w:rPr>
                <w:lang w:eastAsia="en-US"/>
              </w:rPr>
              <w:t>Cornering Lamp</w:t>
            </w:r>
          </w:p>
        </w:tc>
        <w:tc>
          <w:tcPr>
            <w:tcW w:w="2638" w:type="dxa"/>
            <w:tcBorders>
              <w:top w:val="single" w:sz="4" w:space="0" w:color="000000"/>
              <w:left w:val="single" w:sz="4" w:space="0" w:color="000000"/>
              <w:bottom w:val="single" w:sz="4" w:space="0" w:color="000000"/>
              <w:right w:val="single" w:sz="4" w:space="0" w:color="000000"/>
            </w:tcBorders>
            <w:hideMark/>
          </w:tcPr>
          <w:p w14:paraId="1539FD66" w14:textId="77777777" w:rsidR="00DC4483" w:rsidRDefault="00DC4483" w:rsidP="004F72EF">
            <w:pPr>
              <w:spacing w:beforeLines="20" w:before="48" w:afterLines="20" w:after="48" w:line="257" w:lineRule="auto"/>
              <w:rPr>
                <w:lang w:eastAsia="en-US"/>
              </w:rPr>
            </w:pPr>
            <w:r>
              <w:rPr>
                <w:lang w:eastAsia="en-US"/>
              </w:rPr>
              <w:t>Regulation No. 119</w:t>
            </w:r>
          </w:p>
        </w:tc>
        <w:tc>
          <w:tcPr>
            <w:tcW w:w="1853" w:type="dxa"/>
            <w:tcBorders>
              <w:top w:val="single" w:sz="4" w:space="0" w:color="000000"/>
              <w:left w:val="single" w:sz="4" w:space="0" w:color="000000"/>
              <w:bottom w:val="single" w:sz="4" w:space="0" w:color="000000"/>
              <w:right w:val="single" w:sz="4" w:space="0" w:color="000000"/>
            </w:tcBorders>
            <w:hideMark/>
          </w:tcPr>
          <w:p w14:paraId="6CBAF56A" w14:textId="77777777" w:rsidR="00DC4483" w:rsidRDefault="003C013E" w:rsidP="004F72EF">
            <w:pPr>
              <w:spacing w:beforeLines="20" w:before="48" w:afterLines="20" w:after="48" w:line="257" w:lineRule="auto"/>
              <w:rPr>
                <w:lang w:eastAsia="en-US"/>
              </w:rPr>
            </w:pPr>
            <w:r>
              <w:t>87/00 and 103/00</w:t>
            </w:r>
          </w:p>
        </w:tc>
      </w:tr>
    </w:tbl>
    <w:p w14:paraId="4D3BA29A" w14:textId="7DC96080" w:rsidR="00093AE1" w:rsidRDefault="0068296F" w:rsidP="00F93AC4">
      <w:pPr>
        <w:pStyle w:val="Scheduleitem"/>
      </w:pPr>
      <w:r>
        <w:t>Insert a new clause 7.8 to read:</w:t>
      </w:r>
    </w:p>
    <w:p w14:paraId="3188003E" w14:textId="2FD96A16" w:rsidR="0068296F" w:rsidRDefault="0068296F" w:rsidP="00F93AC4">
      <w:pPr>
        <w:pStyle w:val="Scheduleitem"/>
        <w:numPr>
          <w:ilvl w:val="0"/>
          <w:numId w:val="0"/>
        </w:numPr>
        <w:ind w:left="1440" w:hanging="720"/>
      </w:pPr>
      <w:r>
        <w:t>7.8</w:t>
      </w:r>
      <w:r w:rsidR="00F93AC4">
        <w:tab/>
        <w:t>References to UN regulations for lighting components in the table below are to be read as references to the UN Regulations or the ADRs as set out in the table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shows the UN regulation numbers referenced in UN regulation 48 and its Corresponding ADR numbers "/>
      </w:tblPr>
      <w:tblGrid>
        <w:gridCol w:w="1323"/>
        <w:gridCol w:w="2808"/>
        <w:gridCol w:w="2545"/>
        <w:gridCol w:w="1818"/>
      </w:tblGrid>
      <w:tr w:rsidR="00F93AC4" w14:paraId="3DF14173"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7CF4F0C9" w14:textId="04C5FD60" w:rsidR="00F93AC4" w:rsidRDefault="00F93AC4" w:rsidP="0034720E">
            <w:pPr>
              <w:spacing w:beforeLines="20" w:before="48" w:afterLines="20" w:after="48" w:line="257" w:lineRule="auto"/>
              <w:rPr>
                <w:b/>
                <w:lang w:eastAsia="en-US"/>
              </w:rPr>
            </w:pPr>
            <w:r>
              <w:rPr>
                <w:b/>
                <w:lang w:eastAsia="en-US"/>
              </w:rPr>
              <w:t xml:space="preserve">UN R 48 </w:t>
            </w:r>
            <w:r w:rsidR="00AD058F">
              <w:rPr>
                <w:b/>
                <w:lang w:eastAsia="en-US"/>
              </w:rPr>
              <w:t>Paragraph</w:t>
            </w:r>
          </w:p>
        </w:tc>
        <w:tc>
          <w:tcPr>
            <w:tcW w:w="2903" w:type="dxa"/>
            <w:tcBorders>
              <w:top w:val="single" w:sz="4" w:space="0" w:color="000000"/>
              <w:left w:val="single" w:sz="4" w:space="0" w:color="000000"/>
              <w:bottom w:val="single" w:sz="4" w:space="0" w:color="000000"/>
              <w:right w:val="single" w:sz="4" w:space="0" w:color="000000"/>
            </w:tcBorders>
            <w:hideMark/>
          </w:tcPr>
          <w:p w14:paraId="5BC6488D" w14:textId="77777777" w:rsidR="00F93AC4" w:rsidRDefault="00F93AC4" w:rsidP="0034720E">
            <w:pPr>
              <w:keepNext/>
              <w:keepLines/>
              <w:spacing w:beforeLines="20" w:before="48" w:afterLines="20" w:after="48" w:line="256" w:lineRule="auto"/>
              <w:rPr>
                <w:b/>
                <w:lang w:eastAsia="en-US"/>
              </w:rPr>
            </w:pPr>
            <w:r>
              <w:rPr>
                <w:b/>
                <w:lang w:eastAsia="en-US"/>
              </w:rPr>
              <w:t>Title</w:t>
            </w:r>
          </w:p>
        </w:tc>
        <w:tc>
          <w:tcPr>
            <w:tcW w:w="2638" w:type="dxa"/>
            <w:tcBorders>
              <w:top w:val="single" w:sz="4" w:space="0" w:color="000000"/>
              <w:left w:val="single" w:sz="4" w:space="0" w:color="000000"/>
              <w:bottom w:val="single" w:sz="4" w:space="0" w:color="000000"/>
              <w:right w:val="single" w:sz="4" w:space="0" w:color="000000"/>
            </w:tcBorders>
            <w:hideMark/>
          </w:tcPr>
          <w:p w14:paraId="60DA3B09" w14:textId="77777777" w:rsidR="00F93AC4" w:rsidRDefault="00F93AC4" w:rsidP="0034720E">
            <w:pPr>
              <w:keepNext/>
              <w:keepLines/>
              <w:spacing w:beforeLines="20" w:before="48" w:afterLines="20" w:after="48" w:line="256" w:lineRule="auto"/>
              <w:rPr>
                <w:b/>
                <w:lang w:eastAsia="en-US"/>
              </w:rPr>
            </w:pPr>
            <w:r>
              <w:rPr>
                <w:b/>
                <w:lang w:eastAsia="en-US"/>
              </w:rPr>
              <w:t>UN R/s it references</w:t>
            </w:r>
          </w:p>
        </w:tc>
        <w:tc>
          <w:tcPr>
            <w:tcW w:w="1853" w:type="dxa"/>
            <w:tcBorders>
              <w:top w:val="single" w:sz="4" w:space="0" w:color="000000"/>
              <w:left w:val="single" w:sz="4" w:space="0" w:color="000000"/>
              <w:bottom w:val="single" w:sz="4" w:space="0" w:color="000000"/>
              <w:right w:val="single" w:sz="4" w:space="0" w:color="000000"/>
            </w:tcBorders>
            <w:hideMark/>
          </w:tcPr>
          <w:p w14:paraId="2F17C51A" w14:textId="77777777" w:rsidR="00F93AC4" w:rsidRDefault="00F93AC4" w:rsidP="0034720E">
            <w:pPr>
              <w:keepNext/>
              <w:keepLines/>
              <w:spacing w:beforeLines="20" w:before="48" w:afterLines="20" w:after="48" w:line="256" w:lineRule="auto"/>
              <w:rPr>
                <w:b/>
                <w:lang w:eastAsia="en-US"/>
              </w:rPr>
            </w:pPr>
            <w:r>
              <w:rPr>
                <w:b/>
                <w:lang w:eastAsia="en-US"/>
              </w:rPr>
              <w:t>Equivalent ADR/s</w:t>
            </w:r>
          </w:p>
        </w:tc>
      </w:tr>
      <w:tr w:rsidR="00F93AC4" w14:paraId="5EC099D3"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19297347" w14:textId="77777777" w:rsidR="00F93AC4" w:rsidRDefault="00F93AC4" w:rsidP="0034720E">
            <w:pPr>
              <w:spacing w:beforeLines="20" w:before="48" w:afterLines="20" w:after="48" w:line="257" w:lineRule="auto"/>
              <w:rPr>
                <w:lang w:eastAsia="en-US"/>
              </w:rPr>
            </w:pPr>
            <w:r>
              <w:rPr>
                <w:lang w:eastAsia="en-US"/>
              </w:rPr>
              <w:t>6.21.</w:t>
            </w:r>
          </w:p>
        </w:tc>
        <w:tc>
          <w:tcPr>
            <w:tcW w:w="2903" w:type="dxa"/>
            <w:tcBorders>
              <w:top w:val="single" w:sz="4" w:space="0" w:color="000000"/>
              <w:left w:val="single" w:sz="4" w:space="0" w:color="000000"/>
              <w:bottom w:val="single" w:sz="4" w:space="0" w:color="000000"/>
              <w:right w:val="single" w:sz="4" w:space="0" w:color="000000"/>
            </w:tcBorders>
            <w:hideMark/>
          </w:tcPr>
          <w:p w14:paraId="66383B6A" w14:textId="77777777" w:rsidR="00F93AC4" w:rsidRDefault="00F93AC4" w:rsidP="0034720E">
            <w:pPr>
              <w:spacing w:beforeLines="20" w:before="48" w:afterLines="20" w:after="48" w:line="257" w:lineRule="auto"/>
              <w:rPr>
                <w:lang w:eastAsia="en-US"/>
              </w:rPr>
            </w:pPr>
            <w:proofErr w:type="spellStart"/>
            <w:r>
              <w:rPr>
                <w:lang w:eastAsia="en-US"/>
              </w:rPr>
              <w:t>Conspicuity</w:t>
            </w:r>
            <w:proofErr w:type="spellEnd"/>
            <w:r>
              <w:rPr>
                <w:lang w:eastAsia="en-US"/>
              </w:rPr>
              <w:t xml:space="preserve"> Markings</w:t>
            </w:r>
          </w:p>
        </w:tc>
        <w:tc>
          <w:tcPr>
            <w:tcW w:w="2638" w:type="dxa"/>
            <w:tcBorders>
              <w:top w:val="single" w:sz="4" w:space="0" w:color="000000"/>
              <w:left w:val="single" w:sz="4" w:space="0" w:color="000000"/>
              <w:bottom w:val="single" w:sz="4" w:space="0" w:color="000000"/>
              <w:right w:val="single" w:sz="4" w:space="0" w:color="000000"/>
            </w:tcBorders>
            <w:hideMark/>
          </w:tcPr>
          <w:p w14:paraId="164C3C6F" w14:textId="77777777" w:rsidR="00F93AC4" w:rsidRDefault="00F93AC4" w:rsidP="0034720E">
            <w:pPr>
              <w:spacing w:beforeLines="20" w:before="48" w:afterLines="20" w:after="48" w:line="257" w:lineRule="auto"/>
              <w:rPr>
                <w:lang w:eastAsia="en-US"/>
              </w:rPr>
            </w:pPr>
            <w:r>
              <w:rPr>
                <w:lang w:eastAsia="en-US"/>
              </w:rPr>
              <w:t>Regulation No. 104</w:t>
            </w:r>
          </w:p>
        </w:tc>
        <w:tc>
          <w:tcPr>
            <w:tcW w:w="1853" w:type="dxa"/>
            <w:tcBorders>
              <w:top w:val="single" w:sz="4" w:space="0" w:color="000000"/>
              <w:left w:val="single" w:sz="4" w:space="0" w:color="000000"/>
              <w:bottom w:val="single" w:sz="4" w:space="0" w:color="000000"/>
              <w:right w:val="single" w:sz="4" w:space="0" w:color="000000"/>
            </w:tcBorders>
            <w:hideMark/>
          </w:tcPr>
          <w:p w14:paraId="05B72985" w14:textId="77777777" w:rsidR="00F93AC4" w:rsidRDefault="00F93AC4" w:rsidP="0034720E">
            <w:pPr>
              <w:spacing w:beforeLines="20" w:before="48" w:afterLines="20" w:after="48" w:line="257" w:lineRule="auto"/>
              <w:rPr>
                <w:lang w:eastAsia="en-US"/>
              </w:rPr>
            </w:pPr>
            <w:r>
              <w:t>104/00</w:t>
            </w:r>
          </w:p>
        </w:tc>
      </w:tr>
      <w:tr w:rsidR="00F93AC4" w14:paraId="7706353F"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1DDA0A92" w14:textId="77777777" w:rsidR="00F93AC4" w:rsidRDefault="00F93AC4" w:rsidP="0034720E">
            <w:pPr>
              <w:spacing w:beforeLines="20" w:before="48" w:afterLines="20" w:after="48" w:line="257" w:lineRule="auto"/>
              <w:rPr>
                <w:lang w:eastAsia="en-US"/>
              </w:rPr>
            </w:pPr>
            <w:r>
              <w:rPr>
                <w:lang w:eastAsia="en-US"/>
              </w:rPr>
              <w:t>6.22.</w:t>
            </w:r>
          </w:p>
        </w:tc>
        <w:tc>
          <w:tcPr>
            <w:tcW w:w="2903" w:type="dxa"/>
            <w:tcBorders>
              <w:top w:val="single" w:sz="4" w:space="0" w:color="000000"/>
              <w:left w:val="single" w:sz="4" w:space="0" w:color="000000"/>
              <w:bottom w:val="single" w:sz="4" w:space="0" w:color="000000"/>
              <w:right w:val="single" w:sz="4" w:space="0" w:color="000000"/>
            </w:tcBorders>
            <w:hideMark/>
          </w:tcPr>
          <w:p w14:paraId="50D4517D" w14:textId="77777777" w:rsidR="00F93AC4" w:rsidRDefault="00F93AC4" w:rsidP="0034720E">
            <w:pPr>
              <w:spacing w:beforeLines="20" w:before="48" w:afterLines="20" w:after="48" w:line="257" w:lineRule="auto"/>
              <w:rPr>
                <w:lang w:eastAsia="en-US"/>
              </w:rPr>
            </w:pPr>
            <w:r>
              <w:rPr>
                <w:lang w:eastAsia="en-US"/>
              </w:rPr>
              <w:t>Adaptive Front lighting Systems</w:t>
            </w:r>
          </w:p>
        </w:tc>
        <w:tc>
          <w:tcPr>
            <w:tcW w:w="2638" w:type="dxa"/>
            <w:tcBorders>
              <w:top w:val="single" w:sz="4" w:space="0" w:color="000000"/>
              <w:left w:val="single" w:sz="4" w:space="0" w:color="000000"/>
              <w:bottom w:val="single" w:sz="4" w:space="0" w:color="000000"/>
              <w:right w:val="single" w:sz="4" w:space="0" w:color="000000"/>
            </w:tcBorders>
            <w:hideMark/>
          </w:tcPr>
          <w:p w14:paraId="7C470910" w14:textId="77777777" w:rsidR="00F93AC4" w:rsidRDefault="00F93AC4" w:rsidP="0034720E">
            <w:pPr>
              <w:spacing w:beforeLines="20" w:before="48" w:afterLines="20" w:after="48" w:line="257" w:lineRule="auto"/>
              <w:rPr>
                <w:lang w:eastAsia="en-US"/>
              </w:rPr>
            </w:pPr>
            <w:r>
              <w:rPr>
                <w:lang w:eastAsia="en-US"/>
              </w:rPr>
              <w:t>Regulation No. 123</w:t>
            </w:r>
          </w:p>
        </w:tc>
        <w:tc>
          <w:tcPr>
            <w:tcW w:w="1853" w:type="dxa"/>
            <w:tcBorders>
              <w:top w:val="single" w:sz="4" w:space="0" w:color="000000"/>
              <w:left w:val="single" w:sz="4" w:space="0" w:color="000000"/>
              <w:bottom w:val="single" w:sz="4" w:space="0" w:color="000000"/>
              <w:right w:val="single" w:sz="4" w:space="0" w:color="000000"/>
            </w:tcBorders>
            <w:hideMark/>
          </w:tcPr>
          <w:p w14:paraId="4C33B727" w14:textId="77777777" w:rsidR="00F93AC4" w:rsidRDefault="00F93AC4" w:rsidP="0034720E">
            <w:pPr>
              <w:spacing w:beforeLines="20" w:before="48" w:afterLines="20" w:after="48" w:line="257" w:lineRule="auto"/>
              <w:rPr>
                <w:lang w:eastAsia="en-US"/>
              </w:rPr>
            </w:pPr>
            <w:r>
              <w:t>103/00</w:t>
            </w:r>
          </w:p>
        </w:tc>
      </w:tr>
      <w:tr w:rsidR="00F93AC4" w14:paraId="4C6DD790" w14:textId="77777777" w:rsidTr="004F72EF">
        <w:trPr>
          <w:jc w:val="center"/>
        </w:trPr>
        <w:tc>
          <w:tcPr>
            <w:tcW w:w="1100" w:type="dxa"/>
            <w:tcBorders>
              <w:top w:val="single" w:sz="4" w:space="0" w:color="000000"/>
              <w:left w:val="single" w:sz="4" w:space="0" w:color="000000"/>
              <w:bottom w:val="single" w:sz="4" w:space="0" w:color="000000"/>
              <w:right w:val="single" w:sz="4" w:space="0" w:color="000000"/>
            </w:tcBorders>
            <w:hideMark/>
          </w:tcPr>
          <w:p w14:paraId="4435A92C" w14:textId="77777777" w:rsidR="00F93AC4" w:rsidRDefault="00F93AC4" w:rsidP="0034720E">
            <w:pPr>
              <w:spacing w:beforeLines="20" w:before="48" w:afterLines="20" w:after="48" w:line="257" w:lineRule="auto"/>
              <w:rPr>
                <w:lang w:eastAsia="en-US"/>
              </w:rPr>
            </w:pPr>
            <w:r>
              <w:rPr>
                <w:bCs/>
                <w:lang w:eastAsia="en-US"/>
              </w:rPr>
              <w:t>6.26.</w:t>
            </w:r>
          </w:p>
        </w:tc>
        <w:tc>
          <w:tcPr>
            <w:tcW w:w="2903" w:type="dxa"/>
            <w:tcBorders>
              <w:top w:val="single" w:sz="4" w:space="0" w:color="000000"/>
              <w:left w:val="single" w:sz="4" w:space="0" w:color="000000"/>
              <w:bottom w:val="single" w:sz="4" w:space="0" w:color="000000"/>
              <w:right w:val="single" w:sz="4" w:space="0" w:color="000000"/>
            </w:tcBorders>
            <w:hideMark/>
          </w:tcPr>
          <w:p w14:paraId="59A7DD6A" w14:textId="77777777" w:rsidR="00F93AC4" w:rsidRDefault="00F93AC4" w:rsidP="0034720E">
            <w:pPr>
              <w:spacing w:beforeLines="20" w:before="48" w:afterLines="20" w:after="48" w:line="257" w:lineRule="auto"/>
              <w:rPr>
                <w:lang w:eastAsia="en-US"/>
              </w:rPr>
            </w:pPr>
            <w:r>
              <w:rPr>
                <w:bCs/>
                <w:lang w:eastAsia="en-US"/>
              </w:rPr>
              <w:t>Manoeuvring lamps</w:t>
            </w:r>
          </w:p>
        </w:tc>
        <w:tc>
          <w:tcPr>
            <w:tcW w:w="2638" w:type="dxa"/>
            <w:tcBorders>
              <w:top w:val="single" w:sz="4" w:space="0" w:color="000000"/>
              <w:left w:val="single" w:sz="4" w:space="0" w:color="000000"/>
              <w:bottom w:val="single" w:sz="4" w:space="0" w:color="000000"/>
              <w:right w:val="single" w:sz="4" w:space="0" w:color="000000"/>
            </w:tcBorders>
            <w:hideMark/>
          </w:tcPr>
          <w:p w14:paraId="17E622F2" w14:textId="77777777" w:rsidR="00F93AC4" w:rsidRDefault="00F93AC4" w:rsidP="0034720E">
            <w:pPr>
              <w:spacing w:beforeLines="20" w:before="48" w:afterLines="20" w:after="48" w:line="257" w:lineRule="auto"/>
              <w:rPr>
                <w:lang w:eastAsia="en-US"/>
              </w:rPr>
            </w:pPr>
            <w:r>
              <w:rPr>
                <w:bCs/>
                <w:lang w:eastAsia="en-US"/>
              </w:rPr>
              <w:t>Regulation No. 23</w:t>
            </w:r>
          </w:p>
        </w:tc>
        <w:tc>
          <w:tcPr>
            <w:tcW w:w="1853" w:type="dxa"/>
            <w:tcBorders>
              <w:top w:val="single" w:sz="4" w:space="0" w:color="000000"/>
              <w:left w:val="single" w:sz="4" w:space="0" w:color="000000"/>
              <w:bottom w:val="single" w:sz="4" w:space="0" w:color="000000"/>
              <w:right w:val="single" w:sz="4" w:space="0" w:color="000000"/>
            </w:tcBorders>
            <w:hideMark/>
          </w:tcPr>
          <w:p w14:paraId="72D765EB" w14:textId="77777777" w:rsidR="00F93AC4" w:rsidRDefault="00F93AC4" w:rsidP="0034720E">
            <w:pPr>
              <w:spacing w:beforeLines="20" w:before="48" w:afterLines="20" w:after="48" w:line="257" w:lineRule="auto"/>
              <w:rPr>
                <w:lang w:eastAsia="en-US"/>
              </w:rPr>
            </w:pPr>
            <w:r>
              <w:t>102/00</w:t>
            </w:r>
          </w:p>
        </w:tc>
      </w:tr>
    </w:tbl>
    <w:p w14:paraId="574D7F1C" w14:textId="65CCCB93" w:rsidR="00970FB7" w:rsidRDefault="00970FB7" w:rsidP="004F72EF">
      <w:pPr>
        <w:pStyle w:val="Scheduleitem"/>
      </w:pPr>
      <w:r>
        <w:t>Clause 8.2</w:t>
      </w:r>
      <w:r w:rsidR="00612CC2">
        <w:t>, r</w:t>
      </w:r>
      <w:r>
        <w:t>epeal the clause, substitute:</w:t>
      </w:r>
    </w:p>
    <w:p w14:paraId="53123887" w14:textId="4D9EFF71" w:rsidR="00970FB7" w:rsidRDefault="00970FB7" w:rsidP="00970FB7">
      <w:pPr>
        <w:pStyle w:val="Scheduleitem"/>
        <w:numPr>
          <w:ilvl w:val="0"/>
          <w:numId w:val="0"/>
        </w:numPr>
        <w:ind w:left="1440" w:hanging="720"/>
      </w:pPr>
      <w:r>
        <w:t>8.2</w:t>
      </w:r>
      <w:r w:rsidR="0068296F">
        <w:t>.</w:t>
      </w:r>
      <w:r>
        <w:tab/>
      </w:r>
      <w:r w:rsidRPr="00970FB7">
        <w:t>Table 1 lists the colours and the relevant component lighting standards applicable for each type of lamp.</w:t>
      </w:r>
    </w:p>
    <w:p w14:paraId="7D0F6755" w14:textId="77777777" w:rsidR="00970FB7" w:rsidRPr="003B544E" w:rsidRDefault="00970FB7" w:rsidP="00970FB7">
      <w:pPr>
        <w:ind w:firstLine="720"/>
      </w:pPr>
      <w:r w:rsidRPr="003B544E">
        <w:t>Table 1</w:t>
      </w:r>
    </w:p>
    <w:p w14:paraId="52FC3558" w14:textId="77777777" w:rsidR="00970FB7" w:rsidRDefault="00970FB7" w:rsidP="00970F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
        <w:tblDescription w:val="Table 1 shows the type of lamps, its colour of emitted light and the relevant component lighting rules applicabe corresponding lamps."/>
      </w:tblPr>
      <w:tblGrid>
        <w:gridCol w:w="2666"/>
        <w:gridCol w:w="3606"/>
        <w:gridCol w:w="2222"/>
      </w:tblGrid>
      <w:tr w:rsidR="00970FB7" w14:paraId="6EA66327"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30974869" w14:textId="77777777" w:rsidR="00970FB7" w:rsidRDefault="00970FB7" w:rsidP="004F72EF">
            <w:pPr>
              <w:spacing w:line="257" w:lineRule="auto"/>
              <w:rPr>
                <w:rFonts w:eastAsia="Calibri"/>
                <w:b/>
                <w:sz w:val="20"/>
                <w:szCs w:val="20"/>
                <w:lang w:eastAsia="en-US"/>
              </w:rPr>
            </w:pPr>
            <w:r>
              <w:rPr>
                <w:rFonts w:eastAsia="Calibri"/>
                <w:b/>
                <w:sz w:val="20"/>
                <w:szCs w:val="20"/>
                <w:lang w:eastAsia="en-US"/>
              </w:rPr>
              <w:t>LAMP</w:t>
            </w:r>
          </w:p>
        </w:tc>
        <w:tc>
          <w:tcPr>
            <w:tcW w:w="2122" w:type="pct"/>
            <w:tcBorders>
              <w:top w:val="single" w:sz="4" w:space="0" w:color="000000"/>
              <w:left w:val="single" w:sz="4" w:space="0" w:color="000000"/>
              <w:bottom w:val="single" w:sz="4" w:space="0" w:color="000000"/>
              <w:right w:val="single" w:sz="4" w:space="0" w:color="000000"/>
            </w:tcBorders>
            <w:hideMark/>
          </w:tcPr>
          <w:p w14:paraId="36C1BD03" w14:textId="77777777" w:rsidR="00970FB7" w:rsidRDefault="00970FB7" w:rsidP="004F72EF">
            <w:pPr>
              <w:spacing w:line="257" w:lineRule="auto"/>
              <w:rPr>
                <w:rFonts w:eastAsia="Calibri"/>
                <w:b/>
                <w:sz w:val="20"/>
                <w:szCs w:val="20"/>
                <w:lang w:eastAsia="en-US"/>
              </w:rPr>
            </w:pPr>
            <w:r>
              <w:rPr>
                <w:rFonts w:eastAsia="Calibri"/>
                <w:b/>
                <w:sz w:val="20"/>
                <w:szCs w:val="20"/>
                <w:lang w:eastAsia="en-US"/>
              </w:rPr>
              <w:t>COLOUR OF EMITTED LIGHT</w:t>
            </w:r>
          </w:p>
        </w:tc>
        <w:tc>
          <w:tcPr>
            <w:tcW w:w="1308" w:type="pct"/>
            <w:tcBorders>
              <w:top w:val="single" w:sz="4" w:space="0" w:color="000000"/>
              <w:left w:val="single" w:sz="4" w:space="0" w:color="000000"/>
              <w:bottom w:val="single" w:sz="4" w:space="0" w:color="000000"/>
              <w:right w:val="single" w:sz="4" w:space="0" w:color="000000"/>
            </w:tcBorders>
            <w:hideMark/>
          </w:tcPr>
          <w:p w14:paraId="417CDFE6" w14:textId="77777777" w:rsidR="00970FB7" w:rsidRDefault="00970FB7" w:rsidP="004F72EF">
            <w:pPr>
              <w:spacing w:line="257" w:lineRule="auto"/>
              <w:rPr>
                <w:rFonts w:eastAsia="Calibri"/>
                <w:b/>
                <w:sz w:val="20"/>
                <w:szCs w:val="20"/>
                <w:lang w:eastAsia="en-US"/>
              </w:rPr>
            </w:pPr>
            <w:r>
              <w:rPr>
                <w:rFonts w:eastAsia="Calibri"/>
                <w:b/>
                <w:sz w:val="20"/>
                <w:szCs w:val="20"/>
                <w:lang w:eastAsia="en-US"/>
              </w:rPr>
              <w:t>ADR</w:t>
            </w:r>
            <w:r w:rsidR="003E7C88">
              <w:rPr>
                <w:rFonts w:eastAsia="Calibri"/>
                <w:b/>
                <w:sz w:val="20"/>
                <w:szCs w:val="20"/>
                <w:lang w:eastAsia="en-US"/>
              </w:rPr>
              <w:t>/UN R</w:t>
            </w:r>
          </w:p>
        </w:tc>
      </w:tr>
      <w:tr w:rsidR="00970FB7" w14:paraId="21400C20"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0036BEE4" w14:textId="77777777" w:rsidR="00970FB7" w:rsidRDefault="00970FB7" w:rsidP="004F72EF">
            <w:pPr>
              <w:spacing w:line="257" w:lineRule="auto"/>
              <w:rPr>
                <w:rFonts w:eastAsia="Calibri"/>
                <w:sz w:val="20"/>
                <w:szCs w:val="20"/>
                <w:lang w:eastAsia="en-US"/>
              </w:rPr>
            </w:pPr>
            <w:r>
              <w:rPr>
                <w:rFonts w:eastAsia="Calibri"/>
                <w:sz w:val="20"/>
                <w:szCs w:val="20"/>
                <w:lang w:eastAsia="en-US"/>
              </w:rPr>
              <w:t>Main-beam headlamp</w:t>
            </w:r>
          </w:p>
        </w:tc>
        <w:tc>
          <w:tcPr>
            <w:tcW w:w="2122" w:type="pct"/>
            <w:tcBorders>
              <w:top w:val="single" w:sz="4" w:space="0" w:color="000000"/>
              <w:left w:val="single" w:sz="4" w:space="0" w:color="000000"/>
              <w:bottom w:val="single" w:sz="4" w:space="0" w:color="000000"/>
              <w:right w:val="single" w:sz="4" w:space="0" w:color="000000"/>
            </w:tcBorders>
            <w:hideMark/>
          </w:tcPr>
          <w:p w14:paraId="4F45DDB6"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w:t>
            </w:r>
          </w:p>
        </w:tc>
        <w:tc>
          <w:tcPr>
            <w:tcW w:w="1308" w:type="pct"/>
            <w:tcBorders>
              <w:top w:val="single" w:sz="4" w:space="0" w:color="000000"/>
              <w:left w:val="single" w:sz="4" w:space="0" w:color="000000"/>
              <w:bottom w:val="single" w:sz="4" w:space="0" w:color="000000"/>
              <w:right w:val="single" w:sz="4" w:space="0" w:color="000000"/>
            </w:tcBorders>
            <w:hideMark/>
          </w:tcPr>
          <w:p w14:paraId="46576164" w14:textId="77777777" w:rsidR="00970FB7" w:rsidRDefault="00970FB7" w:rsidP="004F72EF">
            <w:pPr>
              <w:spacing w:line="257" w:lineRule="auto"/>
              <w:rPr>
                <w:rFonts w:eastAsia="Calibri"/>
                <w:sz w:val="20"/>
                <w:szCs w:val="20"/>
                <w:lang w:eastAsia="en-US"/>
              </w:rPr>
            </w:pPr>
            <w:r w:rsidRPr="00970FB7">
              <w:rPr>
                <w:rFonts w:eastAsia="Calibri"/>
                <w:sz w:val="20"/>
                <w:szCs w:val="20"/>
                <w:lang w:eastAsia="en-US"/>
              </w:rPr>
              <w:t>46/00, 77/00 or 103/00</w:t>
            </w:r>
          </w:p>
        </w:tc>
      </w:tr>
      <w:tr w:rsidR="00970FB7" w14:paraId="212B2D1F"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311DF673" w14:textId="77777777" w:rsidR="00970FB7" w:rsidRDefault="00970FB7" w:rsidP="004F72EF">
            <w:pPr>
              <w:spacing w:line="257" w:lineRule="auto"/>
              <w:rPr>
                <w:rFonts w:eastAsia="Calibri"/>
                <w:sz w:val="20"/>
                <w:szCs w:val="20"/>
                <w:lang w:eastAsia="en-US"/>
              </w:rPr>
            </w:pPr>
            <w:r>
              <w:rPr>
                <w:rFonts w:eastAsia="Calibri"/>
                <w:sz w:val="20"/>
                <w:szCs w:val="20"/>
                <w:lang w:eastAsia="en-US"/>
              </w:rPr>
              <w:t>Dipped-beam headlamp</w:t>
            </w:r>
          </w:p>
        </w:tc>
        <w:tc>
          <w:tcPr>
            <w:tcW w:w="2122" w:type="pct"/>
            <w:tcBorders>
              <w:top w:val="single" w:sz="4" w:space="0" w:color="000000"/>
              <w:left w:val="single" w:sz="4" w:space="0" w:color="000000"/>
              <w:bottom w:val="single" w:sz="4" w:space="0" w:color="000000"/>
              <w:right w:val="single" w:sz="4" w:space="0" w:color="000000"/>
            </w:tcBorders>
            <w:hideMark/>
          </w:tcPr>
          <w:p w14:paraId="658476E9"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w:t>
            </w:r>
          </w:p>
        </w:tc>
        <w:tc>
          <w:tcPr>
            <w:tcW w:w="1308" w:type="pct"/>
            <w:tcBorders>
              <w:top w:val="single" w:sz="4" w:space="0" w:color="000000"/>
              <w:left w:val="single" w:sz="4" w:space="0" w:color="000000"/>
              <w:bottom w:val="single" w:sz="4" w:space="0" w:color="000000"/>
              <w:right w:val="single" w:sz="4" w:space="0" w:color="000000"/>
            </w:tcBorders>
            <w:hideMark/>
          </w:tcPr>
          <w:p w14:paraId="25D2C062" w14:textId="77777777" w:rsidR="00970FB7" w:rsidRDefault="00970FB7" w:rsidP="004F72EF">
            <w:pPr>
              <w:spacing w:line="257" w:lineRule="auto"/>
              <w:rPr>
                <w:rFonts w:eastAsia="Calibri"/>
                <w:sz w:val="20"/>
                <w:szCs w:val="20"/>
                <w:lang w:eastAsia="en-US"/>
              </w:rPr>
            </w:pPr>
            <w:r w:rsidRPr="00970FB7">
              <w:rPr>
                <w:rFonts w:eastAsia="Calibri"/>
                <w:sz w:val="20"/>
                <w:szCs w:val="20"/>
                <w:lang w:eastAsia="en-US"/>
              </w:rPr>
              <w:t>46/00, 77/00 or 103/00</w:t>
            </w:r>
          </w:p>
        </w:tc>
      </w:tr>
      <w:tr w:rsidR="00970FB7" w14:paraId="5459B979"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106EB69C" w14:textId="77777777" w:rsidR="00970FB7" w:rsidRDefault="00970FB7" w:rsidP="004F72EF">
            <w:pPr>
              <w:spacing w:line="257" w:lineRule="auto"/>
              <w:rPr>
                <w:rFonts w:eastAsia="Calibri"/>
                <w:sz w:val="20"/>
                <w:szCs w:val="20"/>
                <w:lang w:eastAsia="en-US"/>
              </w:rPr>
            </w:pPr>
            <w:r>
              <w:rPr>
                <w:rFonts w:eastAsia="Calibri"/>
                <w:sz w:val="20"/>
                <w:szCs w:val="20"/>
                <w:lang w:eastAsia="en-US"/>
              </w:rPr>
              <w:t>Front fog lamp</w:t>
            </w:r>
          </w:p>
        </w:tc>
        <w:tc>
          <w:tcPr>
            <w:tcW w:w="2122" w:type="pct"/>
            <w:tcBorders>
              <w:top w:val="single" w:sz="4" w:space="0" w:color="000000"/>
              <w:left w:val="single" w:sz="4" w:space="0" w:color="000000"/>
              <w:bottom w:val="single" w:sz="4" w:space="0" w:color="000000"/>
              <w:right w:val="single" w:sz="4" w:space="0" w:color="000000"/>
            </w:tcBorders>
            <w:hideMark/>
          </w:tcPr>
          <w:p w14:paraId="026048EE"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 or selective yellow</w:t>
            </w:r>
          </w:p>
        </w:tc>
        <w:tc>
          <w:tcPr>
            <w:tcW w:w="1308" w:type="pct"/>
            <w:tcBorders>
              <w:top w:val="single" w:sz="4" w:space="0" w:color="000000"/>
              <w:left w:val="single" w:sz="4" w:space="0" w:color="000000"/>
              <w:bottom w:val="single" w:sz="4" w:space="0" w:color="000000"/>
              <w:right w:val="single" w:sz="4" w:space="0" w:color="000000"/>
            </w:tcBorders>
            <w:hideMark/>
          </w:tcPr>
          <w:p w14:paraId="42DA8629" w14:textId="77777777" w:rsidR="00970FB7" w:rsidRDefault="00970FB7" w:rsidP="004F72EF">
            <w:pPr>
              <w:spacing w:line="257" w:lineRule="auto"/>
              <w:rPr>
                <w:rFonts w:eastAsia="Calibri"/>
                <w:sz w:val="20"/>
                <w:szCs w:val="20"/>
                <w:lang w:eastAsia="en-US"/>
              </w:rPr>
            </w:pPr>
            <w:r>
              <w:rPr>
                <w:rFonts w:eastAsia="Calibri"/>
                <w:sz w:val="20"/>
                <w:szCs w:val="20"/>
                <w:lang w:eastAsia="en-US"/>
              </w:rPr>
              <w:t>50/00</w:t>
            </w:r>
            <w:r>
              <w:t xml:space="preserve"> </w:t>
            </w:r>
            <w:r w:rsidRPr="00970FB7">
              <w:rPr>
                <w:rFonts w:eastAsia="Calibri"/>
                <w:sz w:val="20"/>
                <w:szCs w:val="20"/>
                <w:lang w:eastAsia="en-US"/>
              </w:rPr>
              <w:t>or 103/00</w:t>
            </w:r>
          </w:p>
        </w:tc>
      </w:tr>
      <w:tr w:rsidR="00970FB7" w14:paraId="02DD2B2A"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112D3AFD" w14:textId="77777777" w:rsidR="00970FB7" w:rsidRDefault="00970FB7" w:rsidP="004F72EF">
            <w:pPr>
              <w:spacing w:line="257" w:lineRule="auto"/>
              <w:rPr>
                <w:rFonts w:eastAsia="Calibri"/>
                <w:sz w:val="20"/>
                <w:szCs w:val="20"/>
                <w:lang w:eastAsia="en-US"/>
              </w:rPr>
            </w:pPr>
            <w:r>
              <w:rPr>
                <w:rFonts w:eastAsia="Calibri"/>
                <w:sz w:val="20"/>
                <w:szCs w:val="20"/>
                <w:lang w:eastAsia="en-US"/>
              </w:rPr>
              <w:t>Reversing lamp</w:t>
            </w:r>
          </w:p>
        </w:tc>
        <w:tc>
          <w:tcPr>
            <w:tcW w:w="2122" w:type="pct"/>
            <w:tcBorders>
              <w:top w:val="single" w:sz="4" w:space="0" w:color="000000"/>
              <w:left w:val="single" w:sz="4" w:space="0" w:color="000000"/>
              <w:bottom w:val="single" w:sz="4" w:space="0" w:color="000000"/>
              <w:right w:val="single" w:sz="4" w:space="0" w:color="000000"/>
            </w:tcBorders>
            <w:hideMark/>
          </w:tcPr>
          <w:p w14:paraId="0F3CC232"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w:t>
            </w:r>
          </w:p>
        </w:tc>
        <w:tc>
          <w:tcPr>
            <w:tcW w:w="1308" w:type="pct"/>
            <w:tcBorders>
              <w:top w:val="single" w:sz="4" w:space="0" w:color="000000"/>
              <w:left w:val="single" w:sz="4" w:space="0" w:color="000000"/>
              <w:bottom w:val="single" w:sz="4" w:space="0" w:color="000000"/>
              <w:right w:val="single" w:sz="4" w:space="0" w:color="000000"/>
            </w:tcBorders>
            <w:hideMark/>
          </w:tcPr>
          <w:p w14:paraId="28F2BA2D" w14:textId="77777777" w:rsidR="00970FB7" w:rsidRDefault="00970FB7" w:rsidP="004F72EF">
            <w:pPr>
              <w:spacing w:line="257" w:lineRule="auto"/>
              <w:rPr>
                <w:rFonts w:eastAsia="Calibri"/>
                <w:sz w:val="20"/>
                <w:szCs w:val="20"/>
                <w:lang w:eastAsia="en-US"/>
              </w:rPr>
            </w:pPr>
            <w:r>
              <w:rPr>
                <w:rFonts w:eastAsia="Calibri"/>
                <w:sz w:val="20"/>
                <w:szCs w:val="20"/>
                <w:lang w:eastAsia="en-US"/>
              </w:rPr>
              <w:t>1/00 or 102/00</w:t>
            </w:r>
          </w:p>
        </w:tc>
      </w:tr>
      <w:tr w:rsidR="00970FB7" w14:paraId="2A7D57DA"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79CDA36D" w14:textId="77777777" w:rsidR="00970FB7" w:rsidRDefault="00970FB7" w:rsidP="004F72EF">
            <w:pPr>
              <w:spacing w:line="257" w:lineRule="auto"/>
              <w:rPr>
                <w:rFonts w:eastAsia="Calibri"/>
                <w:sz w:val="20"/>
                <w:szCs w:val="20"/>
                <w:lang w:eastAsia="en-US"/>
              </w:rPr>
            </w:pPr>
            <w:r>
              <w:rPr>
                <w:rFonts w:eastAsia="Calibri"/>
                <w:sz w:val="20"/>
                <w:szCs w:val="20"/>
                <w:lang w:eastAsia="en-US"/>
              </w:rPr>
              <w:t>Direction-indicator lamp</w:t>
            </w:r>
          </w:p>
        </w:tc>
        <w:tc>
          <w:tcPr>
            <w:tcW w:w="2122" w:type="pct"/>
            <w:tcBorders>
              <w:top w:val="single" w:sz="4" w:space="0" w:color="000000"/>
              <w:left w:val="single" w:sz="4" w:space="0" w:color="000000"/>
              <w:bottom w:val="single" w:sz="4" w:space="0" w:color="000000"/>
              <w:right w:val="single" w:sz="4" w:space="0" w:color="000000"/>
            </w:tcBorders>
            <w:hideMark/>
          </w:tcPr>
          <w:p w14:paraId="61037D24" w14:textId="77777777" w:rsidR="00970FB7" w:rsidRDefault="00970FB7" w:rsidP="004F72EF">
            <w:pPr>
              <w:spacing w:line="257" w:lineRule="auto"/>
              <w:rPr>
                <w:rFonts w:eastAsia="Calibri"/>
                <w:sz w:val="20"/>
                <w:szCs w:val="20"/>
                <w:lang w:eastAsia="en-US"/>
              </w:rPr>
            </w:pPr>
            <w:r>
              <w:rPr>
                <w:rFonts w:eastAsia="Calibri"/>
                <w:sz w:val="20"/>
                <w:szCs w:val="20"/>
                <w:lang w:eastAsia="en-US"/>
              </w:rPr>
              <w:t>Amber</w:t>
            </w:r>
          </w:p>
        </w:tc>
        <w:tc>
          <w:tcPr>
            <w:tcW w:w="1308" w:type="pct"/>
            <w:tcBorders>
              <w:top w:val="single" w:sz="4" w:space="0" w:color="000000"/>
              <w:left w:val="single" w:sz="4" w:space="0" w:color="000000"/>
              <w:bottom w:val="single" w:sz="4" w:space="0" w:color="000000"/>
              <w:right w:val="single" w:sz="4" w:space="0" w:color="000000"/>
            </w:tcBorders>
            <w:hideMark/>
          </w:tcPr>
          <w:p w14:paraId="5DE4B840" w14:textId="77777777" w:rsidR="00970FB7" w:rsidRDefault="00970FB7" w:rsidP="004F72EF">
            <w:pPr>
              <w:spacing w:line="257" w:lineRule="auto"/>
              <w:rPr>
                <w:rFonts w:eastAsia="Calibri"/>
                <w:sz w:val="20"/>
                <w:szCs w:val="20"/>
                <w:lang w:eastAsia="en-US"/>
              </w:rPr>
            </w:pPr>
            <w:r>
              <w:rPr>
                <w:rFonts w:eastAsia="Calibri"/>
                <w:sz w:val="20"/>
                <w:szCs w:val="20"/>
                <w:lang w:eastAsia="en-US"/>
              </w:rPr>
              <w:t>6/00 or 102/00</w:t>
            </w:r>
          </w:p>
        </w:tc>
      </w:tr>
      <w:tr w:rsidR="00970FB7" w14:paraId="292AF72B"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25A00F8D" w14:textId="77777777" w:rsidR="00970FB7" w:rsidRDefault="00970FB7" w:rsidP="004F72EF">
            <w:pPr>
              <w:spacing w:line="257" w:lineRule="auto"/>
              <w:rPr>
                <w:rFonts w:eastAsia="Calibri"/>
                <w:sz w:val="20"/>
                <w:szCs w:val="20"/>
                <w:lang w:eastAsia="en-US"/>
              </w:rPr>
            </w:pPr>
            <w:r>
              <w:rPr>
                <w:rFonts w:eastAsia="Calibri"/>
                <w:sz w:val="20"/>
                <w:szCs w:val="20"/>
                <w:lang w:eastAsia="en-US"/>
              </w:rPr>
              <w:t>Hazard warning signal</w:t>
            </w:r>
          </w:p>
        </w:tc>
        <w:tc>
          <w:tcPr>
            <w:tcW w:w="2122" w:type="pct"/>
            <w:tcBorders>
              <w:top w:val="single" w:sz="4" w:space="0" w:color="000000"/>
              <w:left w:val="single" w:sz="4" w:space="0" w:color="000000"/>
              <w:bottom w:val="single" w:sz="4" w:space="0" w:color="000000"/>
              <w:right w:val="single" w:sz="4" w:space="0" w:color="000000"/>
            </w:tcBorders>
            <w:hideMark/>
          </w:tcPr>
          <w:p w14:paraId="08816766" w14:textId="77777777" w:rsidR="00970FB7" w:rsidRDefault="00970FB7" w:rsidP="004F72EF">
            <w:pPr>
              <w:spacing w:line="257" w:lineRule="auto"/>
              <w:rPr>
                <w:rFonts w:eastAsia="Calibri"/>
                <w:sz w:val="20"/>
                <w:szCs w:val="20"/>
                <w:lang w:eastAsia="en-US"/>
              </w:rPr>
            </w:pPr>
            <w:r>
              <w:rPr>
                <w:rFonts w:eastAsia="Calibri"/>
                <w:sz w:val="20"/>
                <w:szCs w:val="20"/>
                <w:lang w:eastAsia="en-US"/>
              </w:rPr>
              <w:t>Amber</w:t>
            </w:r>
          </w:p>
        </w:tc>
        <w:tc>
          <w:tcPr>
            <w:tcW w:w="1308" w:type="pct"/>
            <w:tcBorders>
              <w:top w:val="single" w:sz="4" w:space="0" w:color="000000"/>
              <w:left w:val="single" w:sz="4" w:space="0" w:color="000000"/>
              <w:bottom w:val="single" w:sz="4" w:space="0" w:color="000000"/>
              <w:right w:val="single" w:sz="4" w:space="0" w:color="000000"/>
            </w:tcBorders>
            <w:hideMark/>
          </w:tcPr>
          <w:p w14:paraId="676858FE" w14:textId="77777777" w:rsidR="00970FB7" w:rsidRDefault="00970FB7" w:rsidP="004F72EF">
            <w:pPr>
              <w:spacing w:line="257" w:lineRule="auto"/>
              <w:rPr>
                <w:rFonts w:eastAsia="Calibri"/>
                <w:sz w:val="20"/>
                <w:szCs w:val="20"/>
                <w:lang w:eastAsia="en-US"/>
              </w:rPr>
            </w:pPr>
            <w:r>
              <w:rPr>
                <w:rFonts w:eastAsia="Calibri"/>
                <w:sz w:val="20"/>
                <w:szCs w:val="20"/>
                <w:lang w:eastAsia="en-US"/>
              </w:rPr>
              <w:t>6/00 or 102/00</w:t>
            </w:r>
          </w:p>
        </w:tc>
      </w:tr>
      <w:tr w:rsidR="00970FB7" w14:paraId="4E02B9CD"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7058FFDD" w14:textId="77777777" w:rsidR="00970FB7" w:rsidRDefault="00970FB7" w:rsidP="004F72EF">
            <w:pPr>
              <w:spacing w:line="257" w:lineRule="auto"/>
              <w:rPr>
                <w:rFonts w:eastAsia="Calibri"/>
                <w:sz w:val="20"/>
                <w:szCs w:val="20"/>
                <w:lang w:eastAsia="en-US"/>
              </w:rPr>
            </w:pPr>
            <w:r>
              <w:rPr>
                <w:rFonts w:eastAsia="Calibri"/>
                <w:sz w:val="20"/>
                <w:szCs w:val="20"/>
                <w:lang w:eastAsia="en-US"/>
              </w:rPr>
              <w:t>Stop lamp</w:t>
            </w:r>
          </w:p>
        </w:tc>
        <w:tc>
          <w:tcPr>
            <w:tcW w:w="2122" w:type="pct"/>
            <w:tcBorders>
              <w:top w:val="single" w:sz="4" w:space="0" w:color="000000"/>
              <w:left w:val="single" w:sz="4" w:space="0" w:color="000000"/>
              <w:bottom w:val="single" w:sz="4" w:space="0" w:color="000000"/>
              <w:right w:val="single" w:sz="4" w:space="0" w:color="000000"/>
            </w:tcBorders>
            <w:hideMark/>
          </w:tcPr>
          <w:p w14:paraId="215CB9EC" w14:textId="77777777" w:rsidR="00970FB7" w:rsidRDefault="00970FB7" w:rsidP="004F72EF">
            <w:pPr>
              <w:spacing w:line="257" w:lineRule="auto"/>
              <w:rPr>
                <w:rFonts w:eastAsia="Calibri"/>
                <w:sz w:val="20"/>
                <w:szCs w:val="20"/>
                <w:lang w:eastAsia="en-US"/>
              </w:rPr>
            </w:pPr>
            <w:r>
              <w:rPr>
                <w:rFonts w:eastAsia="Calibri"/>
                <w:sz w:val="20"/>
                <w:szCs w:val="20"/>
                <w:lang w:eastAsia="en-US"/>
              </w:rPr>
              <w:t>Red</w:t>
            </w:r>
          </w:p>
        </w:tc>
        <w:tc>
          <w:tcPr>
            <w:tcW w:w="1308" w:type="pct"/>
            <w:tcBorders>
              <w:top w:val="single" w:sz="4" w:space="0" w:color="000000"/>
              <w:left w:val="single" w:sz="4" w:space="0" w:color="000000"/>
              <w:bottom w:val="single" w:sz="4" w:space="0" w:color="000000"/>
              <w:right w:val="single" w:sz="4" w:space="0" w:color="000000"/>
            </w:tcBorders>
            <w:hideMark/>
          </w:tcPr>
          <w:p w14:paraId="7D55574A" w14:textId="77777777" w:rsidR="00970FB7" w:rsidRDefault="00970FB7" w:rsidP="004F72EF">
            <w:pPr>
              <w:spacing w:line="257" w:lineRule="auto"/>
              <w:rPr>
                <w:rFonts w:eastAsia="Calibri"/>
                <w:sz w:val="20"/>
                <w:szCs w:val="20"/>
                <w:lang w:eastAsia="en-US"/>
              </w:rPr>
            </w:pPr>
            <w:r>
              <w:rPr>
                <w:rFonts w:eastAsia="Calibri"/>
                <w:sz w:val="20"/>
                <w:szCs w:val="20"/>
                <w:lang w:eastAsia="en-US"/>
              </w:rPr>
              <w:t>49/00 or 102/00</w:t>
            </w:r>
          </w:p>
        </w:tc>
      </w:tr>
      <w:tr w:rsidR="00970FB7" w14:paraId="753DD411"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599EDA7E" w14:textId="77777777" w:rsidR="00970FB7" w:rsidRDefault="00970FB7" w:rsidP="004F72EF">
            <w:pPr>
              <w:spacing w:line="257" w:lineRule="auto"/>
              <w:rPr>
                <w:rFonts w:eastAsia="Calibri"/>
                <w:sz w:val="20"/>
                <w:szCs w:val="20"/>
                <w:lang w:eastAsia="en-US"/>
              </w:rPr>
            </w:pPr>
            <w:r>
              <w:rPr>
                <w:rFonts w:eastAsia="Calibri"/>
                <w:sz w:val="20"/>
                <w:szCs w:val="20"/>
                <w:lang w:eastAsia="en-US"/>
              </w:rPr>
              <w:t>Centre high-mounted stop lamp</w:t>
            </w:r>
          </w:p>
        </w:tc>
        <w:tc>
          <w:tcPr>
            <w:tcW w:w="2122" w:type="pct"/>
            <w:tcBorders>
              <w:top w:val="single" w:sz="4" w:space="0" w:color="000000"/>
              <w:left w:val="single" w:sz="4" w:space="0" w:color="000000"/>
              <w:bottom w:val="single" w:sz="4" w:space="0" w:color="000000"/>
              <w:right w:val="single" w:sz="4" w:space="0" w:color="000000"/>
            </w:tcBorders>
            <w:hideMark/>
          </w:tcPr>
          <w:p w14:paraId="3E30F8A1" w14:textId="77777777" w:rsidR="00970FB7" w:rsidRDefault="00970FB7" w:rsidP="004F72EF">
            <w:pPr>
              <w:spacing w:line="257" w:lineRule="auto"/>
              <w:rPr>
                <w:rFonts w:eastAsia="Calibri"/>
                <w:sz w:val="20"/>
                <w:szCs w:val="20"/>
                <w:lang w:eastAsia="en-US"/>
              </w:rPr>
            </w:pPr>
            <w:r>
              <w:rPr>
                <w:rFonts w:eastAsia="Calibri"/>
                <w:sz w:val="20"/>
                <w:szCs w:val="20"/>
                <w:lang w:eastAsia="en-US"/>
              </w:rPr>
              <w:t>Red</w:t>
            </w:r>
          </w:p>
        </w:tc>
        <w:tc>
          <w:tcPr>
            <w:tcW w:w="1308" w:type="pct"/>
            <w:tcBorders>
              <w:top w:val="single" w:sz="4" w:space="0" w:color="000000"/>
              <w:left w:val="single" w:sz="4" w:space="0" w:color="000000"/>
              <w:bottom w:val="single" w:sz="4" w:space="0" w:color="000000"/>
              <w:right w:val="single" w:sz="4" w:space="0" w:color="000000"/>
            </w:tcBorders>
            <w:hideMark/>
          </w:tcPr>
          <w:p w14:paraId="77BEFEB1" w14:textId="7A7FF9D3" w:rsidR="00970FB7" w:rsidRDefault="00970FB7" w:rsidP="004F72EF">
            <w:pPr>
              <w:spacing w:line="257" w:lineRule="auto"/>
              <w:rPr>
                <w:rFonts w:eastAsia="Calibri"/>
                <w:sz w:val="20"/>
                <w:szCs w:val="20"/>
                <w:lang w:eastAsia="en-US"/>
              </w:rPr>
            </w:pPr>
            <w:r>
              <w:rPr>
                <w:rFonts w:eastAsia="Calibri"/>
                <w:sz w:val="20"/>
                <w:szCs w:val="20"/>
                <w:lang w:eastAsia="en-US"/>
              </w:rPr>
              <w:t>49/00 or 60/00</w:t>
            </w:r>
            <w:r w:rsidR="00ED3FFB">
              <w:rPr>
                <w:rFonts w:eastAsia="Calibri"/>
                <w:sz w:val="20"/>
                <w:szCs w:val="20"/>
                <w:lang w:eastAsia="en-US"/>
              </w:rPr>
              <w:t xml:space="preserve"> or </w:t>
            </w:r>
            <w:bookmarkStart w:id="4" w:name="_GoBack"/>
            <w:bookmarkEnd w:id="4"/>
            <w:r w:rsidR="00ED3FFB">
              <w:rPr>
                <w:rFonts w:eastAsia="Calibri"/>
                <w:sz w:val="20"/>
                <w:szCs w:val="20"/>
                <w:lang w:eastAsia="en-US"/>
              </w:rPr>
              <w:t>102/00</w:t>
            </w:r>
          </w:p>
        </w:tc>
      </w:tr>
      <w:tr w:rsidR="00970FB7" w14:paraId="296B8D2D"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5FFD9579" w14:textId="77777777" w:rsidR="00970FB7" w:rsidRDefault="00970FB7" w:rsidP="004F72EF">
            <w:pPr>
              <w:spacing w:line="257" w:lineRule="auto"/>
              <w:rPr>
                <w:rFonts w:eastAsia="Calibri"/>
                <w:sz w:val="20"/>
                <w:szCs w:val="20"/>
                <w:lang w:eastAsia="en-US"/>
              </w:rPr>
            </w:pPr>
            <w:r>
              <w:rPr>
                <w:rFonts w:eastAsia="Calibri"/>
                <w:sz w:val="20"/>
                <w:szCs w:val="20"/>
                <w:lang w:eastAsia="en-US"/>
              </w:rPr>
              <w:lastRenderedPageBreak/>
              <w:t>Emergency stop signal</w:t>
            </w:r>
          </w:p>
        </w:tc>
        <w:tc>
          <w:tcPr>
            <w:tcW w:w="2122" w:type="pct"/>
            <w:tcBorders>
              <w:top w:val="single" w:sz="4" w:space="0" w:color="000000"/>
              <w:left w:val="single" w:sz="4" w:space="0" w:color="000000"/>
              <w:bottom w:val="single" w:sz="4" w:space="0" w:color="000000"/>
              <w:right w:val="single" w:sz="4" w:space="0" w:color="000000"/>
            </w:tcBorders>
            <w:hideMark/>
          </w:tcPr>
          <w:p w14:paraId="1E5C2231" w14:textId="77777777" w:rsidR="00970FB7" w:rsidRDefault="00970FB7" w:rsidP="004F72EF">
            <w:pPr>
              <w:spacing w:line="257" w:lineRule="auto"/>
              <w:rPr>
                <w:rFonts w:eastAsia="Calibri"/>
                <w:sz w:val="20"/>
                <w:szCs w:val="20"/>
                <w:lang w:eastAsia="en-US"/>
              </w:rPr>
            </w:pPr>
            <w:r>
              <w:rPr>
                <w:rFonts w:eastAsia="Calibri"/>
                <w:sz w:val="20"/>
                <w:szCs w:val="20"/>
                <w:lang w:eastAsia="en-US"/>
              </w:rPr>
              <w:t>Amber or red</w:t>
            </w:r>
          </w:p>
        </w:tc>
        <w:tc>
          <w:tcPr>
            <w:tcW w:w="1308" w:type="pct"/>
            <w:tcBorders>
              <w:top w:val="single" w:sz="4" w:space="0" w:color="000000"/>
              <w:left w:val="single" w:sz="4" w:space="0" w:color="000000"/>
              <w:bottom w:val="single" w:sz="4" w:space="0" w:color="000000"/>
              <w:right w:val="single" w:sz="4" w:space="0" w:color="000000"/>
            </w:tcBorders>
            <w:hideMark/>
          </w:tcPr>
          <w:p w14:paraId="4F988678" w14:textId="77777777" w:rsidR="00970FB7" w:rsidRDefault="00970FB7" w:rsidP="004F72EF">
            <w:pPr>
              <w:spacing w:line="257" w:lineRule="auto"/>
              <w:rPr>
                <w:rFonts w:eastAsia="Calibri"/>
                <w:sz w:val="20"/>
                <w:szCs w:val="20"/>
                <w:lang w:eastAsia="en-US"/>
              </w:rPr>
            </w:pPr>
            <w:r w:rsidRPr="00970FB7">
              <w:rPr>
                <w:rFonts w:eastAsia="Calibri"/>
                <w:sz w:val="20"/>
                <w:szCs w:val="20"/>
                <w:lang w:eastAsia="en-US"/>
              </w:rPr>
              <w:t>6/00, 49/00, 60/00 or</w:t>
            </w:r>
            <w:r>
              <w:rPr>
                <w:rFonts w:eastAsia="Calibri"/>
                <w:sz w:val="20"/>
                <w:szCs w:val="20"/>
                <w:lang w:eastAsia="en-US"/>
              </w:rPr>
              <w:t xml:space="preserve"> </w:t>
            </w:r>
            <w:r w:rsidRPr="00970FB7">
              <w:rPr>
                <w:rFonts w:eastAsia="Calibri"/>
                <w:sz w:val="20"/>
                <w:szCs w:val="20"/>
                <w:lang w:eastAsia="en-US"/>
              </w:rPr>
              <w:t>102/00</w:t>
            </w:r>
          </w:p>
        </w:tc>
      </w:tr>
      <w:tr w:rsidR="00970FB7" w14:paraId="1E09A371"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1E13BA30" w14:textId="77777777" w:rsidR="00970FB7" w:rsidRDefault="00970FB7" w:rsidP="004F72EF">
            <w:pPr>
              <w:spacing w:line="257" w:lineRule="auto"/>
              <w:rPr>
                <w:rFonts w:eastAsia="Calibri"/>
                <w:sz w:val="20"/>
                <w:szCs w:val="20"/>
                <w:lang w:eastAsia="en-US"/>
              </w:rPr>
            </w:pPr>
            <w:r>
              <w:rPr>
                <w:rFonts w:eastAsia="Calibri"/>
                <w:sz w:val="20"/>
                <w:szCs w:val="20"/>
                <w:lang w:eastAsia="en-US"/>
              </w:rPr>
              <w:t>Rear-end collision alert signal</w:t>
            </w:r>
          </w:p>
        </w:tc>
        <w:tc>
          <w:tcPr>
            <w:tcW w:w="2122" w:type="pct"/>
            <w:tcBorders>
              <w:top w:val="single" w:sz="4" w:space="0" w:color="000000"/>
              <w:left w:val="single" w:sz="4" w:space="0" w:color="000000"/>
              <w:bottom w:val="single" w:sz="4" w:space="0" w:color="000000"/>
              <w:right w:val="single" w:sz="4" w:space="0" w:color="000000"/>
            </w:tcBorders>
            <w:hideMark/>
          </w:tcPr>
          <w:p w14:paraId="75DA77CF" w14:textId="77777777" w:rsidR="00970FB7" w:rsidRDefault="00970FB7" w:rsidP="004F72EF">
            <w:pPr>
              <w:spacing w:line="257" w:lineRule="auto"/>
              <w:rPr>
                <w:rFonts w:eastAsia="Calibri"/>
                <w:sz w:val="20"/>
                <w:szCs w:val="20"/>
                <w:lang w:eastAsia="en-US"/>
              </w:rPr>
            </w:pPr>
            <w:r>
              <w:rPr>
                <w:rFonts w:eastAsia="Calibri"/>
                <w:sz w:val="20"/>
                <w:szCs w:val="20"/>
                <w:lang w:eastAsia="en-US"/>
              </w:rPr>
              <w:t>Amber</w:t>
            </w:r>
          </w:p>
        </w:tc>
        <w:tc>
          <w:tcPr>
            <w:tcW w:w="1308" w:type="pct"/>
            <w:tcBorders>
              <w:top w:val="single" w:sz="4" w:space="0" w:color="000000"/>
              <w:left w:val="single" w:sz="4" w:space="0" w:color="000000"/>
              <w:bottom w:val="single" w:sz="4" w:space="0" w:color="000000"/>
              <w:right w:val="single" w:sz="4" w:space="0" w:color="000000"/>
            </w:tcBorders>
            <w:hideMark/>
          </w:tcPr>
          <w:p w14:paraId="59333F20" w14:textId="77777777" w:rsidR="00970FB7" w:rsidRDefault="00970FB7" w:rsidP="004F72EF">
            <w:pPr>
              <w:spacing w:line="257" w:lineRule="auto"/>
              <w:rPr>
                <w:rFonts w:eastAsia="Calibri"/>
                <w:sz w:val="20"/>
                <w:szCs w:val="20"/>
                <w:lang w:eastAsia="en-US"/>
              </w:rPr>
            </w:pPr>
            <w:r>
              <w:rPr>
                <w:rFonts w:eastAsia="Calibri"/>
                <w:sz w:val="20"/>
                <w:szCs w:val="20"/>
                <w:lang w:eastAsia="en-US"/>
              </w:rPr>
              <w:t>6/00 or 102/00</w:t>
            </w:r>
          </w:p>
        </w:tc>
      </w:tr>
      <w:tr w:rsidR="00970FB7" w14:paraId="4096558F"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72CFE058" w14:textId="77777777" w:rsidR="00970FB7" w:rsidRDefault="00970FB7" w:rsidP="004F72EF">
            <w:pPr>
              <w:spacing w:line="257" w:lineRule="auto"/>
              <w:rPr>
                <w:rFonts w:eastAsia="Calibri"/>
                <w:sz w:val="20"/>
                <w:szCs w:val="20"/>
                <w:lang w:eastAsia="en-US"/>
              </w:rPr>
            </w:pPr>
            <w:r>
              <w:rPr>
                <w:rFonts w:eastAsia="Calibri"/>
                <w:sz w:val="20"/>
                <w:szCs w:val="20"/>
                <w:lang w:eastAsia="en-US"/>
              </w:rPr>
              <w:t>Rear registration plate lamp</w:t>
            </w:r>
          </w:p>
        </w:tc>
        <w:tc>
          <w:tcPr>
            <w:tcW w:w="2122" w:type="pct"/>
            <w:tcBorders>
              <w:top w:val="single" w:sz="4" w:space="0" w:color="000000"/>
              <w:left w:val="single" w:sz="4" w:space="0" w:color="000000"/>
              <w:bottom w:val="single" w:sz="4" w:space="0" w:color="000000"/>
              <w:right w:val="single" w:sz="4" w:space="0" w:color="000000"/>
            </w:tcBorders>
            <w:hideMark/>
          </w:tcPr>
          <w:p w14:paraId="2BDE75F3"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w:t>
            </w:r>
          </w:p>
        </w:tc>
        <w:tc>
          <w:tcPr>
            <w:tcW w:w="1308" w:type="pct"/>
            <w:tcBorders>
              <w:top w:val="single" w:sz="4" w:space="0" w:color="000000"/>
              <w:left w:val="single" w:sz="4" w:space="0" w:color="000000"/>
              <w:bottom w:val="single" w:sz="4" w:space="0" w:color="000000"/>
              <w:right w:val="single" w:sz="4" w:space="0" w:color="000000"/>
            </w:tcBorders>
            <w:hideMark/>
          </w:tcPr>
          <w:p w14:paraId="105FA700" w14:textId="77777777" w:rsidR="00970FB7" w:rsidRDefault="00970FB7" w:rsidP="004F72EF">
            <w:pPr>
              <w:spacing w:line="257" w:lineRule="auto"/>
              <w:rPr>
                <w:rFonts w:eastAsia="Calibri"/>
                <w:sz w:val="20"/>
                <w:szCs w:val="20"/>
                <w:lang w:eastAsia="en-US"/>
              </w:rPr>
            </w:pPr>
            <w:r>
              <w:rPr>
                <w:rFonts w:eastAsia="Calibri"/>
                <w:sz w:val="20"/>
                <w:szCs w:val="20"/>
                <w:lang w:eastAsia="en-US"/>
              </w:rPr>
              <w:t>48/00 or 102/00</w:t>
            </w:r>
          </w:p>
        </w:tc>
      </w:tr>
      <w:tr w:rsidR="00970FB7" w14:paraId="42966964"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625D2F61" w14:textId="77777777" w:rsidR="00970FB7" w:rsidRDefault="00970FB7" w:rsidP="004F72EF">
            <w:pPr>
              <w:spacing w:line="257" w:lineRule="auto"/>
              <w:rPr>
                <w:rFonts w:eastAsia="Calibri"/>
                <w:sz w:val="20"/>
                <w:szCs w:val="20"/>
                <w:lang w:eastAsia="en-US"/>
              </w:rPr>
            </w:pPr>
            <w:r>
              <w:rPr>
                <w:rFonts w:eastAsia="Calibri"/>
                <w:sz w:val="20"/>
                <w:szCs w:val="20"/>
                <w:lang w:eastAsia="en-US"/>
              </w:rPr>
              <w:t>Front position lamp</w:t>
            </w:r>
          </w:p>
        </w:tc>
        <w:tc>
          <w:tcPr>
            <w:tcW w:w="2122" w:type="pct"/>
            <w:tcBorders>
              <w:top w:val="single" w:sz="4" w:space="0" w:color="000000"/>
              <w:left w:val="single" w:sz="4" w:space="0" w:color="000000"/>
              <w:bottom w:val="single" w:sz="4" w:space="0" w:color="000000"/>
              <w:right w:val="single" w:sz="4" w:space="0" w:color="000000"/>
            </w:tcBorders>
            <w:hideMark/>
          </w:tcPr>
          <w:p w14:paraId="2BEF93AD"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  The front position lamp may be amber in colour if the lamp is “combined” with a “Side Marker Lamp” as defined in paragraph 2.7.5 of Appendix A to this vehicle standard, or when fitted to a TD (04) category trailer.</w:t>
            </w:r>
          </w:p>
        </w:tc>
        <w:tc>
          <w:tcPr>
            <w:tcW w:w="1308" w:type="pct"/>
            <w:tcBorders>
              <w:top w:val="single" w:sz="4" w:space="0" w:color="000000"/>
              <w:left w:val="single" w:sz="4" w:space="0" w:color="000000"/>
              <w:bottom w:val="single" w:sz="4" w:space="0" w:color="000000"/>
              <w:right w:val="single" w:sz="4" w:space="0" w:color="000000"/>
            </w:tcBorders>
            <w:hideMark/>
          </w:tcPr>
          <w:p w14:paraId="21011BDB" w14:textId="77777777" w:rsidR="00970FB7" w:rsidRDefault="00970FB7" w:rsidP="004F72EF">
            <w:pPr>
              <w:spacing w:line="257" w:lineRule="auto"/>
              <w:rPr>
                <w:rFonts w:eastAsia="Calibri"/>
                <w:sz w:val="20"/>
                <w:szCs w:val="20"/>
                <w:lang w:eastAsia="en-US"/>
              </w:rPr>
            </w:pPr>
            <w:r>
              <w:rPr>
                <w:rFonts w:eastAsia="Calibri"/>
                <w:sz w:val="20"/>
                <w:szCs w:val="20"/>
                <w:lang w:eastAsia="en-US"/>
              </w:rPr>
              <w:t>49/00 or 102/00</w:t>
            </w:r>
          </w:p>
        </w:tc>
      </w:tr>
      <w:tr w:rsidR="00970FB7" w14:paraId="378E4D36"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1F55EA16" w14:textId="77777777" w:rsidR="00970FB7" w:rsidRDefault="00970FB7" w:rsidP="004F72EF">
            <w:pPr>
              <w:spacing w:line="257" w:lineRule="auto"/>
              <w:rPr>
                <w:rFonts w:eastAsia="Calibri"/>
                <w:sz w:val="20"/>
                <w:szCs w:val="20"/>
                <w:lang w:eastAsia="en-US"/>
              </w:rPr>
            </w:pPr>
            <w:r>
              <w:rPr>
                <w:rFonts w:eastAsia="Calibri"/>
                <w:sz w:val="20"/>
                <w:szCs w:val="20"/>
                <w:lang w:eastAsia="en-US"/>
              </w:rPr>
              <w:t>Rear position lamp</w:t>
            </w:r>
          </w:p>
        </w:tc>
        <w:tc>
          <w:tcPr>
            <w:tcW w:w="2122" w:type="pct"/>
            <w:tcBorders>
              <w:top w:val="single" w:sz="4" w:space="0" w:color="000000"/>
              <w:left w:val="single" w:sz="4" w:space="0" w:color="000000"/>
              <w:bottom w:val="single" w:sz="4" w:space="0" w:color="000000"/>
              <w:right w:val="single" w:sz="4" w:space="0" w:color="000000"/>
            </w:tcBorders>
            <w:hideMark/>
          </w:tcPr>
          <w:p w14:paraId="3E020FC8" w14:textId="77777777" w:rsidR="00970FB7" w:rsidRDefault="00970FB7" w:rsidP="004F72EF">
            <w:pPr>
              <w:spacing w:line="257" w:lineRule="auto"/>
              <w:rPr>
                <w:rFonts w:eastAsia="Calibri"/>
                <w:sz w:val="20"/>
                <w:szCs w:val="20"/>
                <w:lang w:eastAsia="en-US"/>
              </w:rPr>
            </w:pPr>
            <w:r>
              <w:rPr>
                <w:rFonts w:eastAsia="Calibri"/>
                <w:sz w:val="20"/>
                <w:szCs w:val="20"/>
                <w:lang w:eastAsia="en-US"/>
              </w:rPr>
              <w:t>Red</w:t>
            </w:r>
          </w:p>
        </w:tc>
        <w:tc>
          <w:tcPr>
            <w:tcW w:w="1308" w:type="pct"/>
            <w:tcBorders>
              <w:top w:val="single" w:sz="4" w:space="0" w:color="000000"/>
              <w:left w:val="single" w:sz="4" w:space="0" w:color="000000"/>
              <w:bottom w:val="single" w:sz="4" w:space="0" w:color="000000"/>
              <w:right w:val="single" w:sz="4" w:space="0" w:color="000000"/>
            </w:tcBorders>
            <w:hideMark/>
          </w:tcPr>
          <w:p w14:paraId="70243190" w14:textId="77777777" w:rsidR="00970FB7" w:rsidRDefault="00970FB7" w:rsidP="004F72EF">
            <w:pPr>
              <w:spacing w:line="257" w:lineRule="auto"/>
              <w:rPr>
                <w:rFonts w:eastAsia="Calibri"/>
                <w:sz w:val="20"/>
                <w:szCs w:val="20"/>
                <w:lang w:eastAsia="en-US"/>
              </w:rPr>
            </w:pPr>
            <w:r>
              <w:rPr>
                <w:rFonts w:eastAsia="Calibri"/>
                <w:sz w:val="20"/>
                <w:szCs w:val="20"/>
                <w:lang w:eastAsia="en-US"/>
              </w:rPr>
              <w:t>49/00 or 102/00</w:t>
            </w:r>
          </w:p>
        </w:tc>
      </w:tr>
      <w:tr w:rsidR="00970FB7" w14:paraId="130A0A78"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6934D9AC" w14:textId="77777777" w:rsidR="00970FB7" w:rsidRDefault="00970FB7" w:rsidP="004F72EF">
            <w:pPr>
              <w:spacing w:line="257" w:lineRule="auto"/>
              <w:rPr>
                <w:rFonts w:eastAsia="Calibri"/>
                <w:sz w:val="20"/>
                <w:szCs w:val="20"/>
                <w:lang w:eastAsia="en-US"/>
              </w:rPr>
            </w:pPr>
            <w:r>
              <w:rPr>
                <w:rFonts w:eastAsia="Calibri"/>
                <w:sz w:val="20"/>
                <w:szCs w:val="20"/>
                <w:lang w:eastAsia="en-US"/>
              </w:rPr>
              <w:t>Rear fog lamp</w:t>
            </w:r>
          </w:p>
        </w:tc>
        <w:tc>
          <w:tcPr>
            <w:tcW w:w="2122" w:type="pct"/>
            <w:tcBorders>
              <w:top w:val="single" w:sz="4" w:space="0" w:color="000000"/>
              <w:left w:val="single" w:sz="4" w:space="0" w:color="000000"/>
              <w:bottom w:val="single" w:sz="4" w:space="0" w:color="000000"/>
              <w:right w:val="single" w:sz="4" w:space="0" w:color="000000"/>
            </w:tcBorders>
            <w:hideMark/>
          </w:tcPr>
          <w:p w14:paraId="2B8F7925" w14:textId="77777777" w:rsidR="00970FB7" w:rsidRDefault="00970FB7" w:rsidP="004F72EF">
            <w:pPr>
              <w:spacing w:line="257" w:lineRule="auto"/>
              <w:rPr>
                <w:rFonts w:eastAsia="Calibri"/>
                <w:sz w:val="20"/>
                <w:szCs w:val="20"/>
                <w:lang w:eastAsia="en-US"/>
              </w:rPr>
            </w:pPr>
            <w:r>
              <w:rPr>
                <w:rFonts w:eastAsia="Calibri"/>
                <w:sz w:val="20"/>
                <w:szCs w:val="20"/>
                <w:lang w:eastAsia="en-US"/>
              </w:rPr>
              <w:t>Red</w:t>
            </w:r>
          </w:p>
        </w:tc>
        <w:tc>
          <w:tcPr>
            <w:tcW w:w="1308" w:type="pct"/>
            <w:tcBorders>
              <w:top w:val="single" w:sz="4" w:space="0" w:color="000000"/>
              <w:left w:val="single" w:sz="4" w:space="0" w:color="000000"/>
              <w:bottom w:val="single" w:sz="4" w:space="0" w:color="000000"/>
              <w:right w:val="single" w:sz="4" w:space="0" w:color="000000"/>
            </w:tcBorders>
            <w:hideMark/>
          </w:tcPr>
          <w:p w14:paraId="3A275C3B" w14:textId="77777777" w:rsidR="00970FB7" w:rsidRDefault="00970FB7" w:rsidP="004F72EF">
            <w:pPr>
              <w:spacing w:line="257" w:lineRule="auto"/>
              <w:rPr>
                <w:rFonts w:eastAsia="Calibri"/>
                <w:sz w:val="20"/>
                <w:szCs w:val="20"/>
                <w:lang w:eastAsia="en-US"/>
              </w:rPr>
            </w:pPr>
            <w:r>
              <w:rPr>
                <w:rFonts w:eastAsia="Calibri"/>
                <w:sz w:val="20"/>
                <w:szCs w:val="20"/>
                <w:lang w:eastAsia="en-US"/>
              </w:rPr>
              <w:t>52/00 or 102/00</w:t>
            </w:r>
          </w:p>
        </w:tc>
      </w:tr>
      <w:tr w:rsidR="00970FB7" w14:paraId="196A4C3C"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03405891" w14:textId="77777777" w:rsidR="00970FB7" w:rsidRDefault="00970FB7" w:rsidP="004F72EF">
            <w:pPr>
              <w:spacing w:line="257" w:lineRule="auto"/>
              <w:rPr>
                <w:rFonts w:eastAsia="Calibri"/>
                <w:sz w:val="20"/>
                <w:szCs w:val="20"/>
                <w:lang w:eastAsia="en-US"/>
              </w:rPr>
            </w:pPr>
            <w:r>
              <w:rPr>
                <w:rFonts w:eastAsia="Calibri"/>
                <w:sz w:val="20"/>
                <w:szCs w:val="20"/>
                <w:lang w:eastAsia="en-US"/>
              </w:rPr>
              <w:t>Parking lamp</w:t>
            </w:r>
          </w:p>
        </w:tc>
        <w:tc>
          <w:tcPr>
            <w:tcW w:w="2122" w:type="pct"/>
            <w:tcBorders>
              <w:top w:val="single" w:sz="4" w:space="0" w:color="000000"/>
              <w:left w:val="single" w:sz="4" w:space="0" w:color="000000"/>
              <w:bottom w:val="single" w:sz="4" w:space="0" w:color="000000"/>
              <w:right w:val="single" w:sz="4" w:space="0" w:color="000000"/>
            </w:tcBorders>
            <w:hideMark/>
          </w:tcPr>
          <w:p w14:paraId="56926447"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 in front, red at the rear, amber if reciprocally incorporated with side –direction-indicators or side marker lamps.</w:t>
            </w:r>
          </w:p>
        </w:tc>
        <w:tc>
          <w:tcPr>
            <w:tcW w:w="1308" w:type="pct"/>
            <w:tcBorders>
              <w:top w:val="single" w:sz="4" w:space="0" w:color="000000"/>
              <w:left w:val="single" w:sz="4" w:space="0" w:color="000000"/>
              <w:bottom w:val="single" w:sz="4" w:space="0" w:color="000000"/>
              <w:right w:val="single" w:sz="4" w:space="0" w:color="000000"/>
            </w:tcBorders>
            <w:hideMark/>
          </w:tcPr>
          <w:p w14:paraId="491DDB13" w14:textId="77777777" w:rsidR="00970FB7" w:rsidRDefault="00970FB7" w:rsidP="004F72EF">
            <w:pPr>
              <w:spacing w:line="257" w:lineRule="auto"/>
              <w:rPr>
                <w:rFonts w:eastAsia="Calibri"/>
                <w:sz w:val="20"/>
                <w:szCs w:val="20"/>
                <w:lang w:eastAsia="en-US"/>
              </w:rPr>
            </w:pPr>
            <w:r>
              <w:rPr>
                <w:rFonts w:eastAsia="Calibri"/>
                <w:sz w:val="20"/>
                <w:szCs w:val="20"/>
                <w:lang w:eastAsia="en-US"/>
              </w:rPr>
              <w:t>6/00, 49/00 or 102/00</w:t>
            </w:r>
          </w:p>
        </w:tc>
      </w:tr>
      <w:tr w:rsidR="00970FB7" w14:paraId="273D347A"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1DFB5598" w14:textId="77777777" w:rsidR="00970FB7" w:rsidRDefault="00970FB7" w:rsidP="004F72EF">
            <w:pPr>
              <w:spacing w:line="257" w:lineRule="auto"/>
              <w:rPr>
                <w:rFonts w:eastAsia="Calibri"/>
                <w:sz w:val="20"/>
                <w:szCs w:val="20"/>
                <w:lang w:eastAsia="en-US"/>
              </w:rPr>
            </w:pPr>
            <w:r>
              <w:rPr>
                <w:rFonts w:eastAsia="Calibri"/>
                <w:sz w:val="20"/>
                <w:szCs w:val="20"/>
                <w:lang w:eastAsia="en-US"/>
              </w:rPr>
              <w:t>Side-marker lamp</w:t>
            </w:r>
          </w:p>
        </w:tc>
        <w:tc>
          <w:tcPr>
            <w:tcW w:w="2122" w:type="pct"/>
            <w:tcBorders>
              <w:top w:val="single" w:sz="4" w:space="0" w:color="000000"/>
              <w:left w:val="single" w:sz="4" w:space="0" w:color="000000"/>
              <w:bottom w:val="single" w:sz="4" w:space="0" w:color="000000"/>
              <w:right w:val="single" w:sz="4" w:space="0" w:color="000000"/>
            </w:tcBorders>
            <w:hideMark/>
          </w:tcPr>
          <w:p w14:paraId="4E0F59BF" w14:textId="77777777" w:rsidR="00970FB7" w:rsidRDefault="00970FB7" w:rsidP="004F72EF">
            <w:pPr>
              <w:spacing w:line="257" w:lineRule="auto"/>
              <w:rPr>
                <w:rFonts w:eastAsia="Calibri"/>
                <w:sz w:val="20"/>
                <w:szCs w:val="20"/>
                <w:lang w:eastAsia="en-US"/>
              </w:rPr>
            </w:pPr>
            <w:r>
              <w:rPr>
                <w:rFonts w:eastAsia="Calibri"/>
                <w:sz w:val="20"/>
                <w:szCs w:val="20"/>
                <w:lang w:eastAsia="en-US"/>
              </w:rPr>
              <w:t>Amber to the front, red to the rear.</w:t>
            </w:r>
            <w:r>
              <w:rPr>
                <w:rFonts w:eastAsia="Calibri"/>
                <w:sz w:val="20"/>
                <w:szCs w:val="20"/>
                <w:lang w:eastAsia="en-US"/>
              </w:rPr>
              <w:br/>
              <w:t>For side-marker lamps complying with ADR 74/00 and fitted according to paragraph 6.18 of Appendix A of this vehicle standard, the lamp must emit amber light to the front and rear except for the rearmost lamp, which may emit red light.</w:t>
            </w:r>
          </w:p>
        </w:tc>
        <w:tc>
          <w:tcPr>
            <w:tcW w:w="1308" w:type="pct"/>
            <w:tcBorders>
              <w:top w:val="single" w:sz="4" w:space="0" w:color="000000"/>
              <w:left w:val="single" w:sz="4" w:space="0" w:color="000000"/>
              <w:bottom w:val="single" w:sz="4" w:space="0" w:color="000000"/>
              <w:right w:val="single" w:sz="4" w:space="0" w:color="000000"/>
            </w:tcBorders>
            <w:hideMark/>
          </w:tcPr>
          <w:p w14:paraId="3DF2D0B3" w14:textId="77777777" w:rsidR="00970FB7" w:rsidRDefault="00970FB7" w:rsidP="004F72EF">
            <w:pPr>
              <w:spacing w:line="257" w:lineRule="auto"/>
              <w:rPr>
                <w:rFonts w:eastAsia="Calibri"/>
                <w:sz w:val="20"/>
                <w:szCs w:val="20"/>
                <w:lang w:eastAsia="en-US"/>
              </w:rPr>
            </w:pPr>
            <w:r w:rsidRPr="00970FB7">
              <w:rPr>
                <w:rFonts w:eastAsia="Calibri"/>
                <w:sz w:val="20"/>
                <w:szCs w:val="20"/>
                <w:lang w:eastAsia="en-US"/>
              </w:rPr>
              <w:t>45/01, 74/00 or 102/00</w:t>
            </w:r>
          </w:p>
        </w:tc>
      </w:tr>
      <w:tr w:rsidR="00970FB7" w14:paraId="4134F87C"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7212F0CD" w14:textId="77777777" w:rsidR="00970FB7" w:rsidRDefault="00970FB7" w:rsidP="004F72EF">
            <w:pPr>
              <w:spacing w:line="257" w:lineRule="auto"/>
              <w:rPr>
                <w:rFonts w:eastAsia="Calibri"/>
                <w:sz w:val="20"/>
                <w:szCs w:val="20"/>
                <w:lang w:eastAsia="en-US"/>
              </w:rPr>
            </w:pPr>
            <w:r>
              <w:rPr>
                <w:rFonts w:eastAsia="Calibri"/>
                <w:sz w:val="20"/>
                <w:szCs w:val="20"/>
                <w:lang w:eastAsia="en-US"/>
              </w:rPr>
              <w:t>End-outline marker lamp</w:t>
            </w:r>
          </w:p>
        </w:tc>
        <w:tc>
          <w:tcPr>
            <w:tcW w:w="2122" w:type="pct"/>
            <w:tcBorders>
              <w:top w:val="single" w:sz="4" w:space="0" w:color="000000"/>
              <w:left w:val="single" w:sz="4" w:space="0" w:color="000000"/>
              <w:bottom w:val="single" w:sz="4" w:space="0" w:color="000000"/>
              <w:right w:val="single" w:sz="4" w:space="0" w:color="000000"/>
            </w:tcBorders>
            <w:hideMark/>
          </w:tcPr>
          <w:p w14:paraId="5BACE96C"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 or amber to the front, red to the rear.</w:t>
            </w:r>
          </w:p>
        </w:tc>
        <w:tc>
          <w:tcPr>
            <w:tcW w:w="1308" w:type="pct"/>
            <w:tcBorders>
              <w:top w:val="single" w:sz="4" w:space="0" w:color="000000"/>
              <w:left w:val="single" w:sz="4" w:space="0" w:color="000000"/>
              <w:bottom w:val="single" w:sz="4" w:space="0" w:color="000000"/>
              <w:right w:val="single" w:sz="4" w:space="0" w:color="000000"/>
            </w:tcBorders>
            <w:hideMark/>
          </w:tcPr>
          <w:p w14:paraId="1383C54E" w14:textId="77777777" w:rsidR="00970FB7" w:rsidRDefault="00970FB7" w:rsidP="004F72EF">
            <w:pPr>
              <w:spacing w:line="257" w:lineRule="auto"/>
              <w:rPr>
                <w:rFonts w:eastAsia="Calibri"/>
                <w:sz w:val="20"/>
                <w:szCs w:val="20"/>
                <w:lang w:eastAsia="en-US"/>
              </w:rPr>
            </w:pPr>
            <w:r>
              <w:rPr>
                <w:rFonts w:eastAsia="Calibri"/>
                <w:sz w:val="20"/>
                <w:szCs w:val="20"/>
                <w:lang w:eastAsia="en-US"/>
              </w:rPr>
              <w:t>49/00</w:t>
            </w:r>
            <w:r w:rsidR="003E7C88">
              <w:rPr>
                <w:rFonts w:eastAsia="Calibri"/>
                <w:sz w:val="20"/>
                <w:szCs w:val="20"/>
                <w:lang w:eastAsia="en-US"/>
              </w:rPr>
              <w:t xml:space="preserve"> or 102/00</w:t>
            </w:r>
          </w:p>
        </w:tc>
      </w:tr>
      <w:tr w:rsidR="00970FB7" w14:paraId="71D915AA"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282D7AE6" w14:textId="77777777" w:rsidR="00970FB7" w:rsidRDefault="00970FB7" w:rsidP="004F72EF">
            <w:pPr>
              <w:spacing w:line="257" w:lineRule="auto"/>
              <w:rPr>
                <w:rFonts w:eastAsia="Calibri"/>
                <w:sz w:val="20"/>
                <w:szCs w:val="20"/>
                <w:lang w:eastAsia="en-US"/>
              </w:rPr>
            </w:pPr>
            <w:r>
              <w:rPr>
                <w:rFonts w:eastAsia="Calibri"/>
                <w:sz w:val="20"/>
                <w:szCs w:val="20"/>
                <w:lang w:eastAsia="en-US"/>
              </w:rPr>
              <w:t>Daytime running lamp</w:t>
            </w:r>
          </w:p>
        </w:tc>
        <w:tc>
          <w:tcPr>
            <w:tcW w:w="2122" w:type="pct"/>
            <w:tcBorders>
              <w:top w:val="single" w:sz="4" w:space="0" w:color="000000"/>
              <w:left w:val="single" w:sz="4" w:space="0" w:color="000000"/>
              <w:bottom w:val="single" w:sz="4" w:space="0" w:color="000000"/>
              <w:right w:val="single" w:sz="4" w:space="0" w:color="000000"/>
            </w:tcBorders>
            <w:hideMark/>
          </w:tcPr>
          <w:p w14:paraId="73D098D3"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w:t>
            </w:r>
          </w:p>
        </w:tc>
        <w:tc>
          <w:tcPr>
            <w:tcW w:w="1308" w:type="pct"/>
            <w:tcBorders>
              <w:top w:val="single" w:sz="4" w:space="0" w:color="000000"/>
              <w:left w:val="single" w:sz="4" w:space="0" w:color="000000"/>
              <w:bottom w:val="single" w:sz="4" w:space="0" w:color="000000"/>
              <w:right w:val="single" w:sz="4" w:space="0" w:color="000000"/>
            </w:tcBorders>
            <w:hideMark/>
          </w:tcPr>
          <w:p w14:paraId="2483DD9A" w14:textId="77777777" w:rsidR="00970FB7" w:rsidRDefault="00970FB7" w:rsidP="004F72EF">
            <w:pPr>
              <w:spacing w:line="257" w:lineRule="auto"/>
              <w:rPr>
                <w:rFonts w:eastAsia="Calibri"/>
                <w:sz w:val="20"/>
                <w:szCs w:val="20"/>
                <w:lang w:eastAsia="en-US"/>
              </w:rPr>
            </w:pPr>
            <w:r>
              <w:rPr>
                <w:rFonts w:eastAsia="Calibri"/>
                <w:sz w:val="20"/>
                <w:szCs w:val="20"/>
                <w:lang w:eastAsia="en-US"/>
              </w:rPr>
              <w:t>76/00</w:t>
            </w:r>
            <w:r w:rsidR="003E7C88">
              <w:rPr>
                <w:rFonts w:eastAsia="Calibri"/>
                <w:sz w:val="20"/>
                <w:szCs w:val="20"/>
                <w:lang w:eastAsia="en-US"/>
              </w:rPr>
              <w:t xml:space="preserve"> or 102/00</w:t>
            </w:r>
          </w:p>
        </w:tc>
      </w:tr>
      <w:tr w:rsidR="00970FB7" w14:paraId="1BA10EDA"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302107DB" w14:textId="77777777" w:rsidR="00970FB7" w:rsidRDefault="00970FB7" w:rsidP="004F72EF">
            <w:pPr>
              <w:spacing w:line="257" w:lineRule="auto"/>
              <w:rPr>
                <w:rFonts w:eastAsia="Calibri"/>
                <w:sz w:val="20"/>
                <w:szCs w:val="20"/>
                <w:lang w:eastAsia="en-US"/>
              </w:rPr>
            </w:pPr>
            <w:r>
              <w:rPr>
                <w:rFonts w:eastAsia="Calibri"/>
                <w:sz w:val="20"/>
                <w:szCs w:val="20"/>
                <w:lang w:eastAsia="en-US"/>
              </w:rPr>
              <w:t>Rear retro-reflector, non-triangular</w:t>
            </w:r>
          </w:p>
        </w:tc>
        <w:tc>
          <w:tcPr>
            <w:tcW w:w="2122" w:type="pct"/>
            <w:tcBorders>
              <w:top w:val="single" w:sz="4" w:space="0" w:color="000000"/>
              <w:left w:val="single" w:sz="4" w:space="0" w:color="000000"/>
              <w:bottom w:val="single" w:sz="4" w:space="0" w:color="000000"/>
              <w:right w:val="single" w:sz="4" w:space="0" w:color="000000"/>
            </w:tcBorders>
            <w:hideMark/>
          </w:tcPr>
          <w:p w14:paraId="7E372203" w14:textId="77777777" w:rsidR="00970FB7" w:rsidRDefault="00970FB7" w:rsidP="004F72EF">
            <w:pPr>
              <w:spacing w:line="257" w:lineRule="auto"/>
              <w:rPr>
                <w:rFonts w:eastAsia="Calibri"/>
                <w:sz w:val="20"/>
                <w:szCs w:val="20"/>
                <w:lang w:eastAsia="en-US"/>
              </w:rPr>
            </w:pPr>
            <w:r>
              <w:rPr>
                <w:rFonts w:eastAsia="Calibri"/>
                <w:sz w:val="20"/>
                <w:szCs w:val="20"/>
                <w:lang w:eastAsia="en-US"/>
              </w:rPr>
              <w:t>Red</w:t>
            </w:r>
          </w:p>
        </w:tc>
        <w:tc>
          <w:tcPr>
            <w:tcW w:w="1308" w:type="pct"/>
            <w:tcBorders>
              <w:top w:val="single" w:sz="4" w:space="0" w:color="000000"/>
              <w:left w:val="single" w:sz="4" w:space="0" w:color="000000"/>
              <w:bottom w:val="single" w:sz="4" w:space="0" w:color="000000"/>
              <w:right w:val="single" w:sz="4" w:space="0" w:color="000000"/>
            </w:tcBorders>
            <w:hideMark/>
          </w:tcPr>
          <w:p w14:paraId="2420DBE8" w14:textId="77777777" w:rsidR="00970FB7" w:rsidRDefault="00970FB7" w:rsidP="004F72EF">
            <w:pPr>
              <w:spacing w:line="257" w:lineRule="auto"/>
              <w:rPr>
                <w:rFonts w:eastAsia="Calibri"/>
                <w:sz w:val="20"/>
                <w:szCs w:val="20"/>
                <w:lang w:eastAsia="en-US"/>
              </w:rPr>
            </w:pPr>
            <w:r>
              <w:rPr>
                <w:rFonts w:eastAsia="Calibri"/>
                <w:sz w:val="20"/>
                <w:szCs w:val="20"/>
                <w:lang w:eastAsia="en-US"/>
              </w:rPr>
              <w:t>47/00</w:t>
            </w:r>
            <w:r w:rsidR="003E7C88">
              <w:rPr>
                <w:rFonts w:eastAsia="Calibri"/>
                <w:sz w:val="20"/>
                <w:szCs w:val="20"/>
                <w:lang w:eastAsia="en-US"/>
              </w:rPr>
              <w:t xml:space="preserve"> or 104/00</w:t>
            </w:r>
          </w:p>
        </w:tc>
      </w:tr>
      <w:tr w:rsidR="00970FB7" w14:paraId="2D9DBCEF"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0CC3842F" w14:textId="77777777" w:rsidR="00970FB7" w:rsidRDefault="00970FB7" w:rsidP="004F72EF">
            <w:pPr>
              <w:spacing w:line="257" w:lineRule="auto"/>
              <w:rPr>
                <w:rFonts w:eastAsia="Calibri"/>
                <w:sz w:val="20"/>
                <w:szCs w:val="20"/>
                <w:lang w:eastAsia="en-US"/>
              </w:rPr>
            </w:pPr>
            <w:r>
              <w:rPr>
                <w:rFonts w:eastAsia="Calibri"/>
                <w:sz w:val="20"/>
                <w:szCs w:val="20"/>
                <w:lang w:eastAsia="en-US"/>
              </w:rPr>
              <w:t>Rear retro-reflector, triangular</w:t>
            </w:r>
          </w:p>
        </w:tc>
        <w:tc>
          <w:tcPr>
            <w:tcW w:w="2122" w:type="pct"/>
            <w:tcBorders>
              <w:top w:val="single" w:sz="4" w:space="0" w:color="000000"/>
              <w:left w:val="single" w:sz="4" w:space="0" w:color="000000"/>
              <w:bottom w:val="single" w:sz="4" w:space="0" w:color="000000"/>
              <w:right w:val="single" w:sz="4" w:space="0" w:color="000000"/>
            </w:tcBorders>
            <w:hideMark/>
          </w:tcPr>
          <w:p w14:paraId="43B2C163" w14:textId="77777777" w:rsidR="00970FB7" w:rsidRDefault="00970FB7" w:rsidP="004F72EF">
            <w:pPr>
              <w:spacing w:line="257" w:lineRule="auto"/>
              <w:rPr>
                <w:rFonts w:eastAsia="Calibri"/>
                <w:sz w:val="20"/>
                <w:szCs w:val="20"/>
                <w:lang w:eastAsia="en-US"/>
              </w:rPr>
            </w:pPr>
            <w:r>
              <w:rPr>
                <w:rFonts w:eastAsia="Calibri"/>
                <w:sz w:val="20"/>
                <w:szCs w:val="20"/>
                <w:lang w:eastAsia="en-US"/>
              </w:rPr>
              <w:t>Red</w:t>
            </w:r>
          </w:p>
        </w:tc>
        <w:tc>
          <w:tcPr>
            <w:tcW w:w="1308" w:type="pct"/>
            <w:tcBorders>
              <w:top w:val="single" w:sz="4" w:space="0" w:color="000000"/>
              <w:left w:val="single" w:sz="4" w:space="0" w:color="000000"/>
              <w:bottom w:val="single" w:sz="4" w:space="0" w:color="000000"/>
              <w:right w:val="single" w:sz="4" w:space="0" w:color="000000"/>
            </w:tcBorders>
            <w:hideMark/>
          </w:tcPr>
          <w:p w14:paraId="3BB1C34A" w14:textId="77777777" w:rsidR="00970FB7" w:rsidRDefault="00970FB7" w:rsidP="004F72EF">
            <w:pPr>
              <w:spacing w:line="257" w:lineRule="auto"/>
              <w:rPr>
                <w:rFonts w:eastAsia="Calibri"/>
                <w:sz w:val="20"/>
                <w:szCs w:val="20"/>
                <w:lang w:eastAsia="en-US"/>
              </w:rPr>
            </w:pPr>
            <w:r>
              <w:rPr>
                <w:rFonts w:eastAsia="Calibri"/>
                <w:sz w:val="20"/>
                <w:szCs w:val="20"/>
                <w:lang w:eastAsia="en-US"/>
              </w:rPr>
              <w:t>47/00</w:t>
            </w:r>
            <w:r w:rsidR="003E7C88">
              <w:rPr>
                <w:rFonts w:eastAsia="Calibri"/>
                <w:sz w:val="20"/>
                <w:szCs w:val="20"/>
                <w:lang w:eastAsia="en-US"/>
              </w:rPr>
              <w:t xml:space="preserve"> or 104/00</w:t>
            </w:r>
          </w:p>
        </w:tc>
      </w:tr>
      <w:tr w:rsidR="00970FB7" w14:paraId="4AA6A699"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1765E881" w14:textId="77777777" w:rsidR="00970FB7" w:rsidRDefault="00970FB7" w:rsidP="004F72EF">
            <w:pPr>
              <w:spacing w:line="257" w:lineRule="auto"/>
              <w:rPr>
                <w:rFonts w:eastAsia="Calibri"/>
                <w:sz w:val="20"/>
                <w:szCs w:val="20"/>
                <w:lang w:eastAsia="en-US"/>
              </w:rPr>
            </w:pPr>
            <w:r>
              <w:rPr>
                <w:rFonts w:eastAsia="Calibri"/>
                <w:sz w:val="20"/>
                <w:szCs w:val="20"/>
                <w:lang w:eastAsia="en-US"/>
              </w:rPr>
              <w:t>Front retro-reflector, non- triangular</w:t>
            </w:r>
          </w:p>
        </w:tc>
        <w:tc>
          <w:tcPr>
            <w:tcW w:w="2122" w:type="pct"/>
            <w:tcBorders>
              <w:top w:val="single" w:sz="4" w:space="0" w:color="000000"/>
              <w:left w:val="single" w:sz="4" w:space="0" w:color="000000"/>
              <w:bottom w:val="single" w:sz="4" w:space="0" w:color="000000"/>
              <w:right w:val="single" w:sz="4" w:space="0" w:color="000000"/>
            </w:tcBorders>
            <w:hideMark/>
          </w:tcPr>
          <w:p w14:paraId="3B9561DF" w14:textId="77777777" w:rsidR="00970FB7" w:rsidRDefault="00970FB7" w:rsidP="004F72EF">
            <w:pPr>
              <w:spacing w:line="257" w:lineRule="auto"/>
              <w:rPr>
                <w:rFonts w:eastAsia="Calibri"/>
                <w:sz w:val="20"/>
                <w:szCs w:val="20"/>
                <w:lang w:eastAsia="en-US"/>
              </w:rPr>
            </w:pPr>
            <w:r>
              <w:rPr>
                <w:rFonts w:eastAsia="Calibri"/>
                <w:sz w:val="20"/>
                <w:szCs w:val="20"/>
                <w:lang w:eastAsia="en-US"/>
              </w:rPr>
              <w:t>Incidental to incident light (also known as white or colourless retro-reflector).</w:t>
            </w:r>
          </w:p>
        </w:tc>
        <w:tc>
          <w:tcPr>
            <w:tcW w:w="1308" w:type="pct"/>
            <w:tcBorders>
              <w:top w:val="single" w:sz="4" w:space="0" w:color="000000"/>
              <w:left w:val="single" w:sz="4" w:space="0" w:color="000000"/>
              <w:bottom w:val="single" w:sz="4" w:space="0" w:color="000000"/>
              <w:right w:val="single" w:sz="4" w:space="0" w:color="000000"/>
            </w:tcBorders>
            <w:hideMark/>
          </w:tcPr>
          <w:p w14:paraId="6CD88D03" w14:textId="77777777" w:rsidR="00970FB7" w:rsidRDefault="00970FB7" w:rsidP="004F72EF">
            <w:pPr>
              <w:spacing w:line="257" w:lineRule="auto"/>
              <w:rPr>
                <w:rFonts w:eastAsia="Calibri"/>
                <w:sz w:val="20"/>
                <w:szCs w:val="20"/>
                <w:lang w:eastAsia="en-US"/>
              </w:rPr>
            </w:pPr>
            <w:r>
              <w:rPr>
                <w:rFonts w:eastAsia="Calibri"/>
                <w:sz w:val="20"/>
                <w:szCs w:val="20"/>
                <w:lang w:eastAsia="en-US"/>
              </w:rPr>
              <w:t>47/00</w:t>
            </w:r>
            <w:r w:rsidR="003E7C88">
              <w:rPr>
                <w:rFonts w:eastAsia="Calibri"/>
                <w:sz w:val="20"/>
                <w:szCs w:val="20"/>
                <w:lang w:eastAsia="en-US"/>
              </w:rPr>
              <w:t xml:space="preserve"> or 104/00</w:t>
            </w:r>
          </w:p>
        </w:tc>
      </w:tr>
      <w:tr w:rsidR="00970FB7" w14:paraId="642B44D4"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765214D2" w14:textId="77777777" w:rsidR="00970FB7" w:rsidRDefault="00970FB7" w:rsidP="004F72EF">
            <w:pPr>
              <w:spacing w:line="257" w:lineRule="auto"/>
              <w:rPr>
                <w:rFonts w:eastAsia="Calibri"/>
                <w:sz w:val="20"/>
                <w:szCs w:val="20"/>
                <w:lang w:eastAsia="en-US"/>
              </w:rPr>
            </w:pPr>
            <w:r>
              <w:rPr>
                <w:rFonts w:eastAsia="Calibri"/>
                <w:sz w:val="20"/>
                <w:szCs w:val="20"/>
                <w:lang w:eastAsia="en-US"/>
              </w:rPr>
              <w:t>Side retro-reflector, non-triangular</w:t>
            </w:r>
          </w:p>
        </w:tc>
        <w:tc>
          <w:tcPr>
            <w:tcW w:w="2122" w:type="pct"/>
            <w:tcBorders>
              <w:top w:val="single" w:sz="4" w:space="0" w:color="000000"/>
              <w:left w:val="single" w:sz="4" w:space="0" w:color="000000"/>
              <w:bottom w:val="single" w:sz="4" w:space="0" w:color="000000"/>
              <w:right w:val="single" w:sz="4" w:space="0" w:color="000000"/>
            </w:tcBorders>
            <w:hideMark/>
          </w:tcPr>
          <w:p w14:paraId="45F5A2F1" w14:textId="77777777" w:rsidR="00970FB7" w:rsidRDefault="00970FB7" w:rsidP="004F72EF">
            <w:pPr>
              <w:spacing w:line="257" w:lineRule="auto"/>
              <w:rPr>
                <w:rFonts w:eastAsia="Calibri"/>
                <w:sz w:val="20"/>
                <w:szCs w:val="20"/>
                <w:lang w:eastAsia="en-US"/>
              </w:rPr>
            </w:pPr>
            <w:r>
              <w:rPr>
                <w:rFonts w:eastAsia="Calibri"/>
                <w:sz w:val="20"/>
                <w:szCs w:val="20"/>
                <w:lang w:eastAsia="en-US"/>
              </w:rPr>
              <w:t xml:space="preserve">Amber: </w:t>
            </w:r>
            <w:proofErr w:type="gramStart"/>
            <w:r>
              <w:rPr>
                <w:rFonts w:eastAsia="Calibri"/>
                <w:sz w:val="20"/>
                <w:szCs w:val="20"/>
                <w:lang w:eastAsia="en-US"/>
              </w:rPr>
              <w:t>however</w:t>
            </w:r>
            <w:proofErr w:type="gramEnd"/>
            <w:r>
              <w:rPr>
                <w:rFonts w:eastAsia="Calibri"/>
                <w:sz w:val="20"/>
                <w:szCs w:val="20"/>
                <w:lang w:eastAsia="en-US"/>
              </w:rPr>
              <w:t xml:space="preserve"> the rearmost side retro-reflector can be red if it is grouped or has part of the light emitting surface in common with the rear position lamp, the rear end-outline marker lamp, the rear fog lamp, the stop lamp, the red rearmost side-marker lamp or the rear retro-reflector, non-triangular.</w:t>
            </w:r>
          </w:p>
        </w:tc>
        <w:tc>
          <w:tcPr>
            <w:tcW w:w="1308" w:type="pct"/>
            <w:tcBorders>
              <w:top w:val="single" w:sz="4" w:space="0" w:color="000000"/>
              <w:left w:val="single" w:sz="4" w:space="0" w:color="000000"/>
              <w:bottom w:val="single" w:sz="4" w:space="0" w:color="000000"/>
              <w:right w:val="single" w:sz="4" w:space="0" w:color="000000"/>
            </w:tcBorders>
            <w:hideMark/>
          </w:tcPr>
          <w:p w14:paraId="7B78CBB1" w14:textId="77777777" w:rsidR="00970FB7" w:rsidRDefault="00970FB7" w:rsidP="004F72EF">
            <w:pPr>
              <w:spacing w:line="257" w:lineRule="auto"/>
              <w:rPr>
                <w:rFonts w:eastAsia="Calibri"/>
                <w:sz w:val="20"/>
                <w:szCs w:val="20"/>
                <w:lang w:eastAsia="en-US"/>
              </w:rPr>
            </w:pPr>
            <w:r>
              <w:rPr>
                <w:rFonts w:eastAsia="Calibri"/>
                <w:sz w:val="20"/>
                <w:szCs w:val="20"/>
                <w:lang w:eastAsia="en-US"/>
              </w:rPr>
              <w:t>47/00</w:t>
            </w:r>
            <w:r w:rsidR="003E7C88">
              <w:rPr>
                <w:rFonts w:eastAsia="Calibri"/>
                <w:sz w:val="20"/>
                <w:szCs w:val="20"/>
                <w:lang w:eastAsia="en-US"/>
              </w:rPr>
              <w:t xml:space="preserve"> or 104/00</w:t>
            </w:r>
          </w:p>
        </w:tc>
      </w:tr>
      <w:tr w:rsidR="00970FB7" w14:paraId="2435C1EB"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6AFC58D9" w14:textId="77777777" w:rsidR="00970FB7" w:rsidRDefault="00970FB7" w:rsidP="004F72EF">
            <w:pPr>
              <w:spacing w:line="257" w:lineRule="auto"/>
              <w:rPr>
                <w:rFonts w:eastAsia="Calibri"/>
                <w:sz w:val="20"/>
                <w:szCs w:val="20"/>
                <w:lang w:eastAsia="en-US"/>
              </w:rPr>
            </w:pPr>
            <w:proofErr w:type="spellStart"/>
            <w:r>
              <w:rPr>
                <w:rFonts w:eastAsia="Calibri"/>
                <w:sz w:val="20"/>
                <w:szCs w:val="20"/>
                <w:lang w:eastAsia="en-US"/>
              </w:rPr>
              <w:t>Conspicuity</w:t>
            </w:r>
            <w:proofErr w:type="spellEnd"/>
            <w:r>
              <w:rPr>
                <w:rFonts w:eastAsia="Calibri"/>
                <w:sz w:val="20"/>
                <w:szCs w:val="20"/>
                <w:lang w:eastAsia="en-US"/>
              </w:rPr>
              <w:t xml:space="preserve"> marking</w:t>
            </w:r>
          </w:p>
        </w:tc>
        <w:tc>
          <w:tcPr>
            <w:tcW w:w="2122" w:type="pct"/>
            <w:tcBorders>
              <w:top w:val="single" w:sz="4" w:space="0" w:color="000000"/>
              <w:left w:val="single" w:sz="4" w:space="0" w:color="000000"/>
              <w:bottom w:val="single" w:sz="4" w:space="0" w:color="000000"/>
              <w:right w:val="single" w:sz="4" w:space="0" w:color="000000"/>
            </w:tcBorders>
            <w:hideMark/>
          </w:tcPr>
          <w:p w14:paraId="6DE962E2"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 to the front, white or yellow to the side, red or yellow to the rear.</w:t>
            </w:r>
          </w:p>
        </w:tc>
        <w:tc>
          <w:tcPr>
            <w:tcW w:w="1308" w:type="pct"/>
            <w:tcBorders>
              <w:top w:val="single" w:sz="4" w:space="0" w:color="000000"/>
              <w:left w:val="single" w:sz="4" w:space="0" w:color="000000"/>
              <w:bottom w:val="single" w:sz="4" w:space="0" w:color="000000"/>
              <w:right w:val="single" w:sz="4" w:space="0" w:color="000000"/>
            </w:tcBorders>
            <w:hideMark/>
          </w:tcPr>
          <w:p w14:paraId="2D83613A" w14:textId="77777777" w:rsidR="00970FB7" w:rsidRDefault="00970FB7" w:rsidP="004F72EF">
            <w:pPr>
              <w:spacing w:line="257" w:lineRule="auto"/>
              <w:rPr>
                <w:rFonts w:eastAsia="Calibri"/>
                <w:sz w:val="20"/>
                <w:szCs w:val="20"/>
                <w:lang w:eastAsia="en-US"/>
              </w:rPr>
            </w:pPr>
            <w:r>
              <w:rPr>
                <w:rFonts w:eastAsia="Calibri"/>
                <w:sz w:val="20"/>
                <w:szCs w:val="20"/>
                <w:lang w:eastAsia="en-US"/>
              </w:rPr>
              <w:t>UN R 104</w:t>
            </w:r>
            <w:r w:rsidR="003E7C88">
              <w:rPr>
                <w:rFonts w:eastAsia="Calibri"/>
                <w:sz w:val="20"/>
                <w:szCs w:val="20"/>
                <w:lang w:eastAsia="en-US"/>
              </w:rPr>
              <w:t xml:space="preserve"> or ADR 104/00</w:t>
            </w:r>
          </w:p>
        </w:tc>
      </w:tr>
      <w:tr w:rsidR="00970FB7" w14:paraId="0B07F568"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3D5D11AA" w14:textId="77777777" w:rsidR="00970FB7" w:rsidRDefault="00970FB7" w:rsidP="004F72EF">
            <w:pPr>
              <w:spacing w:line="257" w:lineRule="auto"/>
              <w:rPr>
                <w:rFonts w:eastAsia="Calibri"/>
                <w:sz w:val="20"/>
                <w:szCs w:val="20"/>
                <w:lang w:eastAsia="en-US"/>
              </w:rPr>
            </w:pPr>
            <w:r>
              <w:rPr>
                <w:rFonts w:eastAsia="Calibri"/>
                <w:sz w:val="20"/>
                <w:szCs w:val="20"/>
                <w:lang w:eastAsia="en-US"/>
              </w:rPr>
              <w:t>Adaptive Front lighting Systems</w:t>
            </w:r>
          </w:p>
        </w:tc>
        <w:tc>
          <w:tcPr>
            <w:tcW w:w="2122" w:type="pct"/>
            <w:tcBorders>
              <w:top w:val="single" w:sz="4" w:space="0" w:color="000000"/>
              <w:left w:val="single" w:sz="4" w:space="0" w:color="000000"/>
              <w:bottom w:val="single" w:sz="4" w:space="0" w:color="000000"/>
              <w:right w:val="single" w:sz="4" w:space="0" w:color="000000"/>
            </w:tcBorders>
            <w:hideMark/>
          </w:tcPr>
          <w:p w14:paraId="367B7090"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w:t>
            </w:r>
          </w:p>
        </w:tc>
        <w:tc>
          <w:tcPr>
            <w:tcW w:w="1308" w:type="pct"/>
            <w:tcBorders>
              <w:top w:val="single" w:sz="4" w:space="0" w:color="000000"/>
              <w:left w:val="single" w:sz="4" w:space="0" w:color="000000"/>
              <w:bottom w:val="single" w:sz="4" w:space="0" w:color="000000"/>
              <w:right w:val="single" w:sz="4" w:space="0" w:color="000000"/>
            </w:tcBorders>
            <w:hideMark/>
          </w:tcPr>
          <w:p w14:paraId="389A1AEE" w14:textId="77777777" w:rsidR="00970FB7" w:rsidRDefault="00970FB7" w:rsidP="004F72EF">
            <w:pPr>
              <w:spacing w:line="257" w:lineRule="auto"/>
              <w:rPr>
                <w:rFonts w:eastAsia="Calibri"/>
                <w:sz w:val="20"/>
                <w:szCs w:val="20"/>
                <w:lang w:eastAsia="en-US"/>
              </w:rPr>
            </w:pPr>
            <w:r>
              <w:rPr>
                <w:rFonts w:eastAsia="Calibri"/>
                <w:sz w:val="20"/>
                <w:szCs w:val="20"/>
                <w:lang w:eastAsia="en-US"/>
              </w:rPr>
              <w:t>UN R 123</w:t>
            </w:r>
            <w:r w:rsidR="003E7C88">
              <w:rPr>
                <w:rFonts w:eastAsia="Calibri"/>
                <w:sz w:val="20"/>
                <w:szCs w:val="20"/>
                <w:lang w:eastAsia="en-US"/>
              </w:rPr>
              <w:t xml:space="preserve"> or ADR 103/00</w:t>
            </w:r>
          </w:p>
        </w:tc>
      </w:tr>
      <w:tr w:rsidR="00970FB7" w14:paraId="2E834622"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4B5E3B32" w14:textId="77777777" w:rsidR="00970FB7" w:rsidRDefault="00970FB7" w:rsidP="004F72EF">
            <w:pPr>
              <w:spacing w:line="257" w:lineRule="auto"/>
              <w:rPr>
                <w:rFonts w:eastAsia="Calibri"/>
                <w:sz w:val="20"/>
                <w:szCs w:val="20"/>
                <w:lang w:eastAsia="en-US"/>
              </w:rPr>
            </w:pPr>
            <w:r>
              <w:rPr>
                <w:rFonts w:eastAsia="Calibri"/>
                <w:sz w:val="20"/>
                <w:szCs w:val="20"/>
                <w:lang w:eastAsia="en-US"/>
              </w:rPr>
              <w:t>Exterior courtesy lamp</w:t>
            </w:r>
          </w:p>
        </w:tc>
        <w:tc>
          <w:tcPr>
            <w:tcW w:w="2122" w:type="pct"/>
            <w:tcBorders>
              <w:top w:val="single" w:sz="4" w:space="0" w:color="000000"/>
              <w:left w:val="single" w:sz="4" w:space="0" w:color="000000"/>
              <w:bottom w:val="single" w:sz="4" w:space="0" w:color="000000"/>
              <w:right w:val="single" w:sz="4" w:space="0" w:color="000000"/>
            </w:tcBorders>
            <w:hideMark/>
          </w:tcPr>
          <w:p w14:paraId="7911D1A4" w14:textId="77777777" w:rsidR="00970FB7" w:rsidRDefault="00970FB7" w:rsidP="004F72EF">
            <w:pPr>
              <w:spacing w:line="257" w:lineRule="auto"/>
              <w:rPr>
                <w:rFonts w:eastAsia="Calibri"/>
                <w:sz w:val="20"/>
                <w:szCs w:val="20"/>
                <w:lang w:eastAsia="en-US"/>
              </w:rPr>
            </w:pPr>
            <w:r>
              <w:rPr>
                <w:rFonts w:eastAsia="Calibri"/>
                <w:sz w:val="20"/>
                <w:szCs w:val="20"/>
                <w:lang w:eastAsia="en-US"/>
              </w:rPr>
              <w:t>White</w:t>
            </w:r>
          </w:p>
        </w:tc>
        <w:tc>
          <w:tcPr>
            <w:tcW w:w="1308" w:type="pct"/>
            <w:tcBorders>
              <w:top w:val="single" w:sz="4" w:space="0" w:color="000000"/>
              <w:left w:val="single" w:sz="4" w:space="0" w:color="000000"/>
              <w:bottom w:val="single" w:sz="4" w:space="0" w:color="000000"/>
              <w:right w:val="single" w:sz="4" w:space="0" w:color="000000"/>
            </w:tcBorders>
            <w:hideMark/>
          </w:tcPr>
          <w:p w14:paraId="3BA470AC" w14:textId="77777777" w:rsidR="00970FB7" w:rsidRDefault="00970FB7" w:rsidP="004F72EF">
            <w:pPr>
              <w:spacing w:line="257" w:lineRule="auto"/>
              <w:rPr>
                <w:rFonts w:eastAsia="Calibri"/>
                <w:sz w:val="20"/>
                <w:szCs w:val="20"/>
                <w:lang w:eastAsia="en-US"/>
              </w:rPr>
            </w:pPr>
            <w:r>
              <w:rPr>
                <w:rFonts w:eastAsia="Calibri"/>
                <w:sz w:val="20"/>
                <w:szCs w:val="20"/>
                <w:lang w:eastAsia="en-US"/>
              </w:rPr>
              <w:t>-</w:t>
            </w:r>
          </w:p>
        </w:tc>
      </w:tr>
      <w:tr w:rsidR="00970FB7" w14:paraId="654ABD25"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7D266369" w14:textId="77777777" w:rsidR="00970FB7" w:rsidRPr="004F72EF" w:rsidRDefault="00970FB7" w:rsidP="004F72EF">
            <w:pPr>
              <w:spacing w:line="257" w:lineRule="auto"/>
              <w:rPr>
                <w:rFonts w:eastAsia="Calibri"/>
                <w:sz w:val="20"/>
                <w:szCs w:val="20"/>
                <w:lang w:eastAsia="en-US"/>
              </w:rPr>
            </w:pPr>
            <w:r w:rsidRPr="004F72EF">
              <w:rPr>
                <w:rFonts w:eastAsia="Calibri"/>
                <w:sz w:val="20"/>
                <w:szCs w:val="20"/>
                <w:lang w:eastAsia="en-US"/>
              </w:rPr>
              <w:t>External cabin lamp:</w:t>
            </w:r>
          </w:p>
        </w:tc>
        <w:tc>
          <w:tcPr>
            <w:tcW w:w="2122" w:type="pct"/>
            <w:tcBorders>
              <w:top w:val="single" w:sz="4" w:space="0" w:color="000000"/>
              <w:left w:val="single" w:sz="4" w:space="0" w:color="000000"/>
              <w:bottom w:val="single" w:sz="4" w:space="0" w:color="000000"/>
              <w:right w:val="single" w:sz="4" w:space="0" w:color="000000"/>
            </w:tcBorders>
            <w:hideMark/>
          </w:tcPr>
          <w:p w14:paraId="44C0A3E9" w14:textId="77777777" w:rsidR="00970FB7" w:rsidRPr="004F72EF" w:rsidRDefault="00970FB7" w:rsidP="004F72EF">
            <w:pPr>
              <w:spacing w:line="257" w:lineRule="auto"/>
              <w:rPr>
                <w:rFonts w:eastAsia="Calibri"/>
                <w:sz w:val="20"/>
                <w:szCs w:val="20"/>
                <w:lang w:eastAsia="en-US"/>
              </w:rPr>
            </w:pPr>
            <w:r w:rsidRPr="004F72EF">
              <w:rPr>
                <w:rFonts w:eastAsia="Calibri"/>
                <w:sz w:val="20"/>
                <w:szCs w:val="20"/>
                <w:lang w:eastAsia="en-US"/>
              </w:rPr>
              <w:t>Amber</w:t>
            </w:r>
          </w:p>
        </w:tc>
        <w:tc>
          <w:tcPr>
            <w:tcW w:w="1308" w:type="pct"/>
            <w:tcBorders>
              <w:top w:val="single" w:sz="4" w:space="0" w:color="000000"/>
              <w:left w:val="single" w:sz="4" w:space="0" w:color="000000"/>
              <w:bottom w:val="single" w:sz="4" w:space="0" w:color="000000"/>
              <w:right w:val="single" w:sz="4" w:space="0" w:color="000000"/>
            </w:tcBorders>
            <w:hideMark/>
          </w:tcPr>
          <w:p w14:paraId="2D5D09B9" w14:textId="77777777" w:rsidR="00970FB7" w:rsidRPr="004F72EF" w:rsidRDefault="00970FB7" w:rsidP="004F72EF">
            <w:pPr>
              <w:spacing w:line="257" w:lineRule="auto"/>
              <w:rPr>
                <w:rFonts w:eastAsia="Calibri"/>
                <w:sz w:val="20"/>
                <w:szCs w:val="20"/>
                <w:lang w:eastAsia="en-US"/>
              </w:rPr>
            </w:pPr>
            <w:r w:rsidRPr="004F72EF">
              <w:rPr>
                <w:rFonts w:eastAsia="Calibri"/>
                <w:sz w:val="20"/>
                <w:szCs w:val="20"/>
                <w:lang w:eastAsia="en-US"/>
              </w:rPr>
              <w:t>45/01</w:t>
            </w:r>
          </w:p>
        </w:tc>
      </w:tr>
      <w:tr w:rsidR="00970FB7" w14:paraId="4B533EC4" w14:textId="77777777" w:rsidTr="00970FB7">
        <w:trPr>
          <w:cantSplit/>
        </w:trPr>
        <w:tc>
          <w:tcPr>
            <w:tcW w:w="1569" w:type="pct"/>
            <w:tcBorders>
              <w:top w:val="single" w:sz="4" w:space="0" w:color="000000"/>
              <w:left w:val="single" w:sz="4" w:space="0" w:color="000000"/>
              <w:bottom w:val="single" w:sz="4" w:space="0" w:color="000000"/>
              <w:right w:val="single" w:sz="4" w:space="0" w:color="000000"/>
            </w:tcBorders>
            <w:hideMark/>
          </w:tcPr>
          <w:p w14:paraId="7F472475" w14:textId="77777777" w:rsidR="00970FB7" w:rsidRPr="004F72EF" w:rsidRDefault="00970FB7" w:rsidP="004F72EF">
            <w:pPr>
              <w:spacing w:line="257" w:lineRule="auto"/>
              <w:rPr>
                <w:rFonts w:eastAsia="Calibri"/>
                <w:sz w:val="20"/>
                <w:szCs w:val="20"/>
                <w:lang w:eastAsia="en-US"/>
              </w:rPr>
            </w:pPr>
            <w:r w:rsidRPr="004F72EF">
              <w:rPr>
                <w:rFonts w:eastAsia="Calibri"/>
                <w:bCs/>
                <w:iCs/>
                <w:sz w:val="20"/>
                <w:szCs w:val="20"/>
                <w:lang w:eastAsia="en-US"/>
              </w:rPr>
              <w:t>Manoeuvring lamp</w:t>
            </w:r>
          </w:p>
        </w:tc>
        <w:tc>
          <w:tcPr>
            <w:tcW w:w="2122" w:type="pct"/>
            <w:tcBorders>
              <w:top w:val="single" w:sz="4" w:space="0" w:color="000000"/>
              <w:left w:val="single" w:sz="4" w:space="0" w:color="000000"/>
              <w:bottom w:val="single" w:sz="4" w:space="0" w:color="000000"/>
              <w:right w:val="single" w:sz="4" w:space="0" w:color="000000"/>
            </w:tcBorders>
            <w:hideMark/>
          </w:tcPr>
          <w:p w14:paraId="674E8B8C" w14:textId="77777777" w:rsidR="00970FB7" w:rsidRPr="004F72EF" w:rsidRDefault="00970FB7" w:rsidP="004F72EF">
            <w:pPr>
              <w:spacing w:line="257" w:lineRule="auto"/>
              <w:rPr>
                <w:rFonts w:eastAsia="Calibri"/>
                <w:sz w:val="20"/>
                <w:szCs w:val="20"/>
                <w:lang w:eastAsia="en-US"/>
              </w:rPr>
            </w:pPr>
            <w:r w:rsidRPr="004F72EF">
              <w:rPr>
                <w:rFonts w:eastAsia="Calibri"/>
                <w:bCs/>
                <w:sz w:val="20"/>
                <w:szCs w:val="20"/>
                <w:lang w:eastAsia="en-US"/>
              </w:rPr>
              <w:t>White</w:t>
            </w:r>
          </w:p>
        </w:tc>
        <w:tc>
          <w:tcPr>
            <w:tcW w:w="1308" w:type="pct"/>
            <w:tcBorders>
              <w:top w:val="single" w:sz="4" w:space="0" w:color="000000"/>
              <w:left w:val="single" w:sz="4" w:space="0" w:color="000000"/>
              <w:bottom w:val="single" w:sz="4" w:space="0" w:color="000000"/>
              <w:right w:val="single" w:sz="4" w:space="0" w:color="000000"/>
            </w:tcBorders>
            <w:hideMark/>
          </w:tcPr>
          <w:p w14:paraId="4B4C5B31" w14:textId="77777777" w:rsidR="00970FB7" w:rsidRPr="004F72EF" w:rsidRDefault="00970FB7" w:rsidP="004F72EF">
            <w:pPr>
              <w:spacing w:line="257" w:lineRule="auto"/>
              <w:rPr>
                <w:rFonts w:eastAsia="Calibri"/>
                <w:sz w:val="20"/>
                <w:szCs w:val="20"/>
                <w:lang w:eastAsia="en-US"/>
              </w:rPr>
            </w:pPr>
            <w:r w:rsidRPr="004F72EF">
              <w:rPr>
                <w:rFonts w:eastAsia="Calibri"/>
                <w:sz w:val="20"/>
                <w:szCs w:val="20"/>
                <w:lang w:eastAsia="en-US"/>
              </w:rPr>
              <w:t>UN R 23</w:t>
            </w:r>
            <w:r w:rsidR="003E7C88" w:rsidRPr="004F72EF">
              <w:rPr>
                <w:rFonts w:eastAsia="Calibri"/>
                <w:sz w:val="20"/>
                <w:szCs w:val="20"/>
                <w:lang w:eastAsia="en-US"/>
              </w:rPr>
              <w:t xml:space="preserve"> or ADR 102/00</w:t>
            </w:r>
          </w:p>
        </w:tc>
      </w:tr>
    </w:tbl>
    <w:p w14:paraId="539BC87B" w14:textId="77777777" w:rsidR="00970FB7" w:rsidRPr="0063796F" w:rsidRDefault="00970FB7" w:rsidP="003C013E">
      <w:pPr>
        <w:pStyle w:val="Scheduleitem"/>
        <w:numPr>
          <w:ilvl w:val="0"/>
          <w:numId w:val="0"/>
        </w:numPr>
        <w:sectPr w:rsidR="00970FB7" w:rsidRPr="0063796F" w:rsidSect="00F97BB1">
          <w:pgSz w:w="11906" w:h="16838"/>
          <w:pgMar w:top="1440" w:right="1701" w:bottom="1440" w:left="1701" w:header="709" w:footer="709" w:gutter="0"/>
          <w:cols w:space="708"/>
          <w:docGrid w:linePitch="360"/>
        </w:sectPr>
      </w:pPr>
    </w:p>
    <w:p w14:paraId="1A670A60" w14:textId="77777777" w:rsidR="007350C3" w:rsidRDefault="007350C3" w:rsidP="007350C3">
      <w:pPr>
        <w:pStyle w:val="Heading2"/>
        <w:numPr>
          <w:ilvl w:val="0"/>
          <w:numId w:val="0"/>
        </w:numPr>
        <w:spacing w:before="0"/>
        <w:ind w:left="1418" w:hanging="1418"/>
      </w:pPr>
      <w:bookmarkStart w:id="5" w:name="_Toc76112411"/>
      <w:bookmarkStart w:id="6" w:name="_Toc140579365"/>
      <w:r>
        <w:lastRenderedPageBreak/>
        <w:t>Schedule 2 – Amendments</w:t>
      </w:r>
      <w:bookmarkEnd w:id="5"/>
      <w:bookmarkEnd w:id="6"/>
    </w:p>
    <w:p w14:paraId="7E05C9BB" w14:textId="77777777" w:rsidR="007350C3" w:rsidRPr="00392CD7" w:rsidRDefault="007350C3" w:rsidP="007350C3">
      <w:pPr>
        <w:pStyle w:val="Heading3"/>
      </w:pPr>
      <w:r>
        <w:t xml:space="preserve">Vehicle Standard </w:t>
      </w:r>
      <w:r w:rsidRPr="00C42BB5">
        <w:t xml:space="preserve">(Australian Design Rule </w:t>
      </w:r>
      <w:r>
        <w:t>1</w:t>
      </w:r>
      <w:r w:rsidR="003E26C9">
        <w:t>9</w:t>
      </w:r>
      <w:r>
        <w:t>/02</w:t>
      </w:r>
      <w:r w:rsidRPr="00C42BB5">
        <w:t xml:space="preserve"> –</w:t>
      </w:r>
      <w:r>
        <w:t xml:space="preserve"> </w:t>
      </w:r>
      <w:r w:rsidR="003E26C9">
        <w:t>Installation of Lighting and Light Signalling Devices on L-Group Vehicles</w:t>
      </w:r>
      <w:r w:rsidRPr="00C42BB5">
        <w:t>) 200</w:t>
      </w:r>
      <w:r w:rsidR="003E26C9">
        <w:t>5</w:t>
      </w:r>
    </w:p>
    <w:p w14:paraId="3E62B452" w14:textId="14FF5E55" w:rsidR="003E7C88" w:rsidRDefault="003E7C88" w:rsidP="004F72EF">
      <w:pPr>
        <w:pStyle w:val="Scheduleitem"/>
        <w:numPr>
          <w:ilvl w:val="0"/>
          <w:numId w:val="20"/>
        </w:numPr>
      </w:pPr>
      <w:r>
        <w:t xml:space="preserve">Clause </w:t>
      </w:r>
      <w:r w:rsidR="00C05D32">
        <w:t>9</w:t>
      </w:r>
      <w:r>
        <w:t>.</w:t>
      </w:r>
      <w:r w:rsidR="00C05D32">
        <w:t>4</w:t>
      </w:r>
      <w:r w:rsidR="00612CC2">
        <w:t>, r</w:t>
      </w:r>
      <w:r>
        <w:t>epeal the clause, substitute:</w:t>
      </w:r>
    </w:p>
    <w:p w14:paraId="6BAC9424" w14:textId="73FB1052" w:rsidR="00C05D32" w:rsidRDefault="00C05D32" w:rsidP="00C05D32">
      <w:pPr>
        <w:pStyle w:val="Scheduleitem"/>
        <w:numPr>
          <w:ilvl w:val="0"/>
          <w:numId w:val="0"/>
        </w:numPr>
        <w:ind w:left="1440" w:hanging="720"/>
      </w:pPr>
      <w:r>
        <w:t>9</w:t>
      </w:r>
      <w:r w:rsidR="003E7C88">
        <w:t>.</w:t>
      </w:r>
      <w:r>
        <w:t>4</w:t>
      </w:r>
      <w:r w:rsidR="0068296F">
        <w:t>.</w:t>
      </w:r>
      <w:r w:rsidR="003E7C88">
        <w:tab/>
      </w:r>
      <w:r>
        <w:t>The colour of light emitted by lamps referred to in this national standard must be as specified in Table 1.</w:t>
      </w:r>
    </w:p>
    <w:p w14:paraId="56BC0790" w14:textId="77777777" w:rsidR="003E7C88" w:rsidRDefault="00C05D32" w:rsidP="00C05D32">
      <w:pPr>
        <w:pStyle w:val="Scheduleitem"/>
        <w:numPr>
          <w:ilvl w:val="0"/>
          <w:numId w:val="0"/>
        </w:numPr>
        <w:ind w:left="1440" w:hanging="720"/>
        <w:jc w:val="center"/>
      </w:pPr>
      <w: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1"/>
        <w:tblDescription w:val="Table shows the type of lamps, the colour of emitted light and the relevant component lighting rules applicable to corresponding lamps"/>
      </w:tblPr>
      <w:tblGrid>
        <w:gridCol w:w="3302"/>
        <w:gridCol w:w="2105"/>
        <w:gridCol w:w="3087"/>
      </w:tblGrid>
      <w:tr w:rsidR="00C05D32" w:rsidRPr="00253AB3" w14:paraId="71AE4821" w14:textId="77777777" w:rsidTr="00D85D2D">
        <w:trPr>
          <w:jc w:val="center"/>
        </w:trPr>
        <w:tc>
          <w:tcPr>
            <w:tcW w:w="0" w:type="auto"/>
          </w:tcPr>
          <w:p w14:paraId="067AFB1A" w14:textId="77777777" w:rsidR="00C05D32" w:rsidRPr="00253AB3" w:rsidRDefault="00C05D32" w:rsidP="00D85D2D">
            <w:pPr>
              <w:rPr>
                <w:b/>
              </w:rPr>
            </w:pPr>
            <w:r w:rsidRPr="00253AB3">
              <w:rPr>
                <w:b/>
              </w:rPr>
              <w:t>Lamp</w:t>
            </w:r>
          </w:p>
        </w:tc>
        <w:tc>
          <w:tcPr>
            <w:tcW w:w="0" w:type="auto"/>
          </w:tcPr>
          <w:p w14:paraId="36FFDB7A" w14:textId="77777777" w:rsidR="00C05D32" w:rsidRPr="00253AB3" w:rsidRDefault="00C05D32" w:rsidP="00D85D2D">
            <w:pPr>
              <w:rPr>
                <w:b/>
              </w:rPr>
            </w:pPr>
            <w:r w:rsidRPr="00253AB3">
              <w:rPr>
                <w:b/>
              </w:rPr>
              <w:t>Colour of emitted light</w:t>
            </w:r>
          </w:p>
        </w:tc>
        <w:tc>
          <w:tcPr>
            <w:tcW w:w="0" w:type="auto"/>
          </w:tcPr>
          <w:p w14:paraId="1093B8A8" w14:textId="77777777" w:rsidR="00C05D32" w:rsidRPr="00253AB3" w:rsidRDefault="00C05D32" w:rsidP="00D85D2D">
            <w:pPr>
              <w:rPr>
                <w:b/>
              </w:rPr>
            </w:pPr>
            <w:r>
              <w:rPr>
                <w:b/>
              </w:rPr>
              <w:t>ADR</w:t>
            </w:r>
          </w:p>
          <w:p w14:paraId="0E1FB6A3" w14:textId="77777777" w:rsidR="00C05D32" w:rsidRPr="00253AB3" w:rsidRDefault="00C05D32" w:rsidP="00D85D2D">
            <w:pPr>
              <w:rPr>
                <w:b/>
              </w:rPr>
            </w:pPr>
          </w:p>
        </w:tc>
      </w:tr>
      <w:tr w:rsidR="00C05D32" w:rsidRPr="00253AB3" w14:paraId="1498B4B3" w14:textId="77777777" w:rsidTr="00D85D2D">
        <w:trPr>
          <w:trHeight w:val="371"/>
          <w:jc w:val="center"/>
        </w:trPr>
        <w:tc>
          <w:tcPr>
            <w:tcW w:w="0" w:type="auto"/>
          </w:tcPr>
          <w:p w14:paraId="46120DAD" w14:textId="77777777" w:rsidR="00C05D32" w:rsidRPr="00253AB3" w:rsidRDefault="00C05D32" w:rsidP="00D85D2D">
            <w:r w:rsidRPr="00253AB3">
              <w:t xml:space="preserve">Driving (main-beam) </w:t>
            </w:r>
            <w:r>
              <w:t>l</w:t>
            </w:r>
            <w:r w:rsidRPr="00253AB3">
              <w:t>amp</w:t>
            </w:r>
          </w:p>
        </w:tc>
        <w:tc>
          <w:tcPr>
            <w:tcW w:w="0" w:type="auto"/>
          </w:tcPr>
          <w:p w14:paraId="3DA39112" w14:textId="77777777" w:rsidR="00C05D32" w:rsidRPr="00253AB3" w:rsidRDefault="00C05D32" w:rsidP="00D85D2D">
            <w:r w:rsidRPr="00253AB3">
              <w:t>White</w:t>
            </w:r>
          </w:p>
        </w:tc>
        <w:tc>
          <w:tcPr>
            <w:tcW w:w="0" w:type="auto"/>
          </w:tcPr>
          <w:p w14:paraId="4701369B" w14:textId="77777777" w:rsidR="00C05D32" w:rsidRPr="00253AB3" w:rsidRDefault="00C05D32" w:rsidP="00D85D2D">
            <w:r w:rsidRPr="00253AB3">
              <w:t>46/00, 55/00</w:t>
            </w:r>
            <w:r>
              <w:t xml:space="preserve"> or 103/00</w:t>
            </w:r>
          </w:p>
        </w:tc>
      </w:tr>
      <w:tr w:rsidR="00C05D32" w:rsidRPr="00253AB3" w14:paraId="29C7A445" w14:textId="77777777" w:rsidTr="00D85D2D">
        <w:trPr>
          <w:jc w:val="center"/>
        </w:trPr>
        <w:tc>
          <w:tcPr>
            <w:tcW w:w="0" w:type="auto"/>
          </w:tcPr>
          <w:p w14:paraId="4158E914" w14:textId="77777777" w:rsidR="00C05D32" w:rsidRPr="00253AB3" w:rsidRDefault="00C05D32" w:rsidP="00D85D2D">
            <w:r w:rsidRPr="00253AB3">
              <w:t xml:space="preserve">Passing (dipped-beam) </w:t>
            </w:r>
            <w:r>
              <w:t>l</w:t>
            </w:r>
            <w:r w:rsidRPr="00253AB3">
              <w:t>amp</w:t>
            </w:r>
          </w:p>
        </w:tc>
        <w:tc>
          <w:tcPr>
            <w:tcW w:w="0" w:type="auto"/>
          </w:tcPr>
          <w:p w14:paraId="0AF28AFF" w14:textId="77777777" w:rsidR="00C05D32" w:rsidRPr="00253AB3" w:rsidRDefault="00C05D32" w:rsidP="00D85D2D">
            <w:r w:rsidRPr="00253AB3">
              <w:t>White</w:t>
            </w:r>
          </w:p>
        </w:tc>
        <w:tc>
          <w:tcPr>
            <w:tcW w:w="0" w:type="auto"/>
          </w:tcPr>
          <w:p w14:paraId="15CB0D3D" w14:textId="77777777" w:rsidR="00C05D32" w:rsidRPr="00253AB3" w:rsidRDefault="00C05D32" w:rsidP="00D85D2D">
            <w:r w:rsidRPr="00253AB3">
              <w:t>46/00, 54/00 (mopeds)</w:t>
            </w:r>
            <w:r>
              <w:t xml:space="preserve">, </w:t>
            </w:r>
            <w:r w:rsidRPr="00253AB3">
              <w:t>55/00</w:t>
            </w:r>
            <w:r>
              <w:t xml:space="preserve"> or 103/00</w:t>
            </w:r>
          </w:p>
        </w:tc>
      </w:tr>
      <w:tr w:rsidR="00C05D32" w:rsidRPr="00253AB3" w14:paraId="7DF24364" w14:textId="77777777" w:rsidTr="00D85D2D">
        <w:trPr>
          <w:jc w:val="center"/>
        </w:trPr>
        <w:tc>
          <w:tcPr>
            <w:tcW w:w="0" w:type="auto"/>
          </w:tcPr>
          <w:p w14:paraId="6AF5AD00" w14:textId="77777777" w:rsidR="00C05D32" w:rsidRPr="00253AB3" w:rsidRDefault="00C05D32" w:rsidP="00D85D2D">
            <w:r w:rsidRPr="00253AB3">
              <w:t xml:space="preserve">Direction-indicator </w:t>
            </w:r>
            <w:r>
              <w:t>l</w:t>
            </w:r>
            <w:r w:rsidRPr="00253AB3">
              <w:t>amp</w:t>
            </w:r>
          </w:p>
        </w:tc>
        <w:tc>
          <w:tcPr>
            <w:tcW w:w="0" w:type="auto"/>
          </w:tcPr>
          <w:p w14:paraId="6DFAD335" w14:textId="77777777" w:rsidR="00C05D32" w:rsidRPr="00253AB3" w:rsidRDefault="00C05D32" w:rsidP="00D85D2D">
            <w:r w:rsidRPr="00253AB3">
              <w:t>Amber</w:t>
            </w:r>
          </w:p>
        </w:tc>
        <w:tc>
          <w:tcPr>
            <w:tcW w:w="0" w:type="auto"/>
          </w:tcPr>
          <w:p w14:paraId="4A857BFC" w14:textId="77777777" w:rsidR="00C05D32" w:rsidRPr="00253AB3" w:rsidRDefault="00C05D32" w:rsidP="00D85D2D">
            <w:r w:rsidRPr="00253AB3">
              <w:t>6/00</w:t>
            </w:r>
            <w:r>
              <w:t xml:space="preserve">, </w:t>
            </w:r>
            <w:r w:rsidRPr="00253AB3">
              <w:t>53/00</w:t>
            </w:r>
            <w:r>
              <w:t>, 102/00</w:t>
            </w:r>
          </w:p>
        </w:tc>
      </w:tr>
      <w:tr w:rsidR="00C05D32" w:rsidRPr="00253AB3" w14:paraId="36E86006" w14:textId="77777777" w:rsidTr="00D85D2D">
        <w:trPr>
          <w:jc w:val="center"/>
        </w:trPr>
        <w:tc>
          <w:tcPr>
            <w:tcW w:w="0" w:type="auto"/>
          </w:tcPr>
          <w:p w14:paraId="52105328" w14:textId="77777777" w:rsidR="00C05D32" w:rsidRPr="00253AB3" w:rsidRDefault="00C05D32" w:rsidP="00D85D2D">
            <w:r w:rsidRPr="00253AB3">
              <w:t xml:space="preserve">Stop </w:t>
            </w:r>
            <w:r>
              <w:t>l</w:t>
            </w:r>
            <w:r w:rsidRPr="00253AB3">
              <w:t>amp</w:t>
            </w:r>
          </w:p>
        </w:tc>
        <w:tc>
          <w:tcPr>
            <w:tcW w:w="0" w:type="auto"/>
          </w:tcPr>
          <w:p w14:paraId="5752FAE0" w14:textId="77777777" w:rsidR="00C05D32" w:rsidRPr="00253AB3" w:rsidRDefault="00C05D32" w:rsidP="00D85D2D">
            <w:r w:rsidRPr="00253AB3">
              <w:t>Red</w:t>
            </w:r>
          </w:p>
        </w:tc>
        <w:tc>
          <w:tcPr>
            <w:tcW w:w="0" w:type="auto"/>
          </w:tcPr>
          <w:p w14:paraId="256F38F2" w14:textId="77777777" w:rsidR="00C05D32" w:rsidRPr="00253AB3" w:rsidRDefault="00C05D32" w:rsidP="00D85D2D">
            <w:r w:rsidRPr="00253AB3">
              <w:t>49/00, 53/00</w:t>
            </w:r>
            <w:r>
              <w:t>, or 102/00</w:t>
            </w:r>
          </w:p>
        </w:tc>
      </w:tr>
      <w:tr w:rsidR="00C05D32" w:rsidRPr="00253AB3" w14:paraId="29E91F42" w14:textId="77777777" w:rsidTr="00D85D2D">
        <w:trPr>
          <w:jc w:val="center"/>
        </w:trPr>
        <w:tc>
          <w:tcPr>
            <w:tcW w:w="0" w:type="auto"/>
          </w:tcPr>
          <w:p w14:paraId="0BB8A44B" w14:textId="77777777" w:rsidR="00C05D32" w:rsidRPr="00253AB3" w:rsidRDefault="00C05D32" w:rsidP="00D85D2D">
            <w:r w:rsidRPr="00253AB3">
              <w:t>Rear registration plate illuminating device</w:t>
            </w:r>
          </w:p>
        </w:tc>
        <w:tc>
          <w:tcPr>
            <w:tcW w:w="0" w:type="auto"/>
          </w:tcPr>
          <w:p w14:paraId="45838A1E" w14:textId="77777777" w:rsidR="00C05D32" w:rsidRPr="00253AB3" w:rsidRDefault="00C05D32" w:rsidP="00D85D2D">
            <w:r w:rsidRPr="00253AB3">
              <w:t>White</w:t>
            </w:r>
          </w:p>
        </w:tc>
        <w:tc>
          <w:tcPr>
            <w:tcW w:w="0" w:type="auto"/>
          </w:tcPr>
          <w:p w14:paraId="62567591" w14:textId="77777777" w:rsidR="00C05D32" w:rsidRPr="00253AB3" w:rsidRDefault="00C05D32" w:rsidP="00D85D2D">
            <w:r w:rsidRPr="00253AB3">
              <w:t>53/00</w:t>
            </w:r>
            <w:r>
              <w:t xml:space="preserve"> or 102/00</w:t>
            </w:r>
          </w:p>
        </w:tc>
      </w:tr>
      <w:tr w:rsidR="00C05D32" w:rsidRPr="00253AB3" w14:paraId="4F773961" w14:textId="77777777" w:rsidTr="00D85D2D">
        <w:trPr>
          <w:jc w:val="center"/>
        </w:trPr>
        <w:tc>
          <w:tcPr>
            <w:tcW w:w="0" w:type="auto"/>
          </w:tcPr>
          <w:p w14:paraId="6F60E9CF" w14:textId="77777777" w:rsidR="00C05D32" w:rsidRPr="00253AB3" w:rsidRDefault="00C05D32" w:rsidP="00D85D2D">
            <w:r w:rsidRPr="00253AB3">
              <w:t>Front position lamp</w:t>
            </w:r>
          </w:p>
        </w:tc>
        <w:tc>
          <w:tcPr>
            <w:tcW w:w="0" w:type="auto"/>
          </w:tcPr>
          <w:p w14:paraId="73F6AB4C" w14:textId="77777777" w:rsidR="00C05D32" w:rsidRPr="00253AB3" w:rsidRDefault="00C05D32" w:rsidP="00D85D2D">
            <w:r w:rsidRPr="00253AB3">
              <w:t xml:space="preserve">White </w:t>
            </w:r>
          </w:p>
        </w:tc>
        <w:tc>
          <w:tcPr>
            <w:tcW w:w="0" w:type="auto"/>
          </w:tcPr>
          <w:p w14:paraId="5916819D" w14:textId="77777777" w:rsidR="00C05D32" w:rsidRPr="00253AB3" w:rsidRDefault="00C05D32" w:rsidP="00D85D2D">
            <w:r w:rsidRPr="00253AB3">
              <w:t>49/00, 53/00</w:t>
            </w:r>
            <w:r>
              <w:t xml:space="preserve"> or 102/00</w:t>
            </w:r>
          </w:p>
        </w:tc>
      </w:tr>
      <w:tr w:rsidR="00C05D32" w:rsidRPr="00253AB3" w14:paraId="18E07870" w14:textId="77777777" w:rsidTr="00D85D2D">
        <w:trPr>
          <w:jc w:val="center"/>
        </w:trPr>
        <w:tc>
          <w:tcPr>
            <w:tcW w:w="0" w:type="auto"/>
          </w:tcPr>
          <w:p w14:paraId="2BE113CF" w14:textId="77777777" w:rsidR="00C05D32" w:rsidRPr="00253AB3" w:rsidRDefault="00C05D32" w:rsidP="00D85D2D">
            <w:r w:rsidRPr="00253AB3">
              <w:t>Rear position lamp</w:t>
            </w:r>
          </w:p>
        </w:tc>
        <w:tc>
          <w:tcPr>
            <w:tcW w:w="0" w:type="auto"/>
          </w:tcPr>
          <w:p w14:paraId="74C1B04E" w14:textId="77777777" w:rsidR="00C05D32" w:rsidRPr="00253AB3" w:rsidRDefault="00C05D32" w:rsidP="00D85D2D">
            <w:r w:rsidRPr="00253AB3">
              <w:t>Red</w:t>
            </w:r>
          </w:p>
        </w:tc>
        <w:tc>
          <w:tcPr>
            <w:tcW w:w="0" w:type="auto"/>
          </w:tcPr>
          <w:p w14:paraId="4595A4CF" w14:textId="77777777" w:rsidR="00C05D32" w:rsidRPr="00253AB3" w:rsidRDefault="00C05D32" w:rsidP="00D85D2D">
            <w:r w:rsidRPr="00253AB3">
              <w:t>49/00, 53/00</w:t>
            </w:r>
            <w:r>
              <w:t xml:space="preserve"> or 102/00</w:t>
            </w:r>
          </w:p>
        </w:tc>
      </w:tr>
      <w:tr w:rsidR="00C05D32" w:rsidRPr="00253AB3" w14:paraId="715AB24C" w14:textId="77777777" w:rsidTr="00D85D2D">
        <w:trPr>
          <w:jc w:val="center"/>
        </w:trPr>
        <w:tc>
          <w:tcPr>
            <w:tcW w:w="0" w:type="auto"/>
          </w:tcPr>
          <w:p w14:paraId="76790EFD" w14:textId="77777777" w:rsidR="00C05D32" w:rsidRPr="00253AB3" w:rsidRDefault="00C05D32" w:rsidP="00D85D2D">
            <w:r w:rsidRPr="00253AB3">
              <w:t>Rear retro-reflector, non-triangular</w:t>
            </w:r>
          </w:p>
        </w:tc>
        <w:tc>
          <w:tcPr>
            <w:tcW w:w="0" w:type="auto"/>
          </w:tcPr>
          <w:p w14:paraId="1D4109DB" w14:textId="77777777" w:rsidR="00C05D32" w:rsidRPr="00253AB3" w:rsidRDefault="00C05D32" w:rsidP="00D85D2D">
            <w:r w:rsidRPr="00253AB3">
              <w:t>Red</w:t>
            </w:r>
          </w:p>
        </w:tc>
        <w:tc>
          <w:tcPr>
            <w:tcW w:w="0" w:type="auto"/>
          </w:tcPr>
          <w:p w14:paraId="6323D978" w14:textId="77777777" w:rsidR="00C05D32" w:rsidRPr="00253AB3" w:rsidRDefault="00C05D32" w:rsidP="00D85D2D">
            <w:r w:rsidRPr="00253AB3">
              <w:t>47/00</w:t>
            </w:r>
            <w:r>
              <w:t xml:space="preserve"> or 104/00</w:t>
            </w:r>
          </w:p>
        </w:tc>
      </w:tr>
      <w:tr w:rsidR="00C05D32" w:rsidRPr="00253AB3" w14:paraId="398ADBF4" w14:textId="77777777" w:rsidTr="00D85D2D">
        <w:trPr>
          <w:jc w:val="center"/>
        </w:trPr>
        <w:tc>
          <w:tcPr>
            <w:tcW w:w="0" w:type="auto"/>
          </w:tcPr>
          <w:p w14:paraId="3F77086B" w14:textId="77777777" w:rsidR="00C05D32" w:rsidRPr="00253AB3" w:rsidRDefault="00C05D32" w:rsidP="00D85D2D">
            <w:r w:rsidRPr="00253AB3">
              <w:t>Side retro-reflector, non-triangular</w:t>
            </w:r>
          </w:p>
        </w:tc>
        <w:tc>
          <w:tcPr>
            <w:tcW w:w="0" w:type="auto"/>
          </w:tcPr>
          <w:p w14:paraId="548ABF9F" w14:textId="77777777" w:rsidR="00C05D32" w:rsidRPr="00253AB3" w:rsidRDefault="00C05D32" w:rsidP="00D85D2D">
            <w:r w:rsidRPr="00253AB3">
              <w:t>Amber</w:t>
            </w:r>
          </w:p>
        </w:tc>
        <w:tc>
          <w:tcPr>
            <w:tcW w:w="0" w:type="auto"/>
          </w:tcPr>
          <w:p w14:paraId="69E60CED" w14:textId="77777777" w:rsidR="00C05D32" w:rsidRPr="00253AB3" w:rsidRDefault="00C05D32" w:rsidP="00D85D2D">
            <w:r w:rsidRPr="00253AB3">
              <w:t>47/00</w:t>
            </w:r>
            <w:r>
              <w:t xml:space="preserve"> or 104/00</w:t>
            </w:r>
          </w:p>
        </w:tc>
      </w:tr>
      <w:tr w:rsidR="00C05D32" w:rsidRPr="00253AB3" w14:paraId="62A39D28" w14:textId="77777777" w:rsidTr="00D85D2D">
        <w:trPr>
          <w:jc w:val="center"/>
        </w:trPr>
        <w:tc>
          <w:tcPr>
            <w:tcW w:w="0" w:type="auto"/>
          </w:tcPr>
          <w:p w14:paraId="1F250326" w14:textId="77777777" w:rsidR="00C05D32" w:rsidRPr="00253AB3" w:rsidRDefault="00C05D32" w:rsidP="00D85D2D">
            <w:r w:rsidRPr="00253AB3">
              <w:t>Vehicle-hazard warning signal</w:t>
            </w:r>
          </w:p>
        </w:tc>
        <w:tc>
          <w:tcPr>
            <w:tcW w:w="0" w:type="auto"/>
          </w:tcPr>
          <w:p w14:paraId="69F684AC" w14:textId="77777777" w:rsidR="00C05D32" w:rsidRPr="00253AB3" w:rsidRDefault="00C05D32" w:rsidP="00D85D2D">
            <w:r w:rsidRPr="00253AB3">
              <w:t>Amber</w:t>
            </w:r>
          </w:p>
        </w:tc>
        <w:tc>
          <w:tcPr>
            <w:tcW w:w="0" w:type="auto"/>
          </w:tcPr>
          <w:p w14:paraId="314C9958" w14:textId="77777777" w:rsidR="00C05D32" w:rsidRPr="00253AB3" w:rsidRDefault="00C05D32" w:rsidP="00D85D2D">
            <w:r w:rsidRPr="00253AB3">
              <w:t>53/00</w:t>
            </w:r>
            <w:r>
              <w:t xml:space="preserve">, </w:t>
            </w:r>
            <w:r w:rsidRPr="00253AB3">
              <w:t>6/00</w:t>
            </w:r>
            <w:r>
              <w:t xml:space="preserve"> or 102/00</w:t>
            </w:r>
          </w:p>
        </w:tc>
      </w:tr>
      <w:tr w:rsidR="00C05D32" w:rsidRPr="00253AB3" w14:paraId="145BBC94" w14:textId="77777777" w:rsidTr="00D85D2D">
        <w:trPr>
          <w:jc w:val="center"/>
        </w:trPr>
        <w:tc>
          <w:tcPr>
            <w:tcW w:w="0" w:type="auto"/>
          </w:tcPr>
          <w:p w14:paraId="39D0FFB8" w14:textId="77777777" w:rsidR="00C05D32" w:rsidRPr="00253AB3" w:rsidRDefault="00C05D32" w:rsidP="00D85D2D">
            <w:r w:rsidRPr="00253AB3">
              <w:t>Front fog lamp</w:t>
            </w:r>
          </w:p>
        </w:tc>
        <w:tc>
          <w:tcPr>
            <w:tcW w:w="0" w:type="auto"/>
          </w:tcPr>
          <w:p w14:paraId="21EEF6CF" w14:textId="77777777" w:rsidR="00C05D32" w:rsidRPr="00253AB3" w:rsidRDefault="00C05D32" w:rsidP="00D85D2D">
            <w:r w:rsidRPr="00253AB3">
              <w:t>White or yellow</w:t>
            </w:r>
          </w:p>
        </w:tc>
        <w:tc>
          <w:tcPr>
            <w:tcW w:w="0" w:type="auto"/>
          </w:tcPr>
          <w:p w14:paraId="677F292E" w14:textId="77777777" w:rsidR="00C05D32" w:rsidRPr="00253AB3" w:rsidRDefault="00C05D32" w:rsidP="00D85D2D">
            <w:r w:rsidRPr="00253AB3">
              <w:t>50/00</w:t>
            </w:r>
            <w:r>
              <w:t xml:space="preserve"> or 103/00</w:t>
            </w:r>
          </w:p>
        </w:tc>
      </w:tr>
      <w:tr w:rsidR="00C05D32" w:rsidRPr="00253AB3" w14:paraId="33EB8D0F" w14:textId="77777777" w:rsidTr="00D85D2D">
        <w:trPr>
          <w:jc w:val="center"/>
        </w:trPr>
        <w:tc>
          <w:tcPr>
            <w:tcW w:w="0" w:type="auto"/>
          </w:tcPr>
          <w:p w14:paraId="1E5E3EB4" w14:textId="77777777" w:rsidR="00C05D32" w:rsidRPr="00253AB3" w:rsidRDefault="00C05D32" w:rsidP="00D85D2D">
            <w:r w:rsidRPr="00253AB3">
              <w:t>Rear fog lamp</w:t>
            </w:r>
          </w:p>
        </w:tc>
        <w:tc>
          <w:tcPr>
            <w:tcW w:w="0" w:type="auto"/>
          </w:tcPr>
          <w:p w14:paraId="20983711" w14:textId="77777777" w:rsidR="00C05D32" w:rsidRPr="00253AB3" w:rsidRDefault="00C05D32" w:rsidP="00D85D2D">
            <w:r w:rsidRPr="00253AB3">
              <w:t>Red</w:t>
            </w:r>
          </w:p>
        </w:tc>
        <w:tc>
          <w:tcPr>
            <w:tcW w:w="0" w:type="auto"/>
          </w:tcPr>
          <w:p w14:paraId="0A853915" w14:textId="77777777" w:rsidR="00C05D32" w:rsidRPr="00253AB3" w:rsidRDefault="00C05D32" w:rsidP="00D85D2D">
            <w:r w:rsidRPr="00253AB3">
              <w:t>52/00</w:t>
            </w:r>
            <w:r>
              <w:t xml:space="preserve"> or 102/00</w:t>
            </w:r>
          </w:p>
        </w:tc>
      </w:tr>
      <w:tr w:rsidR="00C05D32" w:rsidRPr="00253AB3" w14:paraId="45E74872" w14:textId="77777777" w:rsidTr="00D85D2D">
        <w:trPr>
          <w:jc w:val="center"/>
        </w:trPr>
        <w:tc>
          <w:tcPr>
            <w:tcW w:w="0" w:type="auto"/>
          </w:tcPr>
          <w:p w14:paraId="6E8F354A" w14:textId="77777777" w:rsidR="00C05D32" w:rsidRPr="00253AB3" w:rsidRDefault="00C05D32" w:rsidP="00D85D2D">
            <w:r w:rsidRPr="00253AB3">
              <w:t>Front retro-reflector, non-triangular</w:t>
            </w:r>
          </w:p>
        </w:tc>
        <w:tc>
          <w:tcPr>
            <w:tcW w:w="0" w:type="auto"/>
          </w:tcPr>
          <w:p w14:paraId="06FC449C" w14:textId="77777777" w:rsidR="00C05D32" w:rsidRPr="00253AB3" w:rsidRDefault="00C05D32" w:rsidP="00D85D2D">
            <w:r w:rsidRPr="00253AB3">
              <w:t>Identical to incident light</w:t>
            </w:r>
          </w:p>
        </w:tc>
        <w:tc>
          <w:tcPr>
            <w:tcW w:w="0" w:type="auto"/>
          </w:tcPr>
          <w:p w14:paraId="16E0B75E" w14:textId="77777777" w:rsidR="00C05D32" w:rsidRPr="00253AB3" w:rsidRDefault="00C05D32" w:rsidP="00D85D2D">
            <w:r w:rsidRPr="00253AB3">
              <w:t>47/00</w:t>
            </w:r>
            <w:r>
              <w:t xml:space="preserve"> or 104/00</w:t>
            </w:r>
          </w:p>
        </w:tc>
      </w:tr>
      <w:tr w:rsidR="00C05D32" w:rsidRPr="00253AB3" w14:paraId="74CA9D24" w14:textId="77777777" w:rsidTr="00D85D2D">
        <w:trPr>
          <w:jc w:val="center"/>
        </w:trPr>
        <w:tc>
          <w:tcPr>
            <w:tcW w:w="0" w:type="auto"/>
          </w:tcPr>
          <w:p w14:paraId="54D31933" w14:textId="77777777" w:rsidR="00C05D32" w:rsidRPr="00253AB3" w:rsidRDefault="00C05D32" w:rsidP="00D85D2D">
            <w:r w:rsidRPr="00253AB3">
              <w:t xml:space="preserve">Reversing </w:t>
            </w:r>
            <w:r>
              <w:t>l</w:t>
            </w:r>
            <w:r w:rsidRPr="00253AB3">
              <w:t>amp</w:t>
            </w:r>
          </w:p>
        </w:tc>
        <w:tc>
          <w:tcPr>
            <w:tcW w:w="0" w:type="auto"/>
          </w:tcPr>
          <w:p w14:paraId="417AA6EC" w14:textId="77777777" w:rsidR="00C05D32" w:rsidRPr="00253AB3" w:rsidRDefault="00C05D32" w:rsidP="00D85D2D">
            <w:r w:rsidRPr="00253AB3">
              <w:t>(rear) white</w:t>
            </w:r>
          </w:p>
        </w:tc>
        <w:tc>
          <w:tcPr>
            <w:tcW w:w="0" w:type="auto"/>
          </w:tcPr>
          <w:p w14:paraId="19628D12" w14:textId="77777777" w:rsidR="00C05D32" w:rsidRPr="00253AB3" w:rsidRDefault="00C05D32" w:rsidP="00D85D2D">
            <w:r w:rsidRPr="00253AB3">
              <w:t>1/00</w:t>
            </w:r>
            <w:r>
              <w:t xml:space="preserve"> or 102/00</w:t>
            </w:r>
          </w:p>
        </w:tc>
      </w:tr>
      <w:tr w:rsidR="00C05D32" w:rsidRPr="00253AB3" w14:paraId="0ACC1EA2" w14:textId="77777777" w:rsidTr="00D85D2D">
        <w:trPr>
          <w:jc w:val="center"/>
        </w:trPr>
        <w:tc>
          <w:tcPr>
            <w:tcW w:w="0" w:type="auto"/>
          </w:tcPr>
          <w:p w14:paraId="1BFB515C" w14:textId="77777777" w:rsidR="00C05D32" w:rsidRPr="00253AB3" w:rsidRDefault="00C05D32" w:rsidP="00D85D2D">
            <w:r w:rsidRPr="00253AB3">
              <w:t xml:space="preserve">Parking </w:t>
            </w:r>
            <w:r>
              <w:t>l</w:t>
            </w:r>
            <w:r w:rsidRPr="00253AB3">
              <w:t>amp</w:t>
            </w:r>
          </w:p>
        </w:tc>
        <w:tc>
          <w:tcPr>
            <w:tcW w:w="0" w:type="auto"/>
          </w:tcPr>
          <w:p w14:paraId="136D03D3" w14:textId="77777777" w:rsidR="00C05D32" w:rsidRPr="00253AB3" w:rsidRDefault="00C05D32" w:rsidP="00D85D2D">
            <w:r w:rsidRPr="00253AB3">
              <w:t>White, red or amber</w:t>
            </w:r>
          </w:p>
        </w:tc>
        <w:tc>
          <w:tcPr>
            <w:tcW w:w="0" w:type="auto"/>
          </w:tcPr>
          <w:p w14:paraId="5838817B" w14:textId="77777777" w:rsidR="00C05D32" w:rsidRPr="00253AB3" w:rsidRDefault="00C05D32" w:rsidP="00D85D2D">
            <w:r w:rsidRPr="00253AB3">
              <w:t>86/00, 49/00, 53/00</w:t>
            </w:r>
            <w:r>
              <w:t xml:space="preserve"> or 102/00</w:t>
            </w:r>
          </w:p>
        </w:tc>
      </w:tr>
    </w:tbl>
    <w:p w14:paraId="53BFE340" w14:textId="77777777" w:rsidR="007350C3" w:rsidRDefault="007350C3" w:rsidP="003E7C88">
      <w:pPr>
        <w:pStyle w:val="Scheduleitem"/>
        <w:numPr>
          <w:ilvl w:val="0"/>
          <w:numId w:val="0"/>
        </w:numPr>
        <w:ind w:left="720"/>
      </w:pPr>
    </w:p>
    <w:p w14:paraId="037DE326" w14:textId="77777777" w:rsidR="007350C3" w:rsidRPr="00246550" w:rsidRDefault="007350C3" w:rsidP="00150F68">
      <w:pPr>
        <w:pStyle w:val="Scheduleitem"/>
        <w:keepNext w:val="0"/>
        <w:numPr>
          <w:ilvl w:val="0"/>
          <w:numId w:val="0"/>
        </w:numPr>
        <w:ind w:left="2160" w:hanging="1440"/>
      </w:pPr>
    </w:p>
    <w:p w14:paraId="0F7FD491" w14:textId="77777777" w:rsidR="00856B5D" w:rsidRDefault="00856B5D" w:rsidP="00856B5D"/>
    <w:p w14:paraId="360A7526" w14:textId="77777777" w:rsidR="00DB03F8" w:rsidRDefault="00DB03F8" w:rsidP="00856B5D">
      <w:pPr>
        <w:sectPr w:rsidR="00DB03F8" w:rsidSect="00F97BB1">
          <w:pgSz w:w="11906" w:h="16838"/>
          <w:pgMar w:top="1440" w:right="1701" w:bottom="1440" w:left="1701" w:header="709" w:footer="709" w:gutter="0"/>
          <w:cols w:space="708"/>
          <w:docGrid w:linePitch="360"/>
        </w:sectPr>
      </w:pPr>
    </w:p>
    <w:p w14:paraId="4A3D0EAB" w14:textId="77777777" w:rsidR="00CA4541" w:rsidRDefault="00CA4541" w:rsidP="00CA4541">
      <w:pPr>
        <w:pStyle w:val="Heading2"/>
        <w:numPr>
          <w:ilvl w:val="0"/>
          <w:numId w:val="0"/>
        </w:numPr>
        <w:spacing w:before="0"/>
        <w:ind w:left="1418" w:hanging="1418"/>
      </w:pPr>
      <w:bookmarkStart w:id="7" w:name="_Toc140579366"/>
      <w:r w:rsidRPr="00392CD7">
        <w:lastRenderedPageBreak/>
        <w:t xml:space="preserve">Schedule </w:t>
      </w:r>
      <w:r>
        <w:t>3 – Amendments</w:t>
      </w:r>
      <w:bookmarkEnd w:id="7"/>
    </w:p>
    <w:p w14:paraId="23688420" w14:textId="77777777" w:rsidR="003E26C9" w:rsidRPr="00392CD7" w:rsidRDefault="003E26C9" w:rsidP="003E26C9">
      <w:pPr>
        <w:pStyle w:val="Heading3"/>
      </w:pPr>
      <w:r>
        <w:t xml:space="preserve">Vehicle Standard </w:t>
      </w:r>
      <w:r w:rsidRPr="00C42BB5">
        <w:t xml:space="preserve">(Australian Design Rule </w:t>
      </w:r>
      <w:r>
        <w:t>19/01</w:t>
      </w:r>
      <w:r w:rsidRPr="00C42BB5">
        <w:t xml:space="preserve"> –</w:t>
      </w:r>
      <w:r>
        <w:t xml:space="preserve"> Installation of Lighting and Light Signalling Devices on L-Group Vehicles</w:t>
      </w:r>
      <w:r w:rsidRPr="00C42BB5">
        <w:t>) 200</w:t>
      </w:r>
      <w:r>
        <w:t>7</w:t>
      </w:r>
    </w:p>
    <w:p w14:paraId="7C4AD84B" w14:textId="446D653B" w:rsidR="00D85D2D" w:rsidRDefault="00D85D2D" w:rsidP="004F72EF">
      <w:pPr>
        <w:pStyle w:val="Scheduleitem"/>
        <w:numPr>
          <w:ilvl w:val="0"/>
          <w:numId w:val="21"/>
        </w:numPr>
      </w:pPr>
      <w:r>
        <w:t>Clause 6.4</w:t>
      </w:r>
      <w:r w:rsidR="00612CC2">
        <w:t>, r</w:t>
      </w:r>
      <w:r>
        <w:t>epeal the clause, substitute:</w:t>
      </w:r>
    </w:p>
    <w:p w14:paraId="5E58BB71" w14:textId="01ADFE7F" w:rsidR="00D85D2D" w:rsidRDefault="00D85D2D" w:rsidP="00D85D2D">
      <w:pPr>
        <w:pStyle w:val="Scheduleitem"/>
        <w:numPr>
          <w:ilvl w:val="0"/>
          <w:numId w:val="0"/>
        </w:numPr>
        <w:ind w:left="1440" w:hanging="720"/>
      </w:pPr>
      <w:r>
        <w:t>6.4</w:t>
      </w:r>
      <w:r w:rsidR="0068296F">
        <w:t>.</w:t>
      </w:r>
      <w:r>
        <w:tab/>
        <w:t>The colour of light emitted by lamps referred to in this national standard must be as specified in Table 1.</w:t>
      </w:r>
    </w:p>
    <w:p w14:paraId="0D1BC42E" w14:textId="77777777" w:rsidR="00D85D2D" w:rsidRDefault="00D85D2D" w:rsidP="00D85D2D">
      <w:pPr>
        <w:pStyle w:val="Scheduleitem"/>
        <w:numPr>
          <w:ilvl w:val="0"/>
          <w:numId w:val="0"/>
        </w:numPr>
        <w:ind w:left="1440" w:hanging="720"/>
        <w:jc w:val="center"/>
      </w:pPr>
      <w: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1"/>
        <w:tblDescription w:val="Table shows the type of lamps, the colour of emitted light and the relevant component lighting rules applicable to corresponding lamps"/>
      </w:tblPr>
      <w:tblGrid>
        <w:gridCol w:w="3302"/>
        <w:gridCol w:w="2105"/>
        <w:gridCol w:w="3087"/>
      </w:tblGrid>
      <w:tr w:rsidR="00D85D2D" w:rsidRPr="00253AB3" w14:paraId="0BD1E9A2" w14:textId="77777777" w:rsidTr="00D85D2D">
        <w:trPr>
          <w:jc w:val="center"/>
        </w:trPr>
        <w:tc>
          <w:tcPr>
            <w:tcW w:w="0" w:type="auto"/>
          </w:tcPr>
          <w:p w14:paraId="7D41E249" w14:textId="77777777" w:rsidR="00D85D2D" w:rsidRPr="00253AB3" w:rsidRDefault="00D85D2D" w:rsidP="00D85D2D">
            <w:pPr>
              <w:rPr>
                <w:b/>
              </w:rPr>
            </w:pPr>
            <w:r w:rsidRPr="00253AB3">
              <w:rPr>
                <w:b/>
              </w:rPr>
              <w:t>Lamp</w:t>
            </w:r>
          </w:p>
        </w:tc>
        <w:tc>
          <w:tcPr>
            <w:tcW w:w="0" w:type="auto"/>
          </w:tcPr>
          <w:p w14:paraId="639318F5" w14:textId="77777777" w:rsidR="00D85D2D" w:rsidRPr="00253AB3" w:rsidRDefault="00D85D2D" w:rsidP="00D85D2D">
            <w:pPr>
              <w:rPr>
                <w:b/>
              </w:rPr>
            </w:pPr>
            <w:r w:rsidRPr="00253AB3">
              <w:rPr>
                <w:b/>
              </w:rPr>
              <w:t>Colour of emitted light</w:t>
            </w:r>
          </w:p>
        </w:tc>
        <w:tc>
          <w:tcPr>
            <w:tcW w:w="0" w:type="auto"/>
          </w:tcPr>
          <w:p w14:paraId="1D315462" w14:textId="77777777" w:rsidR="00D85D2D" w:rsidRPr="00253AB3" w:rsidRDefault="00D85D2D" w:rsidP="00D85D2D">
            <w:pPr>
              <w:rPr>
                <w:b/>
              </w:rPr>
            </w:pPr>
            <w:r>
              <w:rPr>
                <w:b/>
              </w:rPr>
              <w:t>ADR</w:t>
            </w:r>
          </w:p>
          <w:p w14:paraId="087F043A" w14:textId="77777777" w:rsidR="00D85D2D" w:rsidRPr="00253AB3" w:rsidRDefault="00D85D2D" w:rsidP="00D85D2D">
            <w:pPr>
              <w:rPr>
                <w:b/>
              </w:rPr>
            </w:pPr>
          </w:p>
        </w:tc>
      </w:tr>
      <w:tr w:rsidR="00D85D2D" w:rsidRPr="00253AB3" w14:paraId="13863D21" w14:textId="77777777" w:rsidTr="00D85D2D">
        <w:trPr>
          <w:trHeight w:val="371"/>
          <w:jc w:val="center"/>
        </w:trPr>
        <w:tc>
          <w:tcPr>
            <w:tcW w:w="0" w:type="auto"/>
          </w:tcPr>
          <w:p w14:paraId="0EFCA70C" w14:textId="77777777" w:rsidR="00D85D2D" w:rsidRPr="00253AB3" w:rsidRDefault="00D85D2D" w:rsidP="00D85D2D">
            <w:r w:rsidRPr="00253AB3">
              <w:t xml:space="preserve">Driving (main-beam) </w:t>
            </w:r>
            <w:r>
              <w:t>l</w:t>
            </w:r>
            <w:r w:rsidRPr="00253AB3">
              <w:t>amp</w:t>
            </w:r>
          </w:p>
        </w:tc>
        <w:tc>
          <w:tcPr>
            <w:tcW w:w="0" w:type="auto"/>
          </w:tcPr>
          <w:p w14:paraId="0DA13DDF" w14:textId="77777777" w:rsidR="00D85D2D" w:rsidRPr="00253AB3" w:rsidRDefault="00D85D2D" w:rsidP="00D85D2D">
            <w:r w:rsidRPr="00253AB3">
              <w:t>White</w:t>
            </w:r>
          </w:p>
        </w:tc>
        <w:tc>
          <w:tcPr>
            <w:tcW w:w="0" w:type="auto"/>
          </w:tcPr>
          <w:p w14:paraId="7DCF4490" w14:textId="77777777" w:rsidR="00D85D2D" w:rsidRPr="00253AB3" w:rsidRDefault="00D85D2D" w:rsidP="00D85D2D">
            <w:r w:rsidRPr="00253AB3">
              <w:t>46/00, 55/00</w:t>
            </w:r>
            <w:r>
              <w:t xml:space="preserve"> or 103/00</w:t>
            </w:r>
          </w:p>
        </w:tc>
      </w:tr>
      <w:tr w:rsidR="00D85D2D" w:rsidRPr="00253AB3" w14:paraId="5E6F0E94" w14:textId="77777777" w:rsidTr="00D85D2D">
        <w:trPr>
          <w:jc w:val="center"/>
        </w:trPr>
        <w:tc>
          <w:tcPr>
            <w:tcW w:w="0" w:type="auto"/>
          </w:tcPr>
          <w:p w14:paraId="1FE3D55C" w14:textId="77777777" w:rsidR="00D85D2D" w:rsidRPr="00253AB3" w:rsidRDefault="00D85D2D" w:rsidP="00D85D2D">
            <w:r w:rsidRPr="00253AB3">
              <w:t xml:space="preserve">Passing (dipped-beam) </w:t>
            </w:r>
            <w:r>
              <w:t>l</w:t>
            </w:r>
            <w:r w:rsidRPr="00253AB3">
              <w:t>amp</w:t>
            </w:r>
          </w:p>
        </w:tc>
        <w:tc>
          <w:tcPr>
            <w:tcW w:w="0" w:type="auto"/>
          </w:tcPr>
          <w:p w14:paraId="027CF102" w14:textId="77777777" w:rsidR="00D85D2D" w:rsidRPr="00253AB3" w:rsidRDefault="00D85D2D" w:rsidP="00D85D2D">
            <w:r w:rsidRPr="00253AB3">
              <w:t>White</w:t>
            </w:r>
          </w:p>
        </w:tc>
        <w:tc>
          <w:tcPr>
            <w:tcW w:w="0" w:type="auto"/>
          </w:tcPr>
          <w:p w14:paraId="0E369140" w14:textId="77777777" w:rsidR="00D85D2D" w:rsidRPr="00253AB3" w:rsidRDefault="00D85D2D" w:rsidP="00D85D2D">
            <w:r w:rsidRPr="00253AB3">
              <w:t>46/00, 54/00 (mopeds)</w:t>
            </w:r>
            <w:r>
              <w:t xml:space="preserve">, </w:t>
            </w:r>
            <w:r w:rsidRPr="00253AB3">
              <w:t>55/00</w:t>
            </w:r>
            <w:r>
              <w:t xml:space="preserve"> or 103/00</w:t>
            </w:r>
          </w:p>
        </w:tc>
      </w:tr>
      <w:tr w:rsidR="00D85D2D" w:rsidRPr="00253AB3" w14:paraId="7CFD2957" w14:textId="77777777" w:rsidTr="00D85D2D">
        <w:trPr>
          <w:jc w:val="center"/>
        </w:trPr>
        <w:tc>
          <w:tcPr>
            <w:tcW w:w="0" w:type="auto"/>
          </w:tcPr>
          <w:p w14:paraId="658F3BCC" w14:textId="77777777" w:rsidR="00D85D2D" w:rsidRPr="00253AB3" w:rsidRDefault="00D85D2D" w:rsidP="00D85D2D">
            <w:r w:rsidRPr="00253AB3">
              <w:t xml:space="preserve">Direction-indicator </w:t>
            </w:r>
            <w:r>
              <w:t>l</w:t>
            </w:r>
            <w:r w:rsidRPr="00253AB3">
              <w:t>amp</w:t>
            </w:r>
          </w:p>
        </w:tc>
        <w:tc>
          <w:tcPr>
            <w:tcW w:w="0" w:type="auto"/>
          </w:tcPr>
          <w:p w14:paraId="42F600DD" w14:textId="77777777" w:rsidR="00D85D2D" w:rsidRPr="00253AB3" w:rsidRDefault="00D85D2D" w:rsidP="00D85D2D">
            <w:r w:rsidRPr="00253AB3">
              <w:t>Amber</w:t>
            </w:r>
          </w:p>
        </w:tc>
        <w:tc>
          <w:tcPr>
            <w:tcW w:w="0" w:type="auto"/>
          </w:tcPr>
          <w:p w14:paraId="728BEC82" w14:textId="77777777" w:rsidR="00D85D2D" w:rsidRPr="00253AB3" w:rsidRDefault="00D85D2D" w:rsidP="00D85D2D">
            <w:r w:rsidRPr="00253AB3">
              <w:t>6/00</w:t>
            </w:r>
            <w:r>
              <w:t xml:space="preserve">, </w:t>
            </w:r>
            <w:r w:rsidRPr="00253AB3">
              <w:t>53/00</w:t>
            </w:r>
            <w:r>
              <w:t>, 102/00</w:t>
            </w:r>
          </w:p>
        </w:tc>
      </w:tr>
      <w:tr w:rsidR="00D85D2D" w:rsidRPr="00253AB3" w14:paraId="14906261" w14:textId="77777777" w:rsidTr="00D85D2D">
        <w:trPr>
          <w:jc w:val="center"/>
        </w:trPr>
        <w:tc>
          <w:tcPr>
            <w:tcW w:w="0" w:type="auto"/>
          </w:tcPr>
          <w:p w14:paraId="1727E106" w14:textId="77777777" w:rsidR="00D85D2D" w:rsidRPr="00253AB3" w:rsidRDefault="00D85D2D" w:rsidP="00D85D2D">
            <w:r w:rsidRPr="00253AB3">
              <w:t xml:space="preserve">Stop </w:t>
            </w:r>
            <w:r>
              <w:t>l</w:t>
            </w:r>
            <w:r w:rsidRPr="00253AB3">
              <w:t>amp</w:t>
            </w:r>
          </w:p>
        </w:tc>
        <w:tc>
          <w:tcPr>
            <w:tcW w:w="0" w:type="auto"/>
          </w:tcPr>
          <w:p w14:paraId="6FF064BD" w14:textId="77777777" w:rsidR="00D85D2D" w:rsidRPr="00253AB3" w:rsidRDefault="00D85D2D" w:rsidP="00D85D2D">
            <w:r w:rsidRPr="00253AB3">
              <w:t>Red</w:t>
            </w:r>
          </w:p>
        </w:tc>
        <w:tc>
          <w:tcPr>
            <w:tcW w:w="0" w:type="auto"/>
          </w:tcPr>
          <w:p w14:paraId="7455A463" w14:textId="77777777" w:rsidR="00D85D2D" w:rsidRPr="00253AB3" w:rsidRDefault="00D85D2D" w:rsidP="00D85D2D">
            <w:r w:rsidRPr="00253AB3">
              <w:t>49/00, 53/00</w:t>
            </w:r>
            <w:r>
              <w:t>, or 102/00</w:t>
            </w:r>
          </w:p>
        </w:tc>
      </w:tr>
      <w:tr w:rsidR="00D85D2D" w:rsidRPr="00253AB3" w14:paraId="39C731A2" w14:textId="77777777" w:rsidTr="00D85D2D">
        <w:trPr>
          <w:jc w:val="center"/>
        </w:trPr>
        <w:tc>
          <w:tcPr>
            <w:tcW w:w="0" w:type="auto"/>
          </w:tcPr>
          <w:p w14:paraId="021AD2D2" w14:textId="77777777" w:rsidR="00D85D2D" w:rsidRPr="00253AB3" w:rsidRDefault="00D85D2D" w:rsidP="00D85D2D">
            <w:r w:rsidRPr="00253AB3">
              <w:t>Rear registration plate illuminating device</w:t>
            </w:r>
          </w:p>
        </w:tc>
        <w:tc>
          <w:tcPr>
            <w:tcW w:w="0" w:type="auto"/>
          </w:tcPr>
          <w:p w14:paraId="5A1682E0" w14:textId="77777777" w:rsidR="00D85D2D" w:rsidRPr="00253AB3" w:rsidRDefault="00D85D2D" w:rsidP="00D85D2D">
            <w:r w:rsidRPr="00253AB3">
              <w:t>White</w:t>
            </w:r>
          </w:p>
        </w:tc>
        <w:tc>
          <w:tcPr>
            <w:tcW w:w="0" w:type="auto"/>
          </w:tcPr>
          <w:p w14:paraId="2CA7BB3F" w14:textId="77777777" w:rsidR="00D85D2D" w:rsidRPr="00253AB3" w:rsidRDefault="00D85D2D" w:rsidP="00D85D2D">
            <w:r w:rsidRPr="00253AB3">
              <w:t>53/00</w:t>
            </w:r>
            <w:r>
              <w:t xml:space="preserve"> or 102/00</w:t>
            </w:r>
          </w:p>
        </w:tc>
      </w:tr>
      <w:tr w:rsidR="00D85D2D" w:rsidRPr="00253AB3" w14:paraId="2C9969B3" w14:textId="77777777" w:rsidTr="00D85D2D">
        <w:trPr>
          <w:jc w:val="center"/>
        </w:trPr>
        <w:tc>
          <w:tcPr>
            <w:tcW w:w="0" w:type="auto"/>
          </w:tcPr>
          <w:p w14:paraId="29C7F436" w14:textId="77777777" w:rsidR="00D85D2D" w:rsidRPr="00253AB3" w:rsidRDefault="00D85D2D" w:rsidP="00D85D2D">
            <w:r w:rsidRPr="00253AB3">
              <w:t>Front position lamp</w:t>
            </w:r>
          </w:p>
        </w:tc>
        <w:tc>
          <w:tcPr>
            <w:tcW w:w="0" w:type="auto"/>
          </w:tcPr>
          <w:p w14:paraId="76F085B8" w14:textId="77777777" w:rsidR="00D85D2D" w:rsidRPr="00253AB3" w:rsidRDefault="00D85D2D" w:rsidP="00D85D2D">
            <w:r w:rsidRPr="00253AB3">
              <w:t xml:space="preserve">White </w:t>
            </w:r>
          </w:p>
        </w:tc>
        <w:tc>
          <w:tcPr>
            <w:tcW w:w="0" w:type="auto"/>
          </w:tcPr>
          <w:p w14:paraId="0446D657" w14:textId="77777777" w:rsidR="00D85D2D" w:rsidRPr="00253AB3" w:rsidRDefault="00D85D2D" w:rsidP="00D85D2D">
            <w:r w:rsidRPr="00253AB3">
              <w:t>49/00, 53/00</w:t>
            </w:r>
            <w:r>
              <w:t xml:space="preserve"> or 102/00</w:t>
            </w:r>
          </w:p>
        </w:tc>
      </w:tr>
      <w:tr w:rsidR="00D85D2D" w:rsidRPr="00253AB3" w14:paraId="2D84103D" w14:textId="77777777" w:rsidTr="00D85D2D">
        <w:trPr>
          <w:jc w:val="center"/>
        </w:trPr>
        <w:tc>
          <w:tcPr>
            <w:tcW w:w="0" w:type="auto"/>
          </w:tcPr>
          <w:p w14:paraId="1478C44F" w14:textId="77777777" w:rsidR="00D85D2D" w:rsidRPr="00253AB3" w:rsidRDefault="00D85D2D" w:rsidP="00D85D2D">
            <w:r w:rsidRPr="00253AB3">
              <w:t>Rear position lamp</w:t>
            </w:r>
          </w:p>
        </w:tc>
        <w:tc>
          <w:tcPr>
            <w:tcW w:w="0" w:type="auto"/>
          </w:tcPr>
          <w:p w14:paraId="780FBABA" w14:textId="77777777" w:rsidR="00D85D2D" w:rsidRPr="00253AB3" w:rsidRDefault="00D85D2D" w:rsidP="00D85D2D">
            <w:r w:rsidRPr="00253AB3">
              <w:t>Red</w:t>
            </w:r>
          </w:p>
        </w:tc>
        <w:tc>
          <w:tcPr>
            <w:tcW w:w="0" w:type="auto"/>
          </w:tcPr>
          <w:p w14:paraId="0E7B5BF9" w14:textId="77777777" w:rsidR="00D85D2D" w:rsidRPr="00253AB3" w:rsidRDefault="00D85D2D" w:rsidP="00D85D2D">
            <w:r w:rsidRPr="00253AB3">
              <w:t>49/00, 53/00</w:t>
            </w:r>
            <w:r>
              <w:t xml:space="preserve"> or 102/00</w:t>
            </w:r>
          </w:p>
        </w:tc>
      </w:tr>
      <w:tr w:rsidR="00D85D2D" w:rsidRPr="00253AB3" w14:paraId="3B87A389" w14:textId="77777777" w:rsidTr="00D85D2D">
        <w:trPr>
          <w:jc w:val="center"/>
        </w:trPr>
        <w:tc>
          <w:tcPr>
            <w:tcW w:w="0" w:type="auto"/>
          </w:tcPr>
          <w:p w14:paraId="3E6FB127" w14:textId="77777777" w:rsidR="00D85D2D" w:rsidRPr="00253AB3" w:rsidRDefault="00D85D2D" w:rsidP="00D85D2D">
            <w:r w:rsidRPr="00253AB3">
              <w:t>Rear retro-reflector, non-triangular</w:t>
            </w:r>
          </w:p>
        </w:tc>
        <w:tc>
          <w:tcPr>
            <w:tcW w:w="0" w:type="auto"/>
          </w:tcPr>
          <w:p w14:paraId="5DEBF976" w14:textId="77777777" w:rsidR="00D85D2D" w:rsidRPr="00253AB3" w:rsidRDefault="00D85D2D" w:rsidP="00D85D2D">
            <w:r w:rsidRPr="00253AB3">
              <w:t>Red</w:t>
            </w:r>
          </w:p>
        </w:tc>
        <w:tc>
          <w:tcPr>
            <w:tcW w:w="0" w:type="auto"/>
          </w:tcPr>
          <w:p w14:paraId="40CE0AF8" w14:textId="77777777" w:rsidR="00D85D2D" w:rsidRPr="00253AB3" w:rsidRDefault="00D85D2D" w:rsidP="00D85D2D">
            <w:r w:rsidRPr="00253AB3">
              <w:t>47/00</w:t>
            </w:r>
            <w:r>
              <w:t xml:space="preserve"> or 104/00</w:t>
            </w:r>
          </w:p>
        </w:tc>
      </w:tr>
      <w:tr w:rsidR="00D85D2D" w:rsidRPr="00253AB3" w14:paraId="171B0404" w14:textId="77777777" w:rsidTr="00D85D2D">
        <w:trPr>
          <w:jc w:val="center"/>
        </w:trPr>
        <w:tc>
          <w:tcPr>
            <w:tcW w:w="0" w:type="auto"/>
          </w:tcPr>
          <w:p w14:paraId="5D9997A2" w14:textId="77777777" w:rsidR="00D85D2D" w:rsidRPr="00253AB3" w:rsidRDefault="00D85D2D" w:rsidP="00D85D2D">
            <w:r w:rsidRPr="00253AB3">
              <w:t>Side retro-reflector, non-triangular</w:t>
            </w:r>
          </w:p>
        </w:tc>
        <w:tc>
          <w:tcPr>
            <w:tcW w:w="0" w:type="auto"/>
          </w:tcPr>
          <w:p w14:paraId="685B0C06" w14:textId="77777777" w:rsidR="00D85D2D" w:rsidRPr="00253AB3" w:rsidRDefault="00D85D2D" w:rsidP="00D85D2D">
            <w:r w:rsidRPr="00253AB3">
              <w:t>Amber</w:t>
            </w:r>
          </w:p>
        </w:tc>
        <w:tc>
          <w:tcPr>
            <w:tcW w:w="0" w:type="auto"/>
          </w:tcPr>
          <w:p w14:paraId="07E92AC9" w14:textId="77777777" w:rsidR="00D85D2D" w:rsidRPr="00253AB3" w:rsidRDefault="00D85D2D" w:rsidP="00D85D2D">
            <w:r w:rsidRPr="00253AB3">
              <w:t>47/00</w:t>
            </w:r>
            <w:r>
              <w:t xml:space="preserve"> or 104/00</w:t>
            </w:r>
          </w:p>
        </w:tc>
      </w:tr>
      <w:tr w:rsidR="00D85D2D" w:rsidRPr="00253AB3" w14:paraId="67D62547" w14:textId="77777777" w:rsidTr="00D85D2D">
        <w:trPr>
          <w:jc w:val="center"/>
        </w:trPr>
        <w:tc>
          <w:tcPr>
            <w:tcW w:w="0" w:type="auto"/>
          </w:tcPr>
          <w:p w14:paraId="0275BA44" w14:textId="77777777" w:rsidR="00D85D2D" w:rsidRPr="00253AB3" w:rsidRDefault="00D85D2D" w:rsidP="00D85D2D">
            <w:r w:rsidRPr="00253AB3">
              <w:t>Vehicle-hazard warning signal</w:t>
            </w:r>
          </w:p>
        </w:tc>
        <w:tc>
          <w:tcPr>
            <w:tcW w:w="0" w:type="auto"/>
          </w:tcPr>
          <w:p w14:paraId="797767A4" w14:textId="77777777" w:rsidR="00D85D2D" w:rsidRPr="00253AB3" w:rsidRDefault="00D85D2D" w:rsidP="00D85D2D">
            <w:r w:rsidRPr="00253AB3">
              <w:t>Amber</w:t>
            </w:r>
          </w:p>
        </w:tc>
        <w:tc>
          <w:tcPr>
            <w:tcW w:w="0" w:type="auto"/>
          </w:tcPr>
          <w:p w14:paraId="74CFED79" w14:textId="77777777" w:rsidR="00D85D2D" w:rsidRPr="00253AB3" w:rsidRDefault="00D85D2D" w:rsidP="00D85D2D">
            <w:r w:rsidRPr="00253AB3">
              <w:t>53/00</w:t>
            </w:r>
            <w:r>
              <w:t xml:space="preserve">, </w:t>
            </w:r>
            <w:r w:rsidRPr="00253AB3">
              <w:t>6/00</w:t>
            </w:r>
            <w:r>
              <w:t xml:space="preserve"> or 102/00</w:t>
            </w:r>
          </w:p>
        </w:tc>
      </w:tr>
      <w:tr w:rsidR="00D85D2D" w:rsidRPr="00253AB3" w14:paraId="5D7EC2A0" w14:textId="77777777" w:rsidTr="00D85D2D">
        <w:trPr>
          <w:jc w:val="center"/>
        </w:trPr>
        <w:tc>
          <w:tcPr>
            <w:tcW w:w="0" w:type="auto"/>
          </w:tcPr>
          <w:p w14:paraId="1D610B68" w14:textId="77777777" w:rsidR="00D85D2D" w:rsidRPr="00253AB3" w:rsidRDefault="00D85D2D" w:rsidP="00D85D2D">
            <w:r w:rsidRPr="00253AB3">
              <w:t>Front fog lamp</w:t>
            </w:r>
          </w:p>
        </w:tc>
        <w:tc>
          <w:tcPr>
            <w:tcW w:w="0" w:type="auto"/>
          </w:tcPr>
          <w:p w14:paraId="2EFF5CDD" w14:textId="77777777" w:rsidR="00D85D2D" w:rsidRPr="00253AB3" w:rsidRDefault="00D85D2D" w:rsidP="00D85D2D">
            <w:r w:rsidRPr="00253AB3">
              <w:t>White or yellow</w:t>
            </w:r>
          </w:p>
        </w:tc>
        <w:tc>
          <w:tcPr>
            <w:tcW w:w="0" w:type="auto"/>
          </w:tcPr>
          <w:p w14:paraId="159A5A16" w14:textId="77777777" w:rsidR="00D85D2D" w:rsidRPr="00253AB3" w:rsidRDefault="00D85D2D" w:rsidP="00D85D2D">
            <w:r w:rsidRPr="00253AB3">
              <w:t>50/00</w:t>
            </w:r>
            <w:r>
              <w:t xml:space="preserve"> or 103/00</w:t>
            </w:r>
          </w:p>
        </w:tc>
      </w:tr>
      <w:tr w:rsidR="00D85D2D" w:rsidRPr="00253AB3" w14:paraId="070B212C" w14:textId="77777777" w:rsidTr="00D85D2D">
        <w:trPr>
          <w:jc w:val="center"/>
        </w:trPr>
        <w:tc>
          <w:tcPr>
            <w:tcW w:w="0" w:type="auto"/>
          </w:tcPr>
          <w:p w14:paraId="62FD5CA6" w14:textId="77777777" w:rsidR="00D85D2D" w:rsidRPr="00253AB3" w:rsidRDefault="00D85D2D" w:rsidP="00D85D2D">
            <w:r w:rsidRPr="00253AB3">
              <w:t>Rear fog lamp</w:t>
            </w:r>
          </w:p>
        </w:tc>
        <w:tc>
          <w:tcPr>
            <w:tcW w:w="0" w:type="auto"/>
          </w:tcPr>
          <w:p w14:paraId="2CD8350E" w14:textId="77777777" w:rsidR="00D85D2D" w:rsidRPr="00253AB3" w:rsidRDefault="00D85D2D" w:rsidP="00D85D2D">
            <w:r w:rsidRPr="00253AB3">
              <w:t>Red</w:t>
            </w:r>
          </w:p>
        </w:tc>
        <w:tc>
          <w:tcPr>
            <w:tcW w:w="0" w:type="auto"/>
          </w:tcPr>
          <w:p w14:paraId="7D783160" w14:textId="77777777" w:rsidR="00D85D2D" w:rsidRPr="00253AB3" w:rsidRDefault="00D85D2D" w:rsidP="00D85D2D">
            <w:r w:rsidRPr="00253AB3">
              <w:t>52/00</w:t>
            </w:r>
            <w:r>
              <w:t xml:space="preserve"> or 102/00</w:t>
            </w:r>
          </w:p>
        </w:tc>
      </w:tr>
      <w:tr w:rsidR="00D85D2D" w:rsidRPr="00253AB3" w14:paraId="26473099" w14:textId="77777777" w:rsidTr="00D85D2D">
        <w:trPr>
          <w:jc w:val="center"/>
        </w:trPr>
        <w:tc>
          <w:tcPr>
            <w:tcW w:w="0" w:type="auto"/>
          </w:tcPr>
          <w:p w14:paraId="51043AAC" w14:textId="77777777" w:rsidR="00D85D2D" w:rsidRPr="00253AB3" w:rsidRDefault="00D85D2D" w:rsidP="00D85D2D">
            <w:r w:rsidRPr="00253AB3">
              <w:t>Front retro-reflector, non-triangular</w:t>
            </w:r>
          </w:p>
        </w:tc>
        <w:tc>
          <w:tcPr>
            <w:tcW w:w="0" w:type="auto"/>
          </w:tcPr>
          <w:p w14:paraId="2A4BC056" w14:textId="77777777" w:rsidR="00D85D2D" w:rsidRPr="00253AB3" w:rsidRDefault="00D85D2D" w:rsidP="00D85D2D">
            <w:r w:rsidRPr="00253AB3">
              <w:t>Identical to incident light</w:t>
            </w:r>
          </w:p>
        </w:tc>
        <w:tc>
          <w:tcPr>
            <w:tcW w:w="0" w:type="auto"/>
          </w:tcPr>
          <w:p w14:paraId="371E73A4" w14:textId="77777777" w:rsidR="00D85D2D" w:rsidRPr="00253AB3" w:rsidRDefault="00D85D2D" w:rsidP="00D85D2D">
            <w:r w:rsidRPr="00253AB3">
              <w:t>47/00</w:t>
            </w:r>
            <w:r>
              <w:t xml:space="preserve"> or 104/00</w:t>
            </w:r>
          </w:p>
        </w:tc>
      </w:tr>
      <w:tr w:rsidR="00D85D2D" w:rsidRPr="00253AB3" w14:paraId="7F623F3B" w14:textId="77777777" w:rsidTr="00D85D2D">
        <w:trPr>
          <w:jc w:val="center"/>
        </w:trPr>
        <w:tc>
          <w:tcPr>
            <w:tcW w:w="0" w:type="auto"/>
          </w:tcPr>
          <w:p w14:paraId="14202524" w14:textId="77777777" w:rsidR="00D85D2D" w:rsidRPr="00253AB3" w:rsidRDefault="00D85D2D" w:rsidP="00D85D2D">
            <w:r w:rsidRPr="00253AB3">
              <w:t xml:space="preserve">Reversing </w:t>
            </w:r>
            <w:r>
              <w:t>l</w:t>
            </w:r>
            <w:r w:rsidRPr="00253AB3">
              <w:t>amp</w:t>
            </w:r>
          </w:p>
        </w:tc>
        <w:tc>
          <w:tcPr>
            <w:tcW w:w="0" w:type="auto"/>
          </w:tcPr>
          <w:p w14:paraId="303D9B77" w14:textId="77777777" w:rsidR="00D85D2D" w:rsidRPr="00253AB3" w:rsidRDefault="00D85D2D" w:rsidP="00D85D2D">
            <w:r w:rsidRPr="00253AB3">
              <w:t>(rear) white</w:t>
            </w:r>
          </w:p>
        </w:tc>
        <w:tc>
          <w:tcPr>
            <w:tcW w:w="0" w:type="auto"/>
          </w:tcPr>
          <w:p w14:paraId="4681DF59" w14:textId="77777777" w:rsidR="00D85D2D" w:rsidRPr="00253AB3" w:rsidRDefault="00D85D2D" w:rsidP="00D85D2D">
            <w:r w:rsidRPr="00253AB3">
              <w:t>1/00</w:t>
            </w:r>
            <w:r>
              <w:t xml:space="preserve"> or 102/00</w:t>
            </w:r>
          </w:p>
        </w:tc>
      </w:tr>
      <w:tr w:rsidR="00D85D2D" w:rsidRPr="00253AB3" w14:paraId="570785CA" w14:textId="77777777" w:rsidTr="00D85D2D">
        <w:trPr>
          <w:jc w:val="center"/>
        </w:trPr>
        <w:tc>
          <w:tcPr>
            <w:tcW w:w="0" w:type="auto"/>
          </w:tcPr>
          <w:p w14:paraId="7720BBD5" w14:textId="77777777" w:rsidR="00D85D2D" w:rsidRPr="00253AB3" w:rsidRDefault="00D85D2D" w:rsidP="00D85D2D">
            <w:r>
              <w:t>Internal lamp</w:t>
            </w:r>
          </w:p>
        </w:tc>
        <w:tc>
          <w:tcPr>
            <w:tcW w:w="0" w:type="auto"/>
          </w:tcPr>
          <w:p w14:paraId="3DD2CEE5" w14:textId="77777777" w:rsidR="00D85D2D" w:rsidRPr="00253AB3" w:rsidRDefault="00D85D2D" w:rsidP="00D85D2D">
            <w:r>
              <w:t>Any colour</w:t>
            </w:r>
          </w:p>
        </w:tc>
        <w:tc>
          <w:tcPr>
            <w:tcW w:w="0" w:type="auto"/>
          </w:tcPr>
          <w:p w14:paraId="5B57EC0D" w14:textId="77777777" w:rsidR="00D85D2D" w:rsidRPr="00253AB3" w:rsidRDefault="00D85D2D" w:rsidP="00D85D2D">
            <w:r>
              <w:t>None</w:t>
            </w:r>
          </w:p>
        </w:tc>
      </w:tr>
      <w:tr w:rsidR="00D85D2D" w:rsidRPr="00253AB3" w14:paraId="1A2D9BAF" w14:textId="77777777" w:rsidTr="00D85D2D">
        <w:trPr>
          <w:jc w:val="center"/>
        </w:trPr>
        <w:tc>
          <w:tcPr>
            <w:tcW w:w="0" w:type="auto"/>
          </w:tcPr>
          <w:p w14:paraId="56A472C5" w14:textId="77777777" w:rsidR="00D85D2D" w:rsidRPr="00253AB3" w:rsidRDefault="00D85D2D" w:rsidP="00D85D2D">
            <w:r>
              <w:t>Search lamp</w:t>
            </w:r>
          </w:p>
        </w:tc>
        <w:tc>
          <w:tcPr>
            <w:tcW w:w="0" w:type="auto"/>
          </w:tcPr>
          <w:p w14:paraId="7DD3C7FA" w14:textId="77777777" w:rsidR="00D85D2D" w:rsidRPr="00253AB3" w:rsidRDefault="00D85D2D" w:rsidP="00D85D2D">
            <w:r>
              <w:t>White</w:t>
            </w:r>
          </w:p>
        </w:tc>
        <w:tc>
          <w:tcPr>
            <w:tcW w:w="0" w:type="auto"/>
          </w:tcPr>
          <w:p w14:paraId="40ABCEE9" w14:textId="77777777" w:rsidR="00D85D2D" w:rsidRPr="00253AB3" w:rsidRDefault="00D85D2D" w:rsidP="00D85D2D">
            <w:r>
              <w:t>None</w:t>
            </w:r>
          </w:p>
        </w:tc>
      </w:tr>
      <w:tr w:rsidR="00D85D2D" w:rsidRPr="00253AB3" w14:paraId="7044C7D5" w14:textId="77777777" w:rsidTr="00D85D2D">
        <w:trPr>
          <w:jc w:val="center"/>
        </w:trPr>
        <w:tc>
          <w:tcPr>
            <w:tcW w:w="0" w:type="auto"/>
          </w:tcPr>
          <w:p w14:paraId="62BA56A6" w14:textId="77777777" w:rsidR="00D85D2D" w:rsidRPr="00253AB3" w:rsidRDefault="00D85D2D" w:rsidP="00D85D2D">
            <w:r w:rsidRPr="00253AB3">
              <w:t xml:space="preserve">Parking </w:t>
            </w:r>
            <w:r>
              <w:t>l</w:t>
            </w:r>
            <w:r w:rsidRPr="00253AB3">
              <w:t>amp</w:t>
            </w:r>
            <w:r>
              <w:t xml:space="preserve"> (rear)</w:t>
            </w:r>
          </w:p>
        </w:tc>
        <w:tc>
          <w:tcPr>
            <w:tcW w:w="0" w:type="auto"/>
          </w:tcPr>
          <w:p w14:paraId="219B027C" w14:textId="77777777" w:rsidR="00D85D2D" w:rsidRPr="00253AB3" w:rsidRDefault="00D85D2D" w:rsidP="00D85D2D">
            <w:r>
              <w:t>Red</w:t>
            </w:r>
          </w:p>
        </w:tc>
        <w:tc>
          <w:tcPr>
            <w:tcW w:w="0" w:type="auto"/>
          </w:tcPr>
          <w:p w14:paraId="52BB2344" w14:textId="77777777" w:rsidR="00D85D2D" w:rsidRPr="00253AB3" w:rsidRDefault="00D85D2D" w:rsidP="00D85D2D">
            <w:r w:rsidRPr="00253AB3">
              <w:t>49/00, 53/00</w:t>
            </w:r>
            <w:r>
              <w:t xml:space="preserve"> or 102/00</w:t>
            </w:r>
          </w:p>
        </w:tc>
      </w:tr>
    </w:tbl>
    <w:p w14:paraId="19B3384F" w14:textId="77777777" w:rsidR="00D85D2D" w:rsidRDefault="00D85D2D" w:rsidP="00D85D2D">
      <w:pPr>
        <w:pStyle w:val="Scheduleitem"/>
        <w:numPr>
          <w:ilvl w:val="0"/>
          <w:numId w:val="0"/>
        </w:numPr>
        <w:ind w:left="720" w:hanging="720"/>
        <w:sectPr w:rsidR="00D85D2D" w:rsidSect="00F97BB1">
          <w:pgSz w:w="11906" w:h="16838"/>
          <w:pgMar w:top="1440" w:right="1701" w:bottom="1440" w:left="1701" w:header="709" w:footer="709" w:gutter="0"/>
          <w:cols w:space="708"/>
          <w:docGrid w:linePitch="360"/>
        </w:sectPr>
      </w:pPr>
    </w:p>
    <w:p w14:paraId="0B83E0FB" w14:textId="77777777" w:rsidR="00B61BB9" w:rsidRDefault="00B61BB9" w:rsidP="00B61BB9">
      <w:pPr>
        <w:pStyle w:val="Heading2"/>
        <w:numPr>
          <w:ilvl w:val="0"/>
          <w:numId w:val="0"/>
        </w:numPr>
        <w:spacing w:before="0"/>
        <w:ind w:left="1418" w:hanging="1418"/>
      </w:pPr>
      <w:bookmarkStart w:id="8" w:name="_Toc140579367"/>
      <w:r w:rsidRPr="00392CD7">
        <w:lastRenderedPageBreak/>
        <w:t xml:space="preserve">Schedule </w:t>
      </w:r>
      <w:r w:rsidR="00CA4541">
        <w:t>4</w:t>
      </w:r>
      <w:r>
        <w:t xml:space="preserve"> – Amendments</w:t>
      </w:r>
      <w:bookmarkEnd w:id="8"/>
    </w:p>
    <w:p w14:paraId="5D5AAC16" w14:textId="77777777" w:rsidR="003E26C9" w:rsidRPr="00392CD7" w:rsidRDefault="003E26C9" w:rsidP="003E26C9">
      <w:pPr>
        <w:pStyle w:val="Heading3"/>
      </w:pPr>
      <w:r>
        <w:t xml:space="preserve">Vehicle Standard </w:t>
      </w:r>
      <w:r w:rsidRPr="00C42BB5">
        <w:t xml:space="preserve">(Australian Design Rule </w:t>
      </w:r>
      <w:r>
        <w:t>67/00</w:t>
      </w:r>
      <w:r w:rsidRPr="00C42BB5">
        <w:t xml:space="preserve"> –</w:t>
      </w:r>
      <w:r>
        <w:t xml:space="preserve"> Installation of Lighting and Light Signalling Devices on Three-Wheeled Vehicles</w:t>
      </w:r>
      <w:r w:rsidRPr="00C42BB5">
        <w:t>) 200</w:t>
      </w:r>
      <w:r>
        <w:t>6</w:t>
      </w:r>
    </w:p>
    <w:p w14:paraId="7A88BCF4" w14:textId="77777777" w:rsidR="00B10D21" w:rsidRDefault="00B10D21" w:rsidP="00B10D21">
      <w:pPr>
        <w:pStyle w:val="Scheduleitem"/>
        <w:keepNext w:val="0"/>
        <w:numPr>
          <w:ilvl w:val="0"/>
          <w:numId w:val="16"/>
        </w:numPr>
      </w:pPr>
      <w:r>
        <w:t>Clause 7.1.1.1., omit “ADR 55/… or ADR 46/…;”, substitute “ADR 55/… or ADR 46/… or ADR 103/…;”.</w:t>
      </w:r>
    </w:p>
    <w:p w14:paraId="6AC5CB3C" w14:textId="77777777" w:rsidR="00824E16" w:rsidRDefault="00B10D21" w:rsidP="00B10D21">
      <w:pPr>
        <w:pStyle w:val="Scheduleitem"/>
        <w:keepNext w:val="0"/>
        <w:numPr>
          <w:ilvl w:val="0"/>
          <w:numId w:val="16"/>
        </w:numPr>
      </w:pPr>
      <w:r>
        <w:t>Clause 7.1.1.2., omit “ADR 46/…;”, substitute “ADR 46/… or ADR 103/…;”.</w:t>
      </w:r>
    </w:p>
    <w:p w14:paraId="41129A88" w14:textId="77777777" w:rsidR="00B10D21" w:rsidRDefault="005B5395" w:rsidP="00A810DD">
      <w:pPr>
        <w:pStyle w:val="Scheduleitem"/>
        <w:keepNext w:val="0"/>
        <w:numPr>
          <w:ilvl w:val="0"/>
          <w:numId w:val="16"/>
        </w:numPr>
      </w:pPr>
      <w:r>
        <w:t>Clause 7.2.1.1., omit “ADR 55/… or ADR 46/…;”, substitute “ADR 55/… or ADR 46/… or ADR 103/…;”.</w:t>
      </w:r>
    </w:p>
    <w:p w14:paraId="01BF363E" w14:textId="77777777" w:rsidR="005B5395" w:rsidRDefault="005B5395" w:rsidP="005B5395">
      <w:pPr>
        <w:pStyle w:val="Scheduleitem"/>
        <w:keepNext w:val="0"/>
        <w:numPr>
          <w:ilvl w:val="0"/>
          <w:numId w:val="16"/>
        </w:numPr>
      </w:pPr>
      <w:r>
        <w:t>Clause 7.2.1.2., omit “ADR 46/…;”, substitute “ADR 46/… or ADR 103/…;”.</w:t>
      </w:r>
    </w:p>
    <w:p w14:paraId="1F908C0B" w14:textId="77777777" w:rsidR="005B5395" w:rsidRDefault="005B5395" w:rsidP="005B5395">
      <w:pPr>
        <w:pStyle w:val="Scheduleitem"/>
        <w:keepNext w:val="0"/>
        <w:numPr>
          <w:ilvl w:val="0"/>
          <w:numId w:val="16"/>
        </w:numPr>
      </w:pPr>
      <w:r>
        <w:t>Clause 7.2.1.3., omit “ADR 54/… or ADR 46/…;”, substitute “ADR 54/… or ADR 46/… or ADR 103/…;”.</w:t>
      </w:r>
    </w:p>
    <w:p w14:paraId="07593939" w14:textId="77777777" w:rsidR="005B5395" w:rsidRDefault="005B5395" w:rsidP="005B5395">
      <w:pPr>
        <w:pStyle w:val="Scheduleitem"/>
        <w:keepNext w:val="0"/>
        <w:numPr>
          <w:ilvl w:val="0"/>
          <w:numId w:val="16"/>
        </w:numPr>
      </w:pPr>
      <w:r>
        <w:t>Clause 7.3.2.1.1., omit “ADR 53/... or category 1 as specified in ADR 6/...”, substitute “ADR 53/... or category 1 as specified in ADR 6/... or ADR 102/…;”.</w:t>
      </w:r>
    </w:p>
    <w:p w14:paraId="04F5052B" w14:textId="77777777" w:rsidR="005B5395" w:rsidRDefault="005B5395" w:rsidP="005B5395">
      <w:pPr>
        <w:pStyle w:val="Scheduleitem"/>
        <w:keepNext w:val="0"/>
        <w:numPr>
          <w:ilvl w:val="0"/>
          <w:numId w:val="16"/>
        </w:numPr>
      </w:pPr>
      <w:r>
        <w:t>Clause 7.3.2.1.2., omit “ADR 53/... or category 2 as specified in ADR 6/...”, substitute “ADR 53/... or category 2 as specified in ADR 6/... or ADR 102/…;”.</w:t>
      </w:r>
    </w:p>
    <w:p w14:paraId="46D404B5" w14:textId="77777777" w:rsidR="005B5395" w:rsidRDefault="005B5395" w:rsidP="005B5395">
      <w:pPr>
        <w:pStyle w:val="Scheduleitem"/>
        <w:keepNext w:val="0"/>
        <w:numPr>
          <w:ilvl w:val="0"/>
          <w:numId w:val="16"/>
        </w:numPr>
      </w:pPr>
      <w:r>
        <w:t>Clause 7.3.2.2.1., omit “ADR 53/... or category 1 as specified in ADR 6/...”, substitute “ADR 53/... or category 1 as specified in ADR 6/... or ADR 102/…;”.</w:t>
      </w:r>
    </w:p>
    <w:p w14:paraId="4EC57589" w14:textId="77777777" w:rsidR="005B5395" w:rsidRDefault="005B5395" w:rsidP="005B5395">
      <w:pPr>
        <w:pStyle w:val="Scheduleitem"/>
        <w:keepNext w:val="0"/>
        <w:numPr>
          <w:ilvl w:val="0"/>
          <w:numId w:val="16"/>
        </w:numPr>
      </w:pPr>
      <w:r>
        <w:t>Clause 7.3.2.2.2., omit “ADR 53/... or category 2 as specified in ADR 6/...”, substitute “ADR 53/... or category 2 as specified in ADR 6/... or ADR 102/…;”.</w:t>
      </w:r>
    </w:p>
    <w:p w14:paraId="083AE430" w14:textId="77777777" w:rsidR="005B5395" w:rsidRDefault="005B5395" w:rsidP="005B5395">
      <w:pPr>
        <w:pStyle w:val="Scheduleitem"/>
        <w:keepNext w:val="0"/>
        <w:numPr>
          <w:ilvl w:val="0"/>
          <w:numId w:val="16"/>
        </w:numPr>
      </w:pPr>
      <w:r>
        <w:t>Clause 7.3.2.2.3., omit “category 5 as specified in ADR 6/...”, substitute “category 5 as specified in ADR 6/... or ADR 102/…;”.</w:t>
      </w:r>
    </w:p>
    <w:p w14:paraId="5650A9A0" w14:textId="77777777" w:rsidR="006C70DC" w:rsidRDefault="006C70DC" w:rsidP="006C70DC">
      <w:pPr>
        <w:pStyle w:val="Scheduleitem"/>
        <w:keepNext w:val="0"/>
        <w:numPr>
          <w:ilvl w:val="0"/>
          <w:numId w:val="16"/>
        </w:numPr>
      </w:pPr>
      <w:r>
        <w:t>Clause 7.3.2.3.1., omit “ADR 53/... or category 1 as specified in ADR 6/...”, substitute “ADR 53/... or category 1 as specified in ADR 6/... or ADR 102/…;”.</w:t>
      </w:r>
    </w:p>
    <w:p w14:paraId="6F88550F" w14:textId="77777777" w:rsidR="006C70DC" w:rsidRDefault="006C70DC" w:rsidP="006C70DC">
      <w:pPr>
        <w:pStyle w:val="Scheduleitem"/>
        <w:keepNext w:val="0"/>
        <w:numPr>
          <w:ilvl w:val="0"/>
          <w:numId w:val="16"/>
        </w:numPr>
      </w:pPr>
      <w:r>
        <w:t>Clause 7.3.2.3.2., omit “ADR 53/... or category 2 as specified in ADR 6/...”, substitute “ADR 53/... or category 2 as specified in ADR 6/... or ADR 102/…;”.</w:t>
      </w:r>
    </w:p>
    <w:p w14:paraId="5C341CE7" w14:textId="77777777" w:rsidR="006C70DC" w:rsidRDefault="006C70DC" w:rsidP="006C70DC">
      <w:pPr>
        <w:pStyle w:val="Scheduleitem"/>
        <w:keepNext w:val="0"/>
        <w:numPr>
          <w:ilvl w:val="0"/>
          <w:numId w:val="16"/>
        </w:numPr>
      </w:pPr>
      <w:r>
        <w:t>Clause 7.3.2.3.3., omit “category 5 as specified in ADR 6/...”, substitute “category 5 as specified in ADR 6/... or ADR 102/…;”.</w:t>
      </w:r>
    </w:p>
    <w:p w14:paraId="5645BEE1" w14:textId="77777777" w:rsidR="005B5395" w:rsidRDefault="006C70DC" w:rsidP="005B5395">
      <w:pPr>
        <w:pStyle w:val="Scheduleitem"/>
        <w:keepNext w:val="0"/>
        <w:numPr>
          <w:ilvl w:val="0"/>
          <w:numId w:val="16"/>
        </w:numPr>
      </w:pPr>
      <w:r>
        <w:t>Clause 7.4.1.1., omit “ADR 53/…”, substitute “ADR 53/… or ADR 102/…”.</w:t>
      </w:r>
    </w:p>
    <w:p w14:paraId="4CB8AC55" w14:textId="77777777" w:rsidR="006C70DC" w:rsidRDefault="006C70DC" w:rsidP="006C70DC">
      <w:pPr>
        <w:pStyle w:val="Scheduleitem"/>
        <w:keepNext w:val="0"/>
        <w:numPr>
          <w:ilvl w:val="0"/>
          <w:numId w:val="16"/>
        </w:numPr>
      </w:pPr>
      <w:r>
        <w:t>Clause 7.4.1.2., omit “ADR 53/… or ADR 49/…”, substitute “ADR 53/… or ADR 49/… or ADR 102/…”.</w:t>
      </w:r>
    </w:p>
    <w:p w14:paraId="63B8169D" w14:textId="77777777" w:rsidR="006C70DC" w:rsidRDefault="006C70DC" w:rsidP="006C70DC">
      <w:pPr>
        <w:pStyle w:val="Scheduleitem"/>
        <w:keepNext w:val="0"/>
        <w:numPr>
          <w:ilvl w:val="0"/>
          <w:numId w:val="16"/>
        </w:numPr>
      </w:pPr>
      <w:r>
        <w:t>Clause 7.4.1.3., omit “ADR 49/…”, substitute “ADR 49/… or ADR 102/…”.</w:t>
      </w:r>
    </w:p>
    <w:p w14:paraId="284867CB" w14:textId="77777777" w:rsidR="00A810DD" w:rsidRDefault="00A810DD" w:rsidP="00A810DD">
      <w:pPr>
        <w:pStyle w:val="Scheduleitem"/>
        <w:keepNext w:val="0"/>
        <w:numPr>
          <w:ilvl w:val="0"/>
          <w:numId w:val="16"/>
        </w:numPr>
      </w:pPr>
      <w:r>
        <w:t xml:space="preserve">Clause 7.5.1.2., omit “ADR 53/…”, substitute “ADR 53/… </w:t>
      </w:r>
      <w:r w:rsidR="00144538">
        <w:t>o</w:t>
      </w:r>
      <w:r>
        <w:t>r ADR 102/…”.</w:t>
      </w:r>
    </w:p>
    <w:p w14:paraId="7CC299A7" w14:textId="77777777" w:rsidR="00144538" w:rsidRDefault="00144538" w:rsidP="00144538">
      <w:pPr>
        <w:pStyle w:val="Scheduleitem"/>
        <w:keepNext w:val="0"/>
        <w:numPr>
          <w:ilvl w:val="0"/>
          <w:numId w:val="16"/>
        </w:numPr>
      </w:pPr>
      <w:r>
        <w:t>Clause 7.5.1.3., omit “ADR 48/…”, substitute “ADR 48/… or ADR 102/…”.</w:t>
      </w:r>
    </w:p>
    <w:p w14:paraId="508DA3BD" w14:textId="77777777" w:rsidR="00144538" w:rsidRDefault="00144538" w:rsidP="00144538">
      <w:pPr>
        <w:pStyle w:val="Scheduleitem"/>
        <w:keepNext w:val="0"/>
        <w:numPr>
          <w:ilvl w:val="0"/>
          <w:numId w:val="16"/>
        </w:numPr>
      </w:pPr>
      <w:r>
        <w:t>Clause 7.6.1.1.1., omit “ADR 53/…”, substitute “ADR 53/… or ADR 102/…”.</w:t>
      </w:r>
    </w:p>
    <w:p w14:paraId="64CF5E1A" w14:textId="77777777" w:rsidR="00144538" w:rsidRDefault="00144538" w:rsidP="00144538">
      <w:pPr>
        <w:pStyle w:val="Scheduleitem"/>
        <w:keepNext w:val="0"/>
        <w:numPr>
          <w:ilvl w:val="0"/>
          <w:numId w:val="16"/>
        </w:numPr>
      </w:pPr>
      <w:r>
        <w:t>Clause 7.6.1.2.1., omit “ADR 49/…”, substitute “ADR 49/… or ADR 102/…”.</w:t>
      </w:r>
    </w:p>
    <w:p w14:paraId="025A007D" w14:textId="77777777" w:rsidR="00144538" w:rsidRDefault="00144538" w:rsidP="00144538">
      <w:pPr>
        <w:pStyle w:val="Scheduleitem"/>
        <w:keepNext w:val="0"/>
        <w:numPr>
          <w:ilvl w:val="0"/>
          <w:numId w:val="16"/>
        </w:numPr>
      </w:pPr>
      <w:r>
        <w:t>Clause 7.7.1.1., omit “ADR 53/…”, substitute “ADR 53/… or ADR 102/…”.</w:t>
      </w:r>
    </w:p>
    <w:p w14:paraId="51D1643F" w14:textId="77777777" w:rsidR="00144538" w:rsidRDefault="00144538" w:rsidP="00144538">
      <w:pPr>
        <w:pStyle w:val="Scheduleitem"/>
        <w:keepNext w:val="0"/>
        <w:numPr>
          <w:ilvl w:val="0"/>
          <w:numId w:val="16"/>
        </w:numPr>
      </w:pPr>
      <w:r>
        <w:t>Clause 7.7.1.2., omit “ADR 53/… or ADR 49/…”, substitute “ADR 53/… or ADR 49/… or ADR 102/…”.</w:t>
      </w:r>
    </w:p>
    <w:p w14:paraId="68FF9E80" w14:textId="77777777" w:rsidR="00144538" w:rsidRDefault="00144538" w:rsidP="00144538">
      <w:pPr>
        <w:pStyle w:val="Scheduleitem"/>
        <w:keepNext w:val="0"/>
        <w:numPr>
          <w:ilvl w:val="0"/>
          <w:numId w:val="16"/>
        </w:numPr>
      </w:pPr>
      <w:r>
        <w:t>Clause 7.7.1.3., omit “ADR 49/…”, substitute “ADR 49/… or ADR 102/…”.</w:t>
      </w:r>
    </w:p>
    <w:p w14:paraId="31708EA2" w14:textId="77777777" w:rsidR="00144538" w:rsidRDefault="00144538" w:rsidP="00144538">
      <w:pPr>
        <w:pStyle w:val="Scheduleitem"/>
        <w:keepNext w:val="0"/>
        <w:numPr>
          <w:ilvl w:val="0"/>
          <w:numId w:val="16"/>
        </w:numPr>
      </w:pPr>
      <w:r>
        <w:lastRenderedPageBreak/>
        <w:t>Clause 7.8.1.1., omit “ADR 47/…”, substitute “ADR 47/… or ADR 104/…”.</w:t>
      </w:r>
    </w:p>
    <w:p w14:paraId="461CB98A" w14:textId="77777777" w:rsidR="00144538" w:rsidRDefault="00144538" w:rsidP="00144538">
      <w:pPr>
        <w:pStyle w:val="Scheduleitem"/>
        <w:keepNext w:val="0"/>
        <w:numPr>
          <w:ilvl w:val="0"/>
          <w:numId w:val="16"/>
        </w:numPr>
      </w:pPr>
      <w:r>
        <w:t>Clause 7.8.1.2., omit “ADR 47/…”, substitute “ADR 47/… or ADR 104/…”.</w:t>
      </w:r>
    </w:p>
    <w:p w14:paraId="5706B10F" w14:textId="77777777" w:rsidR="00144538" w:rsidRDefault="00144538" w:rsidP="00144538">
      <w:pPr>
        <w:pStyle w:val="Scheduleitem"/>
        <w:keepNext w:val="0"/>
        <w:numPr>
          <w:ilvl w:val="0"/>
          <w:numId w:val="16"/>
        </w:numPr>
      </w:pPr>
      <w:r>
        <w:t>Clause 7.10.1.1., omit “ADR 50/…”, substitute “ADR 50/… or ADR 103/…”.</w:t>
      </w:r>
    </w:p>
    <w:p w14:paraId="36C362B1" w14:textId="77777777" w:rsidR="00144538" w:rsidRDefault="00144538" w:rsidP="00144538">
      <w:pPr>
        <w:pStyle w:val="Scheduleitem"/>
        <w:keepNext w:val="0"/>
        <w:numPr>
          <w:ilvl w:val="0"/>
          <w:numId w:val="16"/>
        </w:numPr>
      </w:pPr>
      <w:r>
        <w:t>Clause 7.10.1.2., omit “ADR 50/…”, substitute “ADR 50/… or ADR 103/…”.</w:t>
      </w:r>
    </w:p>
    <w:p w14:paraId="00ADFCC4" w14:textId="77777777" w:rsidR="00144538" w:rsidRDefault="00144538" w:rsidP="00144538">
      <w:pPr>
        <w:pStyle w:val="Scheduleitem"/>
        <w:keepNext w:val="0"/>
        <w:numPr>
          <w:ilvl w:val="0"/>
          <w:numId w:val="16"/>
        </w:numPr>
      </w:pPr>
      <w:r>
        <w:t>Clause 7.11.1.1., omit “ADR 52/…”, substitute “ADR 52/… or ADR 102/…”.</w:t>
      </w:r>
    </w:p>
    <w:p w14:paraId="2DC6A43A" w14:textId="77777777" w:rsidR="0033129B" w:rsidRDefault="0033129B" w:rsidP="0033129B">
      <w:pPr>
        <w:pStyle w:val="Scheduleitem"/>
        <w:keepNext w:val="0"/>
        <w:numPr>
          <w:ilvl w:val="0"/>
          <w:numId w:val="16"/>
        </w:numPr>
      </w:pPr>
      <w:r>
        <w:t>Clause 7.11.1.2., omit “ADR 52/…”, substitute “ADR 52/… or ADR 102/…”.</w:t>
      </w:r>
    </w:p>
    <w:p w14:paraId="38970151" w14:textId="77777777" w:rsidR="00EB5AA1" w:rsidRDefault="00EB5AA1" w:rsidP="00EB5AA1">
      <w:pPr>
        <w:pStyle w:val="Scheduleitem"/>
        <w:keepNext w:val="0"/>
        <w:numPr>
          <w:ilvl w:val="0"/>
          <w:numId w:val="16"/>
        </w:numPr>
      </w:pPr>
      <w:r>
        <w:t>Clause 7.12.1., omit “ADR 47/…”, substitute “ADR 47/… or ADR 104/…”.</w:t>
      </w:r>
    </w:p>
    <w:p w14:paraId="141A40E8" w14:textId="77777777" w:rsidR="005B5395" w:rsidRDefault="00EB5AA1" w:rsidP="00144538">
      <w:pPr>
        <w:pStyle w:val="Scheduleitem"/>
        <w:keepNext w:val="0"/>
        <w:numPr>
          <w:ilvl w:val="0"/>
          <w:numId w:val="16"/>
        </w:numPr>
      </w:pPr>
      <w:r>
        <w:t>Clause 7.13.2.1.1., insert “ or ADR 102/…”.</w:t>
      </w:r>
    </w:p>
    <w:p w14:paraId="4E38B030" w14:textId="77777777" w:rsidR="00EB5AA1" w:rsidRPr="0006539B" w:rsidRDefault="00EB5AA1" w:rsidP="00EB5AA1">
      <w:pPr>
        <w:pStyle w:val="Scheduleitem"/>
        <w:keepNext w:val="0"/>
        <w:numPr>
          <w:ilvl w:val="0"/>
          <w:numId w:val="16"/>
        </w:numPr>
      </w:pPr>
      <w:r>
        <w:t>Clause 7.13.2.1.2., insert “ or ADR 102/…”.</w:t>
      </w:r>
    </w:p>
    <w:p w14:paraId="6FCC0C35" w14:textId="77777777" w:rsidR="00EB5AA1" w:rsidRPr="0006539B" w:rsidRDefault="00EB5AA1" w:rsidP="00EB5AA1">
      <w:pPr>
        <w:pStyle w:val="Scheduleitem"/>
        <w:keepNext w:val="0"/>
        <w:numPr>
          <w:ilvl w:val="0"/>
          <w:numId w:val="16"/>
        </w:numPr>
      </w:pPr>
      <w:r>
        <w:t>Clause 7.13.2.2.1., insert “ or ADR 102/…”.</w:t>
      </w:r>
    </w:p>
    <w:p w14:paraId="01FD473E" w14:textId="77777777" w:rsidR="00EB5AA1" w:rsidRPr="0006539B" w:rsidRDefault="00EB5AA1" w:rsidP="00EB5AA1">
      <w:pPr>
        <w:pStyle w:val="Scheduleitem"/>
        <w:keepNext w:val="0"/>
        <w:numPr>
          <w:ilvl w:val="0"/>
          <w:numId w:val="16"/>
        </w:numPr>
      </w:pPr>
      <w:r>
        <w:t>Clause 7.13.2.2.2., insert “ or ADR 102/…”.</w:t>
      </w:r>
    </w:p>
    <w:p w14:paraId="6CA2BDE8" w14:textId="77777777" w:rsidR="00EB5AA1" w:rsidRPr="0006539B" w:rsidRDefault="00EB5AA1" w:rsidP="00EB5AA1">
      <w:pPr>
        <w:pStyle w:val="Scheduleitem"/>
        <w:keepNext w:val="0"/>
        <w:numPr>
          <w:ilvl w:val="0"/>
          <w:numId w:val="16"/>
        </w:numPr>
      </w:pPr>
      <w:r>
        <w:t>Clause 7.14.1., insert “ or ADR 102/…”.</w:t>
      </w:r>
    </w:p>
    <w:p w14:paraId="3A5C69D1" w14:textId="77777777" w:rsidR="00EB5AA1" w:rsidRDefault="00EB5AA1" w:rsidP="00EB5AA1">
      <w:pPr>
        <w:pStyle w:val="Scheduleitem"/>
        <w:keepNext w:val="0"/>
        <w:numPr>
          <w:ilvl w:val="0"/>
          <w:numId w:val="16"/>
        </w:numPr>
      </w:pPr>
      <w:r>
        <w:t>Clause 7.15.1.1., omit “ADR 47/…”, substitute “ADR 47/… or ADR 104/…”.</w:t>
      </w:r>
    </w:p>
    <w:p w14:paraId="06543D23" w14:textId="77777777" w:rsidR="00EB5AA1" w:rsidRDefault="00EB5AA1" w:rsidP="00EB5AA1">
      <w:pPr>
        <w:pStyle w:val="Scheduleitem"/>
        <w:keepNext w:val="0"/>
        <w:numPr>
          <w:ilvl w:val="0"/>
          <w:numId w:val="16"/>
        </w:numPr>
      </w:pPr>
      <w:r>
        <w:t>Clause 7.15.1.2., omit “ADR 47/…”, substitute “ADR 47/… or ADR 104/…”.</w:t>
      </w:r>
    </w:p>
    <w:p w14:paraId="68BA22C2" w14:textId="77777777" w:rsidR="00EB5AA1" w:rsidRPr="0006539B" w:rsidRDefault="00EB5AA1" w:rsidP="00EB5AA1">
      <w:pPr>
        <w:pStyle w:val="Scheduleitem"/>
        <w:keepNext w:val="0"/>
        <w:numPr>
          <w:ilvl w:val="0"/>
          <w:numId w:val="16"/>
        </w:numPr>
      </w:pPr>
      <w:r>
        <w:t>Clause 7.16.1., insert “ or ADR 103/…”.</w:t>
      </w:r>
    </w:p>
    <w:p w14:paraId="47D44B69" w14:textId="77777777" w:rsidR="00EB5AA1" w:rsidRDefault="00EB5AA1" w:rsidP="00EB5AA1">
      <w:pPr>
        <w:pStyle w:val="Scheduleitem"/>
        <w:keepNext w:val="0"/>
        <w:numPr>
          <w:ilvl w:val="0"/>
          <w:numId w:val="16"/>
        </w:numPr>
      </w:pPr>
      <w:r>
        <w:t>Clause 7.17.2., omit “ADR 74/…”, substitute “ADR 74/… or ADR 102/…”.</w:t>
      </w:r>
    </w:p>
    <w:p w14:paraId="365DDA4E" w14:textId="77777777" w:rsidR="00377BB0" w:rsidRPr="0006539B" w:rsidRDefault="00377BB0" w:rsidP="00377BB0">
      <w:pPr>
        <w:pStyle w:val="Scheduleitem"/>
        <w:keepNext w:val="0"/>
        <w:numPr>
          <w:ilvl w:val="0"/>
          <w:numId w:val="16"/>
        </w:numPr>
      </w:pPr>
      <w:r>
        <w:t>Clause 7.18.2., insert “ or ADR 102/…”.</w:t>
      </w:r>
    </w:p>
    <w:p w14:paraId="498CB009" w14:textId="77777777" w:rsidR="00377BB0" w:rsidRPr="0006539B" w:rsidRDefault="00377BB0" w:rsidP="00377BB0">
      <w:pPr>
        <w:pStyle w:val="Scheduleitem"/>
        <w:keepNext w:val="0"/>
        <w:numPr>
          <w:ilvl w:val="0"/>
          <w:numId w:val="16"/>
        </w:numPr>
      </w:pPr>
      <w:r>
        <w:t>Clause 7.19.1.1., insert “ or ADR 102/…”.</w:t>
      </w:r>
    </w:p>
    <w:p w14:paraId="354A30F9" w14:textId="77777777" w:rsidR="00EB5AA1" w:rsidRPr="0006539B" w:rsidRDefault="00377BB0" w:rsidP="00377BB0">
      <w:pPr>
        <w:pStyle w:val="Scheduleitem"/>
        <w:keepNext w:val="0"/>
        <w:numPr>
          <w:ilvl w:val="0"/>
          <w:numId w:val="16"/>
        </w:numPr>
      </w:pPr>
      <w:r>
        <w:t>Clause 7.19.2.1., insert “ or ADR 102/…”.</w:t>
      </w:r>
    </w:p>
    <w:sectPr w:rsidR="00EB5AA1" w:rsidRPr="0006539B"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6D410" w14:textId="77777777" w:rsidR="00F12102" w:rsidRDefault="00F12102">
      <w:r>
        <w:separator/>
      </w:r>
    </w:p>
  </w:endnote>
  <w:endnote w:type="continuationSeparator" w:id="0">
    <w:p w14:paraId="7D818112" w14:textId="77777777" w:rsidR="00F12102" w:rsidRDefault="00F1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B0B0" w14:textId="77777777" w:rsidR="00927C12" w:rsidRDefault="00927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3E30" w14:textId="77777777" w:rsidR="00D85D2D" w:rsidRDefault="00D85D2D" w:rsidP="00E07422">
    <w:pPr>
      <w:pStyle w:val="Footer"/>
      <w:pBdr>
        <w:top w:val="single" w:sz="4" w:space="1" w:color="auto"/>
      </w:pBdr>
    </w:pPr>
  </w:p>
  <w:p w14:paraId="3A36AF2D" w14:textId="77777777" w:rsidR="00D85D2D" w:rsidRDefault="00D85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554A" w14:textId="77777777" w:rsidR="00927C12" w:rsidRDefault="0092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81BD2" w14:textId="77777777" w:rsidR="00F12102" w:rsidRDefault="00F12102">
      <w:r>
        <w:separator/>
      </w:r>
    </w:p>
  </w:footnote>
  <w:footnote w:type="continuationSeparator" w:id="0">
    <w:p w14:paraId="2311C2EB" w14:textId="77777777" w:rsidR="00F12102" w:rsidRDefault="00F1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9B61" w14:textId="77777777" w:rsidR="00927C12" w:rsidRDefault="00F12102">
    <w:pPr>
      <w:pStyle w:val="Header"/>
    </w:pPr>
    <w:r>
      <w:rPr>
        <w:noProof/>
      </w:rPr>
      <w:pict w14:anchorId="0CDFD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235" o:spid="_x0000_s2050" type="#_x0000_t136" style="position:absolute;margin-left:0;margin-top:0;width:428.2pt;height:17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C3B99" w14:textId="77777777" w:rsidR="00D85D2D" w:rsidRDefault="00F12102" w:rsidP="00E07422">
    <w:pPr>
      <w:pStyle w:val="Header"/>
      <w:pBdr>
        <w:bottom w:val="single" w:sz="4" w:space="1" w:color="auto"/>
      </w:pBdr>
    </w:pPr>
    <w:r>
      <w:rPr>
        <w:noProof/>
      </w:rPr>
      <w:pict w14:anchorId="0238A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236" o:spid="_x0000_s2051" type="#_x0000_t136" style="position:absolute;margin-left:0;margin-top:0;width:428.2pt;height:171.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85D2D">
      <w:rPr>
        <w:szCs w:val="20"/>
      </w:rPr>
      <w:t>Vehicle Standard (</w:t>
    </w:r>
    <w:r w:rsidR="00D85D2D" w:rsidRPr="00F74E75">
      <w:rPr>
        <w:szCs w:val="20"/>
      </w:rPr>
      <w:t>Australian Design Rule</w:t>
    </w:r>
    <w:r w:rsidR="00D85D2D">
      <w:rPr>
        <w:szCs w:val="20"/>
      </w:rPr>
      <w:t>) Vehicle Lighting Amendment 2025</w:t>
    </w:r>
    <w:r w:rsidR="00D85D2D">
      <w:rPr>
        <w:szCs w:val="20"/>
      </w:rPr>
      <w:tab/>
    </w:r>
    <w:r w:rsidR="00D85D2D">
      <w:rPr>
        <w:rStyle w:val="PageNumber"/>
      </w:rPr>
      <w:fldChar w:fldCharType="begin"/>
    </w:r>
    <w:r w:rsidR="00D85D2D">
      <w:rPr>
        <w:rStyle w:val="PageNumber"/>
      </w:rPr>
      <w:instrText xml:space="preserve"> PAGE </w:instrText>
    </w:r>
    <w:r w:rsidR="00D85D2D">
      <w:rPr>
        <w:rStyle w:val="PageNumber"/>
      </w:rPr>
      <w:fldChar w:fldCharType="separate"/>
    </w:r>
    <w:r w:rsidR="00D85D2D">
      <w:rPr>
        <w:rStyle w:val="PageNumber"/>
        <w:noProof/>
      </w:rPr>
      <w:t>1</w:t>
    </w:r>
    <w:r w:rsidR="00D85D2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8B4A" w14:textId="77777777" w:rsidR="00927C12" w:rsidRDefault="00F12102">
    <w:pPr>
      <w:pStyle w:val="Header"/>
    </w:pPr>
    <w:r>
      <w:rPr>
        <w:noProof/>
      </w:rPr>
      <w:pict w14:anchorId="52205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234" o:spid="_x0000_s2049" type="#_x0000_t136" style="position:absolute;margin-left:0;margin-top:0;width:428.2pt;height:171.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75DE" w14:textId="77777777" w:rsidR="00D85D2D" w:rsidRDefault="00F12102">
    <w:pPr>
      <w:pStyle w:val="Header"/>
    </w:pPr>
    <w:r>
      <w:rPr>
        <w:noProof/>
      </w:rPr>
      <w:pict w14:anchorId="3E5C9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238" o:spid="_x0000_s2053" type="#_x0000_t136" style="position:absolute;margin-left:0;margin-top:0;width:428.2pt;height:17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7418B" w14:textId="77777777" w:rsidR="00D85D2D" w:rsidRPr="00791D27" w:rsidRDefault="00F12102" w:rsidP="00E07422">
    <w:pPr>
      <w:pStyle w:val="Header"/>
      <w:pBdr>
        <w:bottom w:val="single" w:sz="4" w:space="1" w:color="auto"/>
      </w:pBdr>
      <w:rPr>
        <w:szCs w:val="20"/>
      </w:rPr>
    </w:pPr>
    <w:r>
      <w:rPr>
        <w:noProof/>
      </w:rPr>
      <w:pict w14:anchorId="01548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239" o:spid="_x0000_s2054" type="#_x0000_t136" style="position:absolute;margin-left:0;margin-top:0;width:428.2pt;height:171.2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85D2D">
      <w:rPr>
        <w:szCs w:val="20"/>
      </w:rPr>
      <w:t>Vehicle Standard (</w:t>
    </w:r>
    <w:r w:rsidR="00D85D2D" w:rsidRPr="00F74E75">
      <w:rPr>
        <w:szCs w:val="20"/>
      </w:rPr>
      <w:t>Australian Design Rule</w:t>
    </w:r>
    <w:r w:rsidR="00D85D2D">
      <w:rPr>
        <w:szCs w:val="20"/>
      </w:rPr>
      <w:t>) Vehicle Lighting Amendment 2025</w:t>
    </w:r>
    <w:r w:rsidR="00D85D2D">
      <w:rPr>
        <w:szCs w:val="20"/>
      </w:rPr>
      <w:tab/>
    </w:r>
    <w:r w:rsidR="00D85D2D">
      <w:rPr>
        <w:rStyle w:val="PageNumber"/>
      </w:rPr>
      <w:fldChar w:fldCharType="begin"/>
    </w:r>
    <w:r w:rsidR="00D85D2D">
      <w:rPr>
        <w:rStyle w:val="PageNumber"/>
      </w:rPr>
      <w:instrText xml:space="preserve"> PAGE </w:instrText>
    </w:r>
    <w:r w:rsidR="00D85D2D">
      <w:rPr>
        <w:rStyle w:val="PageNumber"/>
      </w:rPr>
      <w:fldChar w:fldCharType="separate"/>
    </w:r>
    <w:r w:rsidR="00D85D2D">
      <w:rPr>
        <w:rStyle w:val="PageNumber"/>
        <w:noProof/>
      </w:rPr>
      <w:t>2</w:t>
    </w:r>
    <w:r w:rsidR="00D85D2D">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B5AC" w14:textId="77777777" w:rsidR="00D85D2D" w:rsidRDefault="00F12102">
    <w:pPr>
      <w:pStyle w:val="Header"/>
    </w:pPr>
    <w:r>
      <w:rPr>
        <w:noProof/>
      </w:rPr>
      <w:pict w14:anchorId="223D2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237" o:spid="_x0000_s2052" type="#_x0000_t136" style="position:absolute;margin-left:0;margin-top:0;width:428.2pt;height:17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B38"/>
    <w:multiLevelType w:val="hybridMultilevel"/>
    <w:tmpl w:val="13E47992"/>
    <w:lvl w:ilvl="0" w:tplc="57D63438">
      <w:start w:val="1"/>
      <w:numFmt w:val="lowerRoman"/>
      <w:pStyle w:val="ListParagraph"/>
      <w:lvlText w:val="(%1)"/>
      <w:lvlJc w:val="left"/>
      <w:pPr>
        <w:ind w:left="149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 w15:restartNumberingAfterBreak="0">
    <w:nsid w:val="06551930"/>
    <w:multiLevelType w:val="hybridMultilevel"/>
    <w:tmpl w:val="BED69A24"/>
    <w:lvl w:ilvl="0" w:tplc="565A356E">
      <w:start w:val="1"/>
      <w:numFmt w:val="decimal"/>
      <w:pStyle w:val="Scheduleitem"/>
      <w:lvlText w:val="[%1]"/>
      <w:lvlJc w:val="left"/>
      <w:pPr>
        <w:tabs>
          <w:tab w:val="num" w:pos="720"/>
        </w:tabs>
        <w:ind w:left="72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CA61C13"/>
    <w:multiLevelType w:val="multilevel"/>
    <w:tmpl w:val="73AC043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2408A6"/>
    <w:multiLevelType w:val="multilevel"/>
    <w:tmpl w:val="1048144C"/>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4"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start w:val="1"/>
      <w:numFmt w:val="bullet"/>
      <w:pStyle w:val="AlphabeticalLis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58F7506F"/>
    <w:multiLevelType w:val="multilevel"/>
    <w:tmpl w:val="C4A2161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6" w15:restartNumberingAfterBreak="0">
    <w:nsid w:val="69105BD7"/>
    <w:multiLevelType w:val="multilevel"/>
    <w:tmpl w:val="22BE2A84"/>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
  </w:num>
  <w:num w:numId="3">
    <w:abstractNumId w:val="1"/>
    <w:lvlOverride w:ilvl="0">
      <w:startOverride w:val="1"/>
    </w:lvlOverride>
  </w:num>
  <w:num w:numId="4">
    <w:abstractNumId w:val="4"/>
  </w:num>
  <w:num w:numId="5">
    <w:abstractNumId w:val="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6">
    <w:abstractNumId w:val="3"/>
  </w:num>
  <w:num w:numId="7">
    <w:abstractNumId w:val="1"/>
    <w:lvlOverride w:ilvl="0">
      <w:startOverride w:val="1"/>
    </w:lvlOverride>
  </w:num>
  <w:num w:numId="8">
    <w:abstractNumId w:val="1"/>
    <w:lvlOverride w:ilvl="0">
      <w:startOverride w:val="1"/>
    </w:lvlOverride>
  </w:num>
  <w:num w:numId="9">
    <w:abstractNumId w:val="0"/>
  </w:num>
  <w:num w:numId="10">
    <w:abstractNumId w:val="3"/>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1">
    <w:abstractNumId w:val="3"/>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2">
    <w:abstractNumId w:val="3"/>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3">
    <w:abstractNumId w:val="3"/>
    <w:lvlOverride w:ilvl="0">
      <w:startOverride w:val="1"/>
      <w:lvl w:ilvl="0">
        <w:start w:val="1"/>
        <w:numFmt w:val="decimal"/>
        <w:pStyle w:val="Body-SectionTitle"/>
        <w:lvlText w:val="%1."/>
        <w:lvlJc w:val="left"/>
        <w:pPr>
          <w:tabs>
            <w:tab w:val="num" w:pos="4111"/>
          </w:tabs>
          <w:ind w:left="4111" w:hanging="1418"/>
        </w:pPr>
        <w:rPr>
          <w:rFonts w:hint="default"/>
        </w:rPr>
      </w:lvl>
    </w:lvlOverride>
    <w:lvlOverride w:ilvl="1">
      <w:startOverride w:val="1"/>
      <w:lvl w:ilvl="1">
        <w:start w:val="1"/>
        <w:numFmt w:val="decimal"/>
        <w:pStyle w:val="Body-SubClause"/>
        <w:lvlText w:val="%1.%2."/>
        <w:lvlJc w:val="left"/>
        <w:pPr>
          <w:tabs>
            <w:tab w:val="num" w:pos="1418"/>
          </w:tabs>
          <w:ind w:left="1418" w:hanging="1418"/>
        </w:pPr>
        <w:rPr>
          <w:rFonts w:hint="default"/>
        </w:rPr>
      </w:lvl>
    </w:lvlOverride>
    <w:lvlOverride w:ilvl="2">
      <w:startOverride w:val="1"/>
      <w:lvl w:ilvl="2">
        <w:start w:val="1"/>
        <w:numFmt w:val="decimal"/>
        <w:pStyle w:val="Body-Subx2Clause"/>
        <w:lvlText w:val="%1.%2.%3."/>
        <w:lvlJc w:val="left"/>
        <w:pPr>
          <w:tabs>
            <w:tab w:val="num" w:pos="1418"/>
          </w:tabs>
          <w:ind w:left="1418" w:hanging="1418"/>
        </w:pPr>
        <w:rPr>
          <w:rFonts w:hint="default"/>
        </w:rPr>
      </w:lvl>
    </w:lvlOverride>
    <w:lvlOverride w:ilvl="3">
      <w:startOverride w:val="1"/>
      <w:lvl w:ilvl="3">
        <w:start w:val="1"/>
        <w:numFmt w:val="decimal"/>
        <w:pStyle w:val="Body-Subx3Clause"/>
        <w:lvlText w:val="%1.%2.%3.%4."/>
        <w:lvlJc w:val="left"/>
        <w:pPr>
          <w:tabs>
            <w:tab w:val="num" w:pos="1418"/>
          </w:tabs>
          <w:ind w:left="1418" w:hanging="1418"/>
        </w:pPr>
        <w:rPr>
          <w:rFonts w:hint="default"/>
        </w:rPr>
      </w:lvl>
    </w:lvlOverride>
    <w:lvlOverride w:ilvl="4">
      <w:startOverride w:val="1"/>
      <w:lvl w:ilvl="4">
        <w:start w:val="1"/>
        <w:numFmt w:val="decimal"/>
        <w:pStyle w:val="Body-Subx4Clause"/>
        <w:lvlText w:val="%1.%2.%3.%4.%5."/>
        <w:lvlJc w:val="left"/>
        <w:pPr>
          <w:tabs>
            <w:tab w:val="num" w:pos="1418"/>
          </w:tabs>
          <w:ind w:left="1418" w:hanging="1418"/>
        </w:pPr>
        <w:rPr>
          <w:rFonts w:hint="default"/>
        </w:rPr>
      </w:lvl>
    </w:lvlOverride>
    <w:lvlOverride w:ilvl="5">
      <w:startOverride w:val="1"/>
      <w:lvl w:ilvl="5">
        <w:start w:val="1"/>
        <w:numFmt w:val="lowerRoman"/>
        <w:lvlText w:val="%6."/>
        <w:lvlJc w:val="left"/>
        <w:pPr>
          <w:tabs>
            <w:tab w:val="num" w:pos="1418"/>
          </w:tabs>
          <w:ind w:left="1418" w:hanging="1418"/>
        </w:pPr>
        <w:rPr>
          <w:rFonts w:hint="default"/>
        </w:rPr>
      </w:lvl>
    </w:lvlOverride>
    <w:lvlOverride w:ilvl="6">
      <w:startOverride w:val="1"/>
      <w:lvl w:ilvl="6">
        <w:start w:val="1"/>
        <w:numFmt w:val="lowerLetter"/>
        <w:pStyle w:val="Body-Listalpha"/>
        <w:lvlText w:val="(%7)"/>
        <w:lvlJc w:val="left"/>
        <w:pPr>
          <w:tabs>
            <w:tab w:val="num" w:pos="1588"/>
          </w:tabs>
          <w:ind w:left="1588" w:hanging="170"/>
        </w:pPr>
        <w:rPr>
          <w:rFonts w:hint="default"/>
        </w:rPr>
      </w:lvl>
    </w:lvlOverride>
    <w:lvlOverride w:ilvl="7">
      <w:startOverride w:val="1"/>
      <w:lvl w:ilvl="7">
        <w:start w:val="1"/>
        <w:numFmt w:val="none"/>
        <w:lvlRestart w:val="1"/>
        <w:suff w:val="nothing"/>
        <w:lvlText w:val=""/>
        <w:lvlJc w:val="left"/>
        <w:pPr>
          <w:ind w:left="1418" w:hanging="1418"/>
        </w:pPr>
        <w:rPr>
          <w:rFonts w:hint="default"/>
        </w:rPr>
      </w:lvl>
    </w:lvlOverride>
    <w:lvlOverride w:ilvl="8">
      <w:startOverride w:val="1"/>
      <w:lvl w:ilvl="8">
        <w:start w:val="1"/>
        <w:numFmt w:val="none"/>
        <w:lvlRestart w:val="1"/>
        <w:lvlText w:val=""/>
        <w:lvlJc w:val="left"/>
        <w:pPr>
          <w:tabs>
            <w:tab w:val="num" w:pos="720"/>
          </w:tabs>
          <w:ind w:left="720" w:hanging="720"/>
        </w:pPr>
        <w:rPr>
          <w:rFonts w:hint="default"/>
        </w:rPr>
      </w:lvl>
    </w:lvlOverride>
  </w:num>
  <w:num w:numId="14">
    <w:abstractNumId w:val="1"/>
    <w:lvlOverride w:ilvl="0">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
    <w:lvlOverride w:ilvl="0">
      <w:startOverride w:val="1"/>
    </w:lvlOverride>
  </w:num>
  <w:num w:numId="21">
    <w:abstractNumId w:val="1"/>
    <w:lvlOverride w:ilvl="0">
      <w:startOverride w:val="1"/>
    </w:lvlOverride>
  </w:num>
  <w:num w:numId="22">
    <w:abstractNumId w:val="1"/>
  </w:num>
  <w:num w:numId="2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65"/>
    <w:rsid w:val="00003820"/>
    <w:rsid w:val="00003E2A"/>
    <w:rsid w:val="00004B53"/>
    <w:rsid w:val="00006F3E"/>
    <w:rsid w:val="00007B7B"/>
    <w:rsid w:val="00010457"/>
    <w:rsid w:val="000107E9"/>
    <w:rsid w:val="0001168C"/>
    <w:rsid w:val="00013261"/>
    <w:rsid w:val="000133A8"/>
    <w:rsid w:val="00014646"/>
    <w:rsid w:val="00015D72"/>
    <w:rsid w:val="000219E8"/>
    <w:rsid w:val="000221ED"/>
    <w:rsid w:val="00022AD5"/>
    <w:rsid w:val="000242C0"/>
    <w:rsid w:val="0002719F"/>
    <w:rsid w:val="00027E1C"/>
    <w:rsid w:val="00030604"/>
    <w:rsid w:val="00030EA4"/>
    <w:rsid w:val="00032B07"/>
    <w:rsid w:val="000346AF"/>
    <w:rsid w:val="00036035"/>
    <w:rsid w:val="00037384"/>
    <w:rsid w:val="00037A21"/>
    <w:rsid w:val="00040D23"/>
    <w:rsid w:val="00040FA3"/>
    <w:rsid w:val="0004323E"/>
    <w:rsid w:val="00043C05"/>
    <w:rsid w:val="0004448D"/>
    <w:rsid w:val="000459D7"/>
    <w:rsid w:val="00046F8B"/>
    <w:rsid w:val="0005034F"/>
    <w:rsid w:val="00052752"/>
    <w:rsid w:val="00053253"/>
    <w:rsid w:val="000532AF"/>
    <w:rsid w:val="0005488F"/>
    <w:rsid w:val="00054F6A"/>
    <w:rsid w:val="000622D8"/>
    <w:rsid w:val="000625D8"/>
    <w:rsid w:val="00064AB1"/>
    <w:rsid w:val="0006539B"/>
    <w:rsid w:val="00066F0B"/>
    <w:rsid w:val="0006720B"/>
    <w:rsid w:val="00067CAF"/>
    <w:rsid w:val="000702F0"/>
    <w:rsid w:val="00071AA3"/>
    <w:rsid w:val="00071C6A"/>
    <w:rsid w:val="00072EE1"/>
    <w:rsid w:val="00073C4E"/>
    <w:rsid w:val="00076FFF"/>
    <w:rsid w:val="00080417"/>
    <w:rsid w:val="00084C60"/>
    <w:rsid w:val="000862D5"/>
    <w:rsid w:val="00086B6D"/>
    <w:rsid w:val="00086DE5"/>
    <w:rsid w:val="00090401"/>
    <w:rsid w:val="0009138D"/>
    <w:rsid w:val="000918C7"/>
    <w:rsid w:val="00091C3F"/>
    <w:rsid w:val="00092952"/>
    <w:rsid w:val="00093AE1"/>
    <w:rsid w:val="00093C48"/>
    <w:rsid w:val="000943BE"/>
    <w:rsid w:val="00094673"/>
    <w:rsid w:val="000953E0"/>
    <w:rsid w:val="00095D8A"/>
    <w:rsid w:val="0009706D"/>
    <w:rsid w:val="000A0C57"/>
    <w:rsid w:val="000A0E33"/>
    <w:rsid w:val="000A34CF"/>
    <w:rsid w:val="000A5DB9"/>
    <w:rsid w:val="000A5EF4"/>
    <w:rsid w:val="000A6EF2"/>
    <w:rsid w:val="000B11BE"/>
    <w:rsid w:val="000B1BEC"/>
    <w:rsid w:val="000B2D5F"/>
    <w:rsid w:val="000B35BB"/>
    <w:rsid w:val="000B57CC"/>
    <w:rsid w:val="000B5B05"/>
    <w:rsid w:val="000B78B6"/>
    <w:rsid w:val="000B7DC9"/>
    <w:rsid w:val="000C11CB"/>
    <w:rsid w:val="000C30DB"/>
    <w:rsid w:val="000C37BA"/>
    <w:rsid w:val="000C4C93"/>
    <w:rsid w:val="000C7646"/>
    <w:rsid w:val="000D143B"/>
    <w:rsid w:val="000D1E82"/>
    <w:rsid w:val="000D21A8"/>
    <w:rsid w:val="000D31C5"/>
    <w:rsid w:val="000D43B5"/>
    <w:rsid w:val="000D4E5E"/>
    <w:rsid w:val="000D5BC0"/>
    <w:rsid w:val="000D7159"/>
    <w:rsid w:val="000E0ABF"/>
    <w:rsid w:val="000E0F91"/>
    <w:rsid w:val="000E189C"/>
    <w:rsid w:val="000E18E9"/>
    <w:rsid w:val="000E2E8A"/>
    <w:rsid w:val="000E2FA2"/>
    <w:rsid w:val="000E354C"/>
    <w:rsid w:val="000E3F80"/>
    <w:rsid w:val="000E5440"/>
    <w:rsid w:val="000E6342"/>
    <w:rsid w:val="000E67A8"/>
    <w:rsid w:val="000F231B"/>
    <w:rsid w:val="000F31B4"/>
    <w:rsid w:val="000F500D"/>
    <w:rsid w:val="000F516A"/>
    <w:rsid w:val="000F579F"/>
    <w:rsid w:val="000F64F9"/>
    <w:rsid w:val="00100FDD"/>
    <w:rsid w:val="001012B1"/>
    <w:rsid w:val="001028EA"/>
    <w:rsid w:val="00102C89"/>
    <w:rsid w:val="00103164"/>
    <w:rsid w:val="001034BD"/>
    <w:rsid w:val="00107F67"/>
    <w:rsid w:val="001106BA"/>
    <w:rsid w:val="00110B04"/>
    <w:rsid w:val="00111275"/>
    <w:rsid w:val="00111749"/>
    <w:rsid w:val="00113B5B"/>
    <w:rsid w:val="00113C46"/>
    <w:rsid w:val="0011409D"/>
    <w:rsid w:val="001166A4"/>
    <w:rsid w:val="00117E42"/>
    <w:rsid w:val="00117E99"/>
    <w:rsid w:val="001203DB"/>
    <w:rsid w:val="0012123B"/>
    <w:rsid w:val="00126F4B"/>
    <w:rsid w:val="0012795E"/>
    <w:rsid w:val="001302D1"/>
    <w:rsid w:val="00130335"/>
    <w:rsid w:val="0013116C"/>
    <w:rsid w:val="0013320F"/>
    <w:rsid w:val="0013462A"/>
    <w:rsid w:val="00135697"/>
    <w:rsid w:val="00135A66"/>
    <w:rsid w:val="001402AD"/>
    <w:rsid w:val="00141E07"/>
    <w:rsid w:val="0014336E"/>
    <w:rsid w:val="001442DF"/>
    <w:rsid w:val="00144538"/>
    <w:rsid w:val="00144766"/>
    <w:rsid w:val="00145997"/>
    <w:rsid w:val="0014782B"/>
    <w:rsid w:val="00150DE0"/>
    <w:rsid w:val="00150F68"/>
    <w:rsid w:val="0015189C"/>
    <w:rsid w:val="00153FFB"/>
    <w:rsid w:val="00154035"/>
    <w:rsid w:val="00154EB6"/>
    <w:rsid w:val="001554D7"/>
    <w:rsid w:val="001559C8"/>
    <w:rsid w:val="001560CA"/>
    <w:rsid w:val="001562EA"/>
    <w:rsid w:val="00157D5F"/>
    <w:rsid w:val="00157E5D"/>
    <w:rsid w:val="001612EE"/>
    <w:rsid w:val="00162D4C"/>
    <w:rsid w:val="0016375E"/>
    <w:rsid w:val="0016397C"/>
    <w:rsid w:val="00164667"/>
    <w:rsid w:val="00165ED4"/>
    <w:rsid w:val="001677BF"/>
    <w:rsid w:val="00170F69"/>
    <w:rsid w:val="001715A0"/>
    <w:rsid w:val="00173012"/>
    <w:rsid w:val="00173905"/>
    <w:rsid w:val="0017442C"/>
    <w:rsid w:val="0017516A"/>
    <w:rsid w:val="00175E63"/>
    <w:rsid w:val="00176296"/>
    <w:rsid w:val="00180B41"/>
    <w:rsid w:val="00182831"/>
    <w:rsid w:val="00182BD7"/>
    <w:rsid w:val="00182D62"/>
    <w:rsid w:val="00184CE2"/>
    <w:rsid w:val="00184FF9"/>
    <w:rsid w:val="00185CA1"/>
    <w:rsid w:val="00186D87"/>
    <w:rsid w:val="001915C7"/>
    <w:rsid w:val="00194391"/>
    <w:rsid w:val="00194F88"/>
    <w:rsid w:val="00195336"/>
    <w:rsid w:val="001977EA"/>
    <w:rsid w:val="001A1E2C"/>
    <w:rsid w:val="001A268A"/>
    <w:rsid w:val="001A27A0"/>
    <w:rsid w:val="001A3418"/>
    <w:rsid w:val="001A4110"/>
    <w:rsid w:val="001A4823"/>
    <w:rsid w:val="001A5E8E"/>
    <w:rsid w:val="001A6B65"/>
    <w:rsid w:val="001A6FA9"/>
    <w:rsid w:val="001B289E"/>
    <w:rsid w:val="001B38AA"/>
    <w:rsid w:val="001B3CD1"/>
    <w:rsid w:val="001B5474"/>
    <w:rsid w:val="001B62E1"/>
    <w:rsid w:val="001B7375"/>
    <w:rsid w:val="001B79DC"/>
    <w:rsid w:val="001C21E9"/>
    <w:rsid w:val="001C24D8"/>
    <w:rsid w:val="001C2F06"/>
    <w:rsid w:val="001C3E2F"/>
    <w:rsid w:val="001C4F32"/>
    <w:rsid w:val="001C5934"/>
    <w:rsid w:val="001C7FFD"/>
    <w:rsid w:val="001D1DC5"/>
    <w:rsid w:val="001D359F"/>
    <w:rsid w:val="001D4152"/>
    <w:rsid w:val="001D4975"/>
    <w:rsid w:val="001D73F1"/>
    <w:rsid w:val="001D73FC"/>
    <w:rsid w:val="001E0272"/>
    <w:rsid w:val="001E0750"/>
    <w:rsid w:val="001E1D00"/>
    <w:rsid w:val="001E3AB4"/>
    <w:rsid w:val="001E4A7A"/>
    <w:rsid w:val="001E6C22"/>
    <w:rsid w:val="001F07FE"/>
    <w:rsid w:val="001F1238"/>
    <w:rsid w:val="001F1793"/>
    <w:rsid w:val="001F341D"/>
    <w:rsid w:val="001F3A19"/>
    <w:rsid w:val="001F74ED"/>
    <w:rsid w:val="002018AF"/>
    <w:rsid w:val="002025F9"/>
    <w:rsid w:val="0020310A"/>
    <w:rsid w:val="00207D93"/>
    <w:rsid w:val="00207DFD"/>
    <w:rsid w:val="0021006A"/>
    <w:rsid w:val="0021043B"/>
    <w:rsid w:val="00210D9C"/>
    <w:rsid w:val="00215014"/>
    <w:rsid w:val="0021503E"/>
    <w:rsid w:val="00215302"/>
    <w:rsid w:val="00217152"/>
    <w:rsid w:val="002208E6"/>
    <w:rsid w:val="00223616"/>
    <w:rsid w:val="00224D20"/>
    <w:rsid w:val="0022616A"/>
    <w:rsid w:val="0022658D"/>
    <w:rsid w:val="002302FE"/>
    <w:rsid w:val="002324D8"/>
    <w:rsid w:val="0023431C"/>
    <w:rsid w:val="00234C43"/>
    <w:rsid w:val="002352CB"/>
    <w:rsid w:val="00236C7C"/>
    <w:rsid w:val="00241863"/>
    <w:rsid w:val="00241B3E"/>
    <w:rsid w:val="00242A55"/>
    <w:rsid w:val="00244236"/>
    <w:rsid w:val="00244E0C"/>
    <w:rsid w:val="00244F67"/>
    <w:rsid w:val="00245F41"/>
    <w:rsid w:val="002460E4"/>
    <w:rsid w:val="00246550"/>
    <w:rsid w:val="002502C6"/>
    <w:rsid w:val="00251011"/>
    <w:rsid w:val="00251806"/>
    <w:rsid w:val="00252BE4"/>
    <w:rsid w:val="00252D5A"/>
    <w:rsid w:val="00252E28"/>
    <w:rsid w:val="002542FE"/>
    <w:rsid w:val="002545D9"/>
    <w:rsid w:val="002557BA"/>
    <w:rsid w:val="00256891"/>
    <w:rsid w:val="0026352B"/>
    <w:rsid w:val="0026379C"/>
    <w:rsid w:val="00263D66"/>
    <w:rsid w:val="002647BA"/>
    <w:rsid w:val="002649FB"/>
    <w:rsid w:val="00266E3C"/>
    <w:rsid w:val="002674DA"/>
    <w:rsid w:val="00270983"/>
    <w:rsid w:val="00270A49"/>
    <w:rsid w:val="00270C35"/>
    <w:rsid w:val="00272076"/>
    <w:rsid w:val="00272B98"/>
    <w:rsid w:val="002800B0"/>
    <w:rsid w:val="0028085D"/>
    <w:rsid w:val="00281943"/>
    <w:rsid w:val="002831D7"/>
    <w:rsid w:val="00283350"/>
    <w:rsid w:val="00285006"/>
    <w:rsid w:val="0029061C"/>
    <w:rsid w:val="00291E35"/>
    <w:rsid w:val="00292891"/>
    <w:rsid w:val="00292B9B"/>
    <w:rsid w:val="00292E0C"/>
    <w:rsid w:val="002936B4"/>
    <w:rsid w:val="002964D6"/>
    <w:rsid w:val="002A1078"/>
    <w:rsid w:val="002A113C"/>
    <w:rsid w:val="002A227E"/>
    <w:rsid w:val="002A2282"/>
    <w:rsid w:val="002A24BB"/>
    <w:rsid w:val="002A314D"/>
    <w:rsid w:val="002A3906"/>
    <w:rsid w:val="002A68B4"/>
    <w:rsid w:val="002A6A8A"/>
    <w:rsid w:val="002A6AAE"/>
    <w:rsid w:val="002A7F73"/>
    <w:rsid w:val="002B0C3F"/>
    <w:rsid w:val="002B0D90"/>
    <w:rsid w:val="002B44F3"/>
    <w:rsid w:val="002B6BB7"/>
    <w:rsid w:val="002C0916"/>
    <w:rsid w:val="002C0F0C"/>
    <w:rsid w:val="002C135A"/>
    <w:rsid w:val="002C1EBC"/>
    <w:rsid w:val="002C560B"/>
    <w:rsid w:val="002D0868"/>
    <w:rsid w:val="002D1A0B"/>
    <w:rsid w:val="002D2980"/>
    <w:rsid w:val="002D2AF8"/>
    <w:rsid w:val="002D5381"/>
    <w:rsid w:val="002D69E8"/>
    <w:rsid w:val="002D6D4A"/>
    <w:rsid w:val="002D7419"/>
    <w:rsid w:val="002D7893"/>
    <w:rsid w:val="002E0678"/>
    <w:rsid w:val="002E0D6A"/>
    <w:rsid w:val="002E36D1"/>
    <w:rsid w:val="002E3DFD"/>
    <w:rsid w:val="002E5375"/>
    <w:rsid w:val="002E6A5D"/>
    <w:rsid w:val="002F0723"/>
    <w:rsid w:val="002F1CD1"/>
    <w:rsid w:val="002F1D85"/>
    <w:rsid w:val="002F2BA1"/>
    <w:rsid w:val="002F5094"/>
    <w:rsid w:val="002F7BC6"/>
    <w:rsid w:val="00301CD1"/>
    <w:rsid w:val="00304089"/>
    <w:rsid w:val="00304461"/>
    <w:rsid w:val="00306421"/>
    <w:rsid w:val="00312770"/>
    <w:rsid w:val="00312E5C"/>
    <w:rsid w:val="00313974"/>
    <w:rsid w:val="0031654E"/>
    <w:rsid w:val="003165F0"/>
    <w:rsid w:val="00321FE3"/>
    <w:rsid w:val="00322CB2"/>
    <w:rsid w:val="00324A87"/>
    <w:rsid w:val="00324B5F"/>
    <w:rsid w:val="003260E8"/>
    <w:rsid w:val="003271A7"/>
    <w:rsid w:val="0033129B"/>
    <w:rsid w:val="003333E4"/>
    <w:rsid w:val="0033396F"/>
    <w:rsid w:val="00333BFF"/>
    <w:rsid w:val="00333E16"/>
    <w:rsid w:val="00334250"/>
    <w:rsid w:val="00335AA5"/>
    <w:rsid w:val="0033749C"/>
    <w:rsid w:val="0034023B"/>
    <w:rsid w:val="00343704"/>
    <w:rsid w:val="003447B8"/>
    <w:rsid w:val="003447E5"/>
    <w:rsid w:val="003454A3"/>
    <w:rsid w:val="003473E5"/>
    <w:rsid w:val="003475CF"/>
    <w:rsid w:val="00347D68"/>
    <w:rsid w:val="00351DBB"/>
    <w:rsid w:val="00351E7D"/>
    <w:rsid w:val="003521FD"/>
    <w:rsid w:val="003545AD"/>
    <w:rsid w:val="00354C6A"/>
    <w:rsid w:val="00356EE7"/>
    <w:rsid w:val="0035770C"/>
    <w:rsid w:val="00361C19"/>
    <w:rsid w:val="0036579E"/>
    <w:rsid w:val="0036665D"/>
    <w:rsid w:val="00366740"/>
    <w:rsid w:val="00370592"/>
    <w:rsid w:val="00371AE6"/>
    <w:rsid w:val="00371DCE"/>
    <w:rsid w:val="00373AE7"/>
    <w:rsid w:val="00375663"/>
    <w:rsid w:val="00375BDD"/>
    <w:rsid w:val="00375E85"/>
    <w:rsid w:val="003772BF"/>
    <w:rsid w:val="00377BB0"/>
    <w:rsid w:val="00380AE2"/>
    <w:rsid w:val="00382DDB"/>
    <w:rsid w:val="0038364E"/>
    <w:rsid w:val="0038466A"/>
    <w:rsid w:val="0038529C"/>
    <w:rsid w:val="0038558B"/>
    <w:rsid w:val="0038582E"/>
    <w:rsid w:val="00386025"/>
    <w:rsid w:val="00386745"/>
    <w:rsid w:val="003914FC"/>
    <w:rsid w:val="003916FB"/>
    <w:rsid w:val="003919E6"/>
    <w:rsid w:val="003921E0"/>
    <w:rsid w:val="00392973"/>
    <w:rsid w:val="00392CD7"/>
    <w:rsid w:val="00392F87"/>
    <w:rsid w:val="0039551E"/>
    <w:rsid w:val="003969CC"/>
    <w:rsid w:val="003979F7"/>
    <w:rsid w:val="003A078D"/>
    <w:rsid w:val="003A0931"/>
    <w:rsid w:val="003A1411"/>
    <w:rsid w:val="003A280F"/>
    <w:rsid w:val="003A2ADB"/>
    <w:rsid w:val="003A516F"/>
    <w:rsid w:val="003A7631"/>
    <w:rsid w:val="003B10B8"/>
    <w:rsid w:val="003B4C72"/>
    <w:rsid w:val="003B544E"/>
    <w:rsid w:val="003B5AE2"/>
    <w:rsid w:val="003B5B49"/>
    <w:rsid w:val="003B6334"/>
    <w:rsid w:val="003B6E7A"/>
    <w:rsid w:val="003B79B2"/>
    <w:rsid w:val="003B7D44"/>
    <w:rsid w:val="003C013E"/>
    <w:rsid w:val="003C3077"/>
    <w:rsid w:val="003C3633"/>
    <w:rsid w:val="003C4BAE"/>
    <w:rsid w:val="003C4EA9"/>
    <w:rsid w:val="003C6196"/>
    <w:rsid w:val="003D0901"/>
    <w:rsid w:val="003D14B2"/>
    <w:rsid w:val="003D178C"/>
    <w:rsid w:val="003D25B9"/>
    <w:rsid w:val="003D3087"/>
    <w:rsid w:val="003D5DF2"/>
    <w:rsid w:val="003D7524"/>
    <w:rsid w:val="003D7A94"/>
    <w:rsid w:val="003E0B62"/>
    <w:rsid w:val="003E0D5F"/>
    <w:rsid w:val="003E26C9"/>
    <w:rsid w:val="003E2D99"/>
    <w:rsid w:val="003E3DA5"/>
    <w:rsid w:val="003E433E"/>
    <w:rsid w:val="003E51DF"/>
    <w:rsid w:val="003E5374"/>
    <w:rsid w:val="003E5F99"/>
    <w:rsid w:val="003E62BE"/>
    <w:rsid w:val="003E7C88"/>
    <w:rsid w:val="003F0CF3"/>
    <w:rsid w:val="003F110C"/>
    <w:rsid w:val="003F3E1C"/>
    <w:rsid w:val="003F4819"/>
    <w:rsid w:val="003F6095"/>
    <w:rsid w:val="00402310"/>
    <w:rsid w:val="00403405"/>
    <w:rsid w:val="00403788"/>
    <w:rsid w:val="004070E7"/>
    <w:rsid w:val="00407EC2"/>
    <w:rsid w:val="004116C2"/>
    <w:rsid w:val="00412622"/>
    <w:rsid w:val="00413682"/>
    <w:rsid w:val="00413BFE"/>
    <w:rsid w:val="00414695"/>
    <w:rsid w:val="00414C92"/>
    <w:rsid w:val="00414F2E"/>
    <w:rsid w:val="0041559E"/>
    <w:rsid w:val="00415E8D"/>
    <w:rsid w:val="0042138E"/>
    <w:rsid w:val="00422441"/>
    <w:rsid w:val="00423D95"/>
    <w:rsid w:val="00424DC7"/>
    <w:rsid w:val="00425359"/>
    <w:rsid w:val="00425CE6"/>
    <w:rsid w:val="00430968"/>
    <w:rsid w:val="0043096A"/>
    <w:rsid w:val="004311F3"/>
    <w:rsid w:val="00431EF9"/>
    <w:rsid w:val="00432C26"/>
    <w:rsid w:val="00433961"/>
    <w:rsid w:val="00433DC3"/>
    <w:rsid w:val="0043479D"/>
    <w:rsid w:val="00436084"/>
    <w:rsid w:val="004362C1"/>
    <w:rsid w:val="004364B7"/>
    <w:rsid w:val="00436D97"/>
    <w:rsid w:val="00440451"/>
    <w:rsid w:val="0044208E"/>
    <w:rsid w:val="00442185"/>
    <w:rsid w:val="004438B5"/>
    <w:rsid w:val="00446086"/>
    <w:rsid w:val="0044610E"/>
    <w:rsid w:val="004461C9"/>
    <w:rsid w:val="00450092"/>
    <w:rsid w:val="004506F2"/>
    <w:rsid w:val="00453CBC"/>
    <w:rsid w:val="00456866"/>
    <w:rsid w:val="00460E4A"/>
    <w:rsid w:val="0046105C"/>
    <w:rsid w:val="00461EC4"/>
    <w:rsid w:val="00466FA4"/>
    <w:rsid w:val="00472D8E"/>
    <w:rsid w:val="00473ABE"/>
    <w:rsid w:val="00474E0B"/>
    <w:rsid w:val="00475F1C"/>
    <w:rsid w:val="00477BF2"/>
    <w:rsid w:val="00480333"/>
    <w:rsid w:val="00481516"/>
    <w:rsid w:val="0048196E"/>
    <w:rsid w:val="0048303D"/>
    <w:rsid w:val="00485BD3"/>
    <w:rsid w:val="00485E2E"/>
    <w:rsid w:val="00486F66"/>
    <w:rsid w:val="0049016A"/>
    <w:rsid w:val="00492DC0"/>
    <w:rsid w:val="00494B4E"/>
    <w:rsid w:val="0049695D"/>
    <w:rsid w:val="004A09A6"/>
    <w:rsid w:val="004A0EFA"/>
    <w:rsid w:val="004A1378"/>
    <w:rsid w:val="004A1B4D"/>
    <w:rsid w:val="004A29E8"/>
    <w:rsid w:val="004A44DD"/>
    <w:rsid w:val="004A63E5"/>
    <w:rsid w:val="004A70F7"/>
    <w:rsid w:val="004A7193"/>
    <w:rsid w:val="004B09CD"/>
    <w:rsid w:val="004B2B2E"/>
    <w:rsid w:val="004B32B3"/>
    <w:rsid w:val="004B4CA7"/>
    <w:rsid w:val="004B4F46"/>
    <w:rsid w:val="004C0161"/>
    <w:rsid w:val="004C3006"/>
    <w:rsid w:val="004C40AD"/>
    <w:rsid w:val="004C4F80"/>
    <w:rsid w:val="004C609C"/>
    <w:rsid w:val="004C66E1"/>
    <w:rsid w:val="004D0F81"/>
    <w:rsid w:val="004D265D"/>
    <w:rsid w:val="004D389B"/>
    <w:rsid w:val="004D455C"/>
    <w:rsid w:val="004D4A7A"/>
    <w:rsid w:val="004D4FC9"/>
    <w:rsid w:val="004D5698"/>
    <w:rsid w:val="004D67D8"/>
    <w:rsid w:val="004E0432"/>
    <w:rsid w:val="004E1A05"/>
    <w:rsid w:val="004E2271"/>
    <w:rsid w:val="004E2D0D"/>
    <w:rsid w:val="004E3175"/>
    <w:rsid w:val="004E3D99"/>
    <w:rsid w:val="004E4259"/>
    <w:rsid w:val="004E4B39"/>
    <w:rsid w:val="004E6618"/>
    <w:rsid w:val="004E67DB"/>
    <w:rsid w:val="004E6D9E"/>
    <w:rsid w:val="004E74DF"/>
    <w:rsid w:val="004F2830"/>
    <w:rsid w:val="004F40B9"/>
    <w:rsid w:val="004F4230"/>
    <w:rsid w:val="004F5A5A"/>
    <w:rsid w:val="004F5EB2"/>
    <w:rsid w:val="004F72EF"/>
    <w:rsid w:val="00500895"/>
    <w:rsid w:val="00502717"/>
    <w:rsid w:val="005028DA"/>
    <w:rsid w:val="00502FE0"/>
    <w:rsid w:val="00503539"/>
    <w:rsid w:val="00506EC8"/>
    <w:rsid w:val="00507423"/>
    <w:rsid w:val="00511F0D"/>
    <w:rsid w:val="00516837"/>
    <w:rsid w:val="0052142E"/>
    <w:rsid w:val="00521821"/>
    <w:rsid w:val="00524526"/>
    <w:rsid w:val="00524D4A"/>
    <w:rsid w:val="00524F70"/>
    <w:rsid w:val="00525AAF"/>
    <w:rsid w:val="00526EC4"/>
    <w:rsid w:val="00531671"/>
    <w:rsid w:val="005324DF"/>
    <w:rsid w:val="00533559"/>
    <w:rsid w:val="005336DD"/>
    <w:rsid w:val="00533F8B"/>
    <w:rsid w:val="00535606"/>
    <w:rsid w:val="00535DBA"/>
    <w:rsid w:val="00536EEE"/>
    <w:rsid w:val="005376CF"/>
    <w:rsid w:val="00542793"/>
    <w:rsid w:val="005430E4"/>
    <w:rsid w:val="00543883"/>
    <w:rsid w:val="0054442E"/>
    <w:rsid w:val="00544920"/>
    <w:rsid w:val="005455A2"/>
    <w:rsid w:val="00545D98"/>
    <w:rsid w:val="00546AB9"/>
    <w:rsid w:val="00547607"/>
    <w:rsid w:val="00550132"/>
    <w:rsid w:val="00551A2D"/>
    <w:rsid w:val="00551D1E"/>
    <w:rsid w:val="00555548"/>
    <w:rsid w:val="00560F32"/>
    <w:rsid w:val="00561708"/>
    <w:rsid w:val="00562309"/>
    <w:rsid w:val="005650A9"/>
    <w:rsid w:val="00566822"/>
    <w:rsid w:val="005669CC"/>
    <w:rsid w:val="00567003"/>
    <w:rsid w:val="0056734E"/>
    <w:rsid w:val="00567603"/>
    <w:rsid w:val="00567968"/>
    <w:rsid w:val="00570AA0"/>
    <w:rsid w:val="00572DC6"/>
    <w:rsid w:val="00573440"/>
    <w:rsid w:val="00573C97"/>
    <w:rsid w:val="005748BC"/>
    <w:rsid w:val="0057602B"/>
    <w:rsid w:val="0057654F"/>
    <w:rsid w:val="0057749B"/>
    <w:rsid w:val="00577D99"/>
    <w:rsid w:val="00582C4A"/>
    <w:rsid w:val="00587029"/>
    <w:rsid w:val="00594424"/>
    <w:rsid w:val="00596FFC"/>
    <w:rsid w:val="005A01D8"/>
    <w:rsid w:val="005A0954"/>
    <w:rsid w:val="005A18D6"/>
    <w:rsid w:val="005A5567"/>
    <w:rsid w:val="005A60B8"/>
    <w:rsid w:val="005A7BA5"/>
    <w:rsid w:val="005B0DD1"/>
    <w:rsid w:val="005B10F3"/>
    <w:rsid w:val="005B1166"/>
    <w:rsid w:val="005B135C"/>
    <w:rsid w:val="005B3496"/>
    <w:rsid w:val="005B38B7"/>
    <w:rsid w:val="005B394E"/>
    <w:rsid w:val="005B3E82"/>
    <w:rsid w:val="005B5395"/>
    <w:rsid w:val="005B6767"/>
    <w:rsid w:val="005B745B"/>
    <w:rsid w:val="005C0AD8"/>
    <w:rsid w:val="005C0CEA"/>
    <w:rsid w:val="005C7AE3"/>
    <w:rsid w:val="005D0553"/>
    <w:rsid w:val="005D0DF5"/>
    <w:rsid w:val="005D2153"/>
    <w:rsid w:val="005D3377"/>
    <w:rsid w:val="005D6A45"/>
    <w:rsid w:val="005D7247"/>
    <w:rsid w:val="005D7712"/>
    <w:rsid w:val="005E0651"/>
    <w:rsid w:val="005E232F"/>
    <w:rsid w:val="005E3F78"/>
    <w:rsid w:val="005E50F7"/>
    <w:rsid w:val="005F24D9"/>
    <w:rsid w:val="005F26ED"/>
    <w:rsid w:val="005F2BEE"/>
    <w:rsid w:val="005F3A34"/>
    <w:rsid w:val="005F5E92"/>
    <w:rsid w:val="005F6433"/>
    <w:rsid w:val="0060107B"/>
    <w:rsid w:val="00603102"/>
    <w:rsid w:val="006034F4"/>
    <w:rsid w:val="0060476A"/>
    <w:rsid w:val="006070BB"/>
    <w:rsid w:val="00611145"/>
    <w:rsid w:val="006113A7"/>
    <w:rsid w:val="0061152E"/>
    <w:rsid w:val="00611ED2"/>
    <w:rsid w:val="00612167"/>
    <w:rsid w:val="006129D9"/>
    <w:rsid w:val="00612CC2"/>
    <w:rsid w:val="00612CDA"/>
    <w:rsid w:val="006132EE"/>
    <w:rsid w:val="0061349C"/>
    <w:rsid w:val="00613788"/>
    <w:rsid w:val="00613CE1"/>
    <w:rsid w:val="00616C9D"/>
    <w:rsid w:val="00617DFE"/>
    <w:rsid w:val="00621885"/>
    <w:rsid w:val="00622853"/>
    <w:rsid w:val="00622C34"/>
    <w:rsid w:val="0062399F"/>
    <w:rsid w:val="00625E54"/>
    <w:rsid w:val="00630925"/>
    <w:rsid w:val="0063127E"/>
    <w:rsid w:val="00632551"/>
    <w:rsid w:val="00633E21"/>
    <w:rsid w:val="00635937"/>
    <w:rsid w:val="006367C9"/>
    <w:rsid w:val="00636B5A"/>
    <w:rsid w:val="0063796F"/>
    <w:rsid w:val="0064095B"/>
    <w:rsid w:val="006412D0"/>
    <w:rsid w:val="00642A57"/>
    <w:rsid w:val="00643248"/>
    <w:rsid w:val="00643715"/>
    <w:rsid w:val="00647EEC"/>
    <w:rsid w:val="006519E9"/>
    <w:rsid w:val="0065392B"/>
    <w:rsid w:val="00655466"/>
    <w:rsid w:val="00655AB9"/>
    <w:rsid w:val="0066040D"/>
    <w:rsid w:val="00663084"/>
    <w:rsid w:val="006637C8"/>
    <w:rsid w:val="00666B2C"/>
    <w:rsid w:val="00667476"/>
    <w:rsid w:val="00670778"/>
    <w:rsid w:val="00670FF2"/>
    <w:rsid w:val="006733F2"/>
    <w:rsid w:val="00675435"/>
    <w:rsid w:val="00677ADD"/>
    <w:rsid w:val="0068046E"/>
    <w:rsid w:val="00681700"/>
    <w:rsid w:val="00682474"/>
    <w:rsid w:val="0068296F"/>
    <w:rsid w:val="006919A9"/>
    <w:rsid w:val="006919D4"/>
    <w:rsid w:val="00693132"/>
    <w:rsid w:val="006936FB"/>
    <w:rsid w:val="006950B2"/>
    <w:rsid w:val="00696485"/>
    <w:rsid w:val="00696DEC"/>
    <w:rsid w:val="0069711C"/>
    <w:rsid w:val="0069783C"/>
    <w:rsid w:val="006A02A3"/>
    <w:rsid w:val="006A3E5B"/>
    <w:rsid w:val="006A59CA"/>
    <w:rsid w:val="006A6A0B"/>
    <w:rsid w:val="006A7764"/>
    <w:rsid w:val="006B1D1D"/>
    <w:rsid w:val="006B3331"/>
    <w:rsid w:val="006B3793"/>
    <w:rsid w:val="006B3B3F"/>
    <w:rsid w:val="006B3B82"/>
    <w:rsid w:val="006B463B"/>
    <w:rsid w:val="006B5185"/>
    <w:rsid w:val="006B51CC"/>
    <w:rsid w:val="006B77B2"/>
    <w:rsid w:val="006C00E9"/>
    <w:rsid w:val="006C3C1C"/>
    <w:rsid w:val="006C489E"/>
    <w:rsid w:val="006C61D8"/>
    <w:rsid w:val="006C68CD"/>
    <w:rsid w:val="006C70DC"/>
    <w:rsid w:val="006C7D15"/>
    <w:rsid w:val="006D0500"/>
    <w:rsid w:val="006D345D"/>
    <w:rsid w:val="006D3A21"/>
    <w:rsid w:val="006D3D44"/>
    <w:rsid w:val="006D4560"/>
    <w:rsid w:val="006D52BA"/>
    <w:rsid w:val="006D67BE"/>
    <w:rsid w:val="006D7FF3"/>
    <w:rsid w:val="006E246B"/>
    <w:rsid w:val="006E289D"/>
    <w:rsid w:val="006E3881"/>
    <w:rsid w:val="006E76DA"/>
    <w:rsid w:val="006F07DB"/>
    <w:rsid w:val="006F19D1"/>
    <w:rsid w:val="006F1D08"/>
    <w:rsid w:val="006F2273"/>
    <w:rsid w:val="006F3A83"/>
    <w:rsid w:val="006F65B9"/>
    <w:rsid w:val="006F75D3"/>
    <w:rsid w:val="007022B5"/>
    <w:rsid w:val="0070248A"/>
    <w:rsid w:val="007048DE"/>
    <w:rsid w:val="00705709"/>
    <w:rsid w:val="0070596F"/>
    <w:rsid w:val="00706307"/>
    <w:rsid w:val="0070634C"/>
    <w:rsid w:val="007072DA"/>
    <w:rsid w:val="007078BF"/>
    <w:rsid w:val="0071204C"/>
    <w:rsid w:val="00712844"/>
    <w:rsid w:val="00712A21"/>
    <w:rsid w:val="007136B1"/>
    <w:rsid w:val="007136C2"/>
    <w:rsid w:val="007156A9"/>
    <w:rsid w:val="007159CC"/>
    <w:rsid w:val="00720E7D"/>
    <w:rsid w:val="0072353D"/>
    <w:rsid w:val="007261B5"/>
    <w:rsid w:val="007270F4"/>
    <w:rsid w:val="0072720E"/>
    <w:rsid w:val="00731201"/>
    <w:rsid w:val="007312FA"/>
    <w:rsid w:val="007324F1"/>
    <w:rsid w:val="00732BD5"/>
    <w:rsid w:val="007350C3"/>
    <w:rsid w:val="007432B1"/>
    <w:rsid w:val="00746039"/>
    <w:rsid w:val="0074708F"/>
    <w:rsid w:val="007473CE"/>
    <w:rsid w:val="00747F51"/>
    <w:rsid w:val="0075556E"/>
    <w:rsid w:val="0075648A"/>
    <w:rsid w:val="007569E1"/>
    <w:rsid w:val="0075753B"/>
    <w:rsid w:val="00760F02"/>
    <w:rsid w:val="00764652"/>
    <w:rsid w:val="0076560A"/>
    <w:rsid w:val="007658E1"/>
    <w:rsid w:val="007703C1"/>
    <w:rsid w:val="0077128B"/>
    <w:rsid w:val="00771B9A"/>
    <w:rsid w:val="00772B50"/>
    <w:rsid w:val="007746C8"/>
    <w:rsid w:val="00776153"/>
    <w:rsid w:val="007778BA"/>
    <w:rsid w:val="00777ED0"/>
    <w:rsid w:val="0078010D"/>
    <w:rsid w:val="00781AC2"/>
    <w:rsid w:val="00781D3A"/>
    <w:rsid w:val="00781D6D"/>
    <w:rsid w:val="00782CC4"/>
    <w:rsid w:val="00783099"/>
    <w:rsid w:val="0078350A"/>
    <w:rsid w:val="00784108"/>
    <w:rsid w:val="00784CDB"/>
    <w:rsid w:val="00784D3E"/>
    <w:rsid w:val="0078685D"/>
    <w:rsid w:val="00786BE5"/>
    <w:rsid w:val="00786F44"/>
    <w:rsid w:val="007912DD"/>
    <w:rsid w:val="00791C61"/>
    <w:rsid w:val="00791D27"/>
    <w:rsid w:val="007939CD"/>
    <w:rsid w:val="007940F2"/>
    <w:rsid w:val="00794BF9"/>
    <w:rsid w:val="00794F91"/>
    <w:rsid w:val="00797D09"/>
    <w:rsid w:val="007A04F7"/>
    <w:rsid w:val="007A0BCF"/>
    <w:rsid w:val="007A1AB0"/>
    <w:rsid w:val="007A26AA"/>
    <w:rsid w:val="007A2F0D"/>
    <w:rsid w:val="007A4A4B"/>
    <w:rsid w:val="007A584A"/>
    <w:rsid w:val="007A731E"/>
    <w:rsid w:val="007A74C2"/>
    <w:rsid w:val="007A78B5"/>
    <w:rsid w:val="007B0DB7"/>
    <w:rsid w:val="007B1009"/>
    <w:rsid w:val="007B1CFA"/>
    <w:rsid w:val="007B56FD"/>
    <w:rsid w:val="007C18C3"/>
    <w:rsid w:val="007C1A45"/>
    <w:rsid w:val="007C1B0F"/>
    <w:rsid w:val="007C284C"/>
    <w:rsid w:val="007C32ED"/>
    <w:rsid w:val="007C43C4"/>
    <w:rsid w:val="007C565A"/>
    <w:rsid w:val="007C5FE5"/>
    <w:rsid w:val="007D0628"/>
    <w:rsid w:val="007D10DF"/>
    <w:rsid w:val="007D1C6A"/>
    <w:rsid w:val="007D26C8"/>
    <w:rsid w:val="007D27DA"/>
    <w:rsid w:val="007D3659"/>
    <w:rsid w:val="007D4AE2"/>
    <w:rsid w:val="007D58F9"/>
    <w:rsid w:val="007D6232"/>
    <w:rsid w:val="007D7EFF"/>
    <w:rsid w:val="007E230D"/>
    <w:rsid w:val="007E4F2B"/>
    <w:rsid w:val="007E5142"/>
    <w:rsid w:val="007F62CA"/>
    <w:rsid w:val="007F7954"/>
    <w:rsid w:val="00801605"/>
    <w:rsid w:val="00802C01"/>
    <w:rsid w:val="00802F61"/>
    <w:rsid w:val="0081002C"/>
    <w:rsid w:val="00810422"/>
    <w:rsid w:val="00811F9C"/>
    <w:rsid w:val="00815054"/>
    <w:rsid w:val="00817051"/>
    <w:rsid w:val="00820678"/>
    <w:rsid w:val="00821816"/>
    <w:rsid w:val="008220F0"/>
    <w:rsid w:val="0082482C"/>
    <w:rsid w:val="00824E16"/>
    <w:rsid w:val="00825F6F"/>
    <w:rsid w:val="00827441"/>
    <w:rsid w:val="0083021D"/>
    <w:rsid w:val="008336F2"/>
    <w:rsid w:val="00833CFF"/>
    <w:rsid w:val="00833FFC"/>
    <w:rsid w:val="0083439F"/>
    <w:rsid w:val="00836E04"/>
    <w:rsid w:val="00837D20"/>
    <w:rsid w:val="00840084"/>
    <w:rsid w:val="00842044"/>
    <w:rsid w:val="0084242A"/>
    <w:rsid w:val="00845945"/>
    <w:rsid w:val="00845F88"/>
    <w:rsid w:val="00847527"/>
    <w:rsid w:val="00847AEF"/>
    <w:rsid w:val="008502B1"/>
    <w:rsid w:val="00850B78"/>
    <w:rsid w:val="00851D0B"/>
    <w:rsid w:val="00854080"/>
    <w:rsid w:val="00855050"/>
    <w:rsid w:val="008553C3"/>
    <w:rsid w:val="00856B5D"/>
    <w:rsid w:val="00857F09"/>
    <w:rsid w:val="008604F2"/>
    <w:rsid w:val="0086196A"/>
    <w:rsid w:val="008622BF"/>
    <w:rsid w:val="00863E4A"/>
    <w:rsid w:val="00864011"/>
    <w:rsid w:val="00865822"/>
    <w:rsid w:val="00865D9B"/>
    <w:rsid w:val="00866D6C"/>
    <w:rsid w:val="00867693"/>
    <w:rsid w:val="00871B5C"/>
    <w:rsid w:val="00873EC6"/>
    <w:rsid w:val="00874726"/>
    <w:rsid w:val="00875DBE"/>
    <w:rsid w:val="008767D2"/>
    <w:rsid w:val="00881D03"/>
    <w:rsid w:val="00881D4F"/>
    <w:rsid w:val="00882CC0"/>
    <w:rsid w:val="0088390B"/>
    <w:rsid w:val="008842C7"/>
    <w:rsid w:val="00885370"/>
    <w:rsid w:val="008854A2"/>
    <w:rsid w:val="008876B4"/>
    <w:rsid w:val="00891958"/>
    <w:rsid w:val="00891E46"/>
    <w:rsid w:val="008955CC"/>
    <w:rsid w:val="00897376"/>
    <w:rsid w:val="008A16DC"/>
    <w:rsid w:val="008A1F75"/>
    <w:rsid w:val="008A21BF"/>
    <w:rsid w:val="008A3CA7"/>
    <w:rsid w:val="008A50EB"/>
    <w:rsid w:val="008A5CEA"/>
    <w:rsid w:val="008A73CA"/>
    <w:rsid w:val="008A75E3"/>
    <w:rsid w:val="008B2F44"/>
    <w:rsid w:val="008B3AB1"/>
    <w:rsid w:val="008B4C1E"/>
    <w:rsid w:val="008B7E8D"/>
    <w:rsid w:val="008C0D73"/>
    <w:rsid w:val="008C171A"/>
    <w:rsid w:val="008C23CA"/>
    <w:rsid w:val="008C2E5A"/>
    <w:rsid w:val="008C3DA2"/>
    <w:rsid w:val="008C5478"/>
    <w:rsid w:val="008C6424"/>
    <w:rsid w:val="008C698C"/>
    <w:rsid w:val="008C7721"/>
    <w:rsid w:val="008C772A"/>
    <w:rsid w:val="008C7A46"/>
    <w:rsid w:val="008D044E"/>
    <w:rsid w:val="008D149F"/>
    <w:rsid w:val="008D1994"/>
    <w:rsid w:val="008D2E96"/>
    <w:rsid w:val="008D3828"/>
    <w:rsid w:val="008D6381"/>
    <w:rsid w:val="008E1371"/>
    <w:rsid w:val="008E3D97"/>
    <w:rsid w:val="008E4AFA"/>
    <w:rsid w:val="008E4F94"/>
    <w:rsid w:val="008E5524"/>
    <w:rsid w:val="008E5F31"/>
    <w:rsid w:val="008E7AAC"/>
    <w:rsid w:val="008F0195"/>
    <w:rsid w:val="008F1629"/>
    <w:rsid w:val="008F3E95"/>
    <w:rsid w:val="008F45F3"/>
    <w:rsid w:val="008F50F2"/>
    <w:rsid w:val="008F5D34"/>
    <w:rsid w:val="008F7BBA"/>
    <w:rsid w:val="00900BB7"/>
    <w:rsid w:val="00901228"/>
    <w:rsid w:val="00901C73"/>
    <w:rsid w:val="00902067"/>
    <w:rsid w:val="00902D43"/>
    <w:rsid w:val="009043D9"/>
    <w:rsid w:val="00906CD2"/>
    <w:rsid w:val="00907474"/>
    <w:rsid w:val="009101B4"/>
    <w:rsid w:val="00910B39"/>
    <w:rsid w:val="009112E4"/>
    <w:rsid w:val="00914C57"/>
    <w:rsid w:val="00915A27"/>
    <w:rsid w:val="00915A5F"/>
    <w:rsid w:val="00916DB6"/>
    <w:rsid w:val="00920D68"/>
    <w:rsid w:val="00924320"/>
    <w:rsid w:val="00924C16"/>
    <w:rsid w:val="0092670C"/>
    <w:rsid w:val="0092689B"/>
    <w:rsid w:val="00926AD9"/>
    <w:rsid w:val="00926E89"/>
    <w:rsid w:val="00927C12"/>
    <w:rsid w:val="00930BCC"/>
    <w:rsid w:val="00932160"/>
    <w:rsid w:val="00935752"/>
    <w:rsid w:val="00936063"/>
    <w:rsid w:val="0094234F"/>
    <w:rsid w:val="00942F81"/>
    <w:rsid w:val="00943325"/>
    <w:rsid w:val="00946082"/>
    <w:rsid w:val="00947D96"/>
    <w:rsid w:val="00950819"/>
    <w:rsid w:val="00953954"/>
    <w:rsid w:val="00953A31"/>
    <w:rsid w:val="00954036"/>
    <w:rsid w:val="009541ED"/>
    <w:rsid w:val="009572B9"/>
    <w:rsid w:val="00966A4E"/>
    <w:rsid w:val="00967498"/>
    <w:rsid w:val="00970099"/>
    <w:rsid w:val="009700EC"/>
    <w:rsid w:val="009703CF"/>
    <w:rsid w:val="00970FB7"/>
    <w:rsid w:val="009722F8"/>
    <w:rsid w:val="00972980"/>
    <w:rsid w:val="009757C5"/>
    <w:rsid w:val="0097640D"/>
    <w:rsid w:val="0097714D"/>
    <w:rsid w:val="00980089"/>
    <w:rsid w:val="00980B7F"/>
    <w:rsid w:val="0098172D"/>
    <w:rsid w:val="00981958"/>
    <w:rsid w:val="009819E5"/>
    <w:rsid w:val="00982A56"/>
    <w:rsid w:val="00983692"/>
    <w:rsid w:val="00985224"/>
    <w:rsid w:val="009852BD"/>
    <w:rsid w:val="0098542B"/>
    <w:rsid w:val="00985B32"/>
    <w:rsid w:val="00990983"/>
    <w:rsid w:val="009912E6"/>
    <w:rsid w:val="00991A55"/>
    <w:rsid w:val="00993A9B"/>
    <w:rsid w:val="00994D67"/>
    <w:rsid w:val="009A0051"/>
    <w:rsid w:val="009A0096"/>
    <w:rsid w:val="009A3BED"/>
    <w:rsid w:val="009A410D"/>
    <w:rsid w:val="009A69A0"/>
    <w:rsid w:val="009A79D9"/>
    <w:rsid w:val="009B2101"/>
    <w:rsid w:val="009B2753"/>
    <w:rsid w:val="009B2F35"/>
    <w:rsid w:val="009B414D"/>
    <w:rsid w:val="009B43B8"/>
    <w:rsid w:val="009B4729"/>
    <w:rsid w:val="009C0FF9"/>
    <w:rsid w:val="009C283E"/>
    <w:rsid w:val="009C4259"/>
    <w:rsid w:val="009C4A4B"/>
    <w:rsid w:val="009D0856"/>
    <w:rsid w:val="009D2F6C"/>
    <w:rsid w:val="009D3EE3"/>
    <w:rsid w:val="009D42B4"/>
    <w:rsid w:val="009D6745"/>
    <w:rsid w:val="009D6AAB"/>
    <w:rsid w:val="009E0347"/>
    <w:rsid w:val="009E1BDA"/>
    <w:rsid w:val="009E2D6E"/>
    <w:rsid w:val="009E3CE3"/>
    <w:rsid w:val="009E58F1"/>
    <w:rsid w:val="009E7AAA"/>
    <w:rsid w:val="009F1855"/>
    <w:rsid w:val="009F306F"/>
    <w:rsid w:val="009F3370"/>
    <w:rsid w:val="009F354C"/>
    <w:rsid w:val="009F370A"/>
    <w:rsid w:val="009F4306"/>
    <w:rsid w:val="009F7B95"/>
    <w:rsid w:val="009F7FFC"/>
    <w:rsid w:val="00A02FA3"/>
    <w:rsid w:val="00A05139"/>
    <w:rsid w:val="00A078C9"/>
    <w:rsid w:val="00A10A69"/>
    <w:rsid w:val="00A112C1"/>
    <w:rsid w:val="00A123A6"/>
    <w:rsid w:val="00A12E96"/>
    <w:rsid w:val="00A14071"/>
    <w:rsid w:val="00A159A3"/>
    <w:rsid w:val="00A20248"/>
    <w:rsid w:val="00A20ACF"/>
    <w:rsid w:val="00A217AC"/>
    <w:rsid w:val="00A21D53"/>
    <w:rsid w:val="00A224E1"/>
    <w:rsid w:val="00A24E3C"/>
    <w:rsid w:val="00A256A7"/>
    <w:rsid w:val="00A25E8B"/>
    <w:rsid w:val="00A272B1"/>
    <w:rsid w:val="00A2796B"/>
    <w:rsid w:val="00A30170"/>
    <w:rsid w:val="00A309F4"/>
    <w:rsid w:val="00A30F89"/>
    <w:rsid w:val="00A32639"/>
    <w:rsid w:val="00A33FD3"/>
    <w:rsid w:val="00A34CD8"/>
    <w:rsid w:val="00A35127"/>
    <w:rsid w:val="00A36115"/>
    <w:rsid w:val="00A3674E"/>
    <w:rsid w:val="00A4020E"/>
    <w:rsid w:val="00A42286"/>
    <w:rsid w:val="00A425F5"/>
    <w:rsid w:val="00A4268C"/>
    <w:rsid w:val="00A4745D"/>
    <w:rsid w:val="00A474EC"/>
    <w:rsid w:val="00A47670"/>
    <w:rsid w:val="00A47816"/>
    <w:rsid w:val="00A47E94"/>
    <w:rsid w:val="00A52602"/>
    <w:rsid w:val="00A559D0"/>
    <w:rsid w:val="00A5601D"/>
    <w:rsid w:val="00A60DD2"/>
    <w:rsid w:val="00A6258A"/>
    <w:rsid w:val="00A628CA"/>
    <w:rsid w:val="00A7106C"/>
    <w:rsid w:val="00A71147"/>
    <w:rsid w:val="00A7312F"/>
    <w:rsid w:val="00A733DD"/>
    <w:rsid w:val="00A736A4"/>
    <w:rsid w:val="00A73CB8"/>
    <w:rsid w:val="00A7448B"/>
    <w:rsid w:val="00A75036"/>
    <w:rsid w:val="00A76AA8"/>
    <w:rsid w:val="00A76FFD"/>
    <w:rsid w:val="00A810DD"/>
    <w:rsid w:val="00A81818"/>
    <w:rsid w:val="00A85B7A"/>
    <w:rsid w:val="00A87E3F"/>
    <w:rsid w:val="00A906E3"/>
    <w:rsid w:val="00A90ADF"/>
    <w:rsid w:val="00A912F4"/>
    <w:rsid w:val="00A92D63"/>
    <w:rsid w:val="00A93615"/>
    <w:rsid w:val="00A93B24"/>
    <w:rsid w:val="00A945AF"/>
    <w:rsid w:val="00A94A76"/>
    <w:rsid w:val="00A94E95"/>
    <w:rsid w:val="00A972FB"/>
    <w:rsid w:val="00AA288B"/>
    <w:rsid w:val="00AA34C0"/>
    <w:rsid w:val="00AA490E"/>
    <w:rsid w:val="00AA4C7E"/>
    <w:rsid w:val="00AA5030"/>
    <w:rsid w:val="00AA7929"/>
    <w:rsid w:val="00AB081C"/>
    <w:rsid w:val="00AB1B3F"/>
    <w:rsid w:val="00AB1CFE"/>
    <w:rsid w:val="00AB1FD3"/>
    <w:rsid w:val="00AB23C3"/>
    <w:rsid w:val="00AB4B23"/>
    <w:rsid w:val="00AB508A"/>
    <w:rsid w:val="00AB5CCA"/>
    <w:rsid w:val="00AB5D32"/>
    <w:rsid w:val="00AC222E"/>
    <w:rsid w:val="00AC448B"/>
    <w:rsid w:val="00AC70B9"/>
    <w:rsid w:val="00AD058F"/>
    <w:rsid w:val="00AD0E7E"/>
    <w:rsid w:val="00AD1137"/>
    <w:rsid w:val="00AD2A10"/>
    <w:rsid w:val="00AD2F5B"/>
    <w:rsid w:val="00AD36B1"/>
    <w:rsid w:val="00AD45CE"/>
    <w:rsid w:val="00AD58B0"/>
    <w:rsid w:val="00AD7CF8"/>
    <w:rsid w:val="00AE020F"/>
    <w:rsid w:val="00AE0A5C"/>
    <w:rsid w:val="00AE0B2D"/>
    <w:rsid w:val="00AE14BE"/>
    <w:rsid w:val="00AE1E38"/>
    <w:rsid w:val="00AE274E"/>
    <w:rsid w:val="00AE5343"/>
    <w:rsid w:val="00AF0965"/>
    <w:rsid w:val="00AF202D"/>
    <w:rsid w:val="00AF6391"/>
    <w:rsid w:val="00AF7390"/>
    <w:rsid w:val="00AF7924"/>
    <w:rsid w:val="00B016C1"/>
    <w:rsid w:val="00B022E9"/>
    <w:rsid w:val="00B07CA9"/>
    <w:rsid w:val="00B105A6"/>
    <w:rsid w:val="00B10D21"/>
    <w:rsid w:val="00B11265"/>
    <w:rsid w:val="00B14270"/>
    <w:rsid w:val="00B142E6"/>
    <w:rsid w:val="00B14FB5"/>
    <w:rsid w:val="00B150BB"/>
    <w:rsid w:val="00B15CFE"/>
    <w:rsid w:val="00B20EAF"/>
    <w:rsid w:val="00B21726"/>
    <w:rsid w:val="00B21D54"/>
    <w:rsid w:val="00B22A5A"/>
    <w:rsid w:val="00B22DC2"/>
    <w:rsid w:val="00B2667F"/>
    <w:rsid w:val="00B27E05"/>
    <w:rsid w:val="00B305F6"/>
    <w:rsid w:val="00B30AF0"/>
    <w:rsid w:val="00B31ADC"/>
    <w:rsid w:val="00B3249D"/>
    <w:rsid w:val="00B33477"/>
    <w:rsid w:val="00B33545"/>
    <w:rsid w:val="00B341BA"/>
    <w:rsid w:val="00B369BE"/>
    <w:rsid w:val="00B413CB"/>
    <w:rsid w:val="00B416E7"/>
    <w:rsid w:val="00B4321E"/>
    <w:rsid w:val="00B43441"/>
    <w:rsid w:val="00B45481"/>
    <w:rsid w:val="00B46ADA"/>
    <w:rsid w:val="00B51302"/>
    <w:rsid w:val="00B52735"/>
    <w:rsid w:val="00B52F63"/>
    <w:rsid w:val="00B56254"/>
    <w:rsid w:val="00B56988"/>
    <w:rsid w:val="00B61BB9"/>
    <w:rsid w:val="00B63D29"/>
    <w:rsid w:val="00B64E6E"/>
    <w:rsid w:val="00B73291"/>
    <w:rsid w:val="00B7502B"/>
    <w:rsid w:val="00B77A79"/>
    <w:rsid w:val="00B77F1E"/>
    <w:rsid w:val="00B80D40"/>
    <w:rsid w:val="00B80EEC"/>
    <w:rsid w:val="00B81626"/>
    <w:rsid w:val="00B8205C"/>
    <w:rsid w:val="00B82ADD"/>
    <w:rsid w:val="00B9039F"/>
    <w:rsid w:val="00B92084"/>
    <w:rsid w:val="00B9356D"/>
    <w:rsid w:val="00B94ED7"/>
    <w:rsid w:val="00B95303"/>
    <w:rsid w:val="00B95AE2"/>
    <w:rsid w:val="00BA1CC9"/>
    <w:rsid w:val="00BA231E"/>
    <w:rsid w:val="00BA2721"/>
    <w:rsid w:val="00BA7B99"/>
    <w:rsid w:val="00BB2153"/>
    <w:rsid w:val="00BB5101"/>
    <w:rsid w:val="00BB56D1"/>
    <w:rsid w:val="00BB6CA1"/>
    <w:rsid w:val="00BC4548"/>
    <w:rsid w:val="00BC49A9"/>
    <w:rsid w:val="00BC4E82"/>
    <w:rsid w:val="00BC5A50"/>
    <w:rsid w:val="00BC5B13"/>
    <w:rsid w:val="00BC6D28"/>
    <w:rsid w:val="00BC739D"/>
    <w:rsid w:val="00BD19B6"/>
    <w:rsid w:val="00BD2573"/>
    <w:rsid w:val="00BD25A3"/>
    <w:rsid w:val="00BD49AE"/>
    <w:rsid w:val="00BD7358"/>
    <w:rsid w:val="00BD7991"/>
    <w:rsid w:val="00BD79AA"/>
    <w:rsid w:val="00BD7D69"/>
    <w:rsid w:val="00BE005A"/>
    <w:rsid w:val="00BE1D32"/>
    <w:rsid w:val="00BE1D88"/>
    <w:rsid w:val="00BE22D2"/>
    <w:rsid w:val="00BE2DC1"/>
    <w:rsid w:val="00BE6052"/>
    <w:rsid w:val="00BE7308"/>
    <w:rsid w:val="00BF0C3A"/>
    <w:rsid w:val="00BF1B31"/>
    <w:rsid w:val="00BF31CD"/>
    <w:rsid w:val="00BF4AA4"/>
    <w:rsid w:val="00BF6990"/>
    <w:rsid w:val="00BF6A83"/>
    <w:rsid w:val="00C01759"/>
    <w:rsid w:val="00C02DE7"/>
    <w:rsid w:val="00C0473D"/>
    <w:rsid w:val="00C05911"/>
    <w:rsid w:val="00C0599C"/>
    <w:rsid w:val="00C05D32"/>
    <w:rsid w:val="00C07573"/>
    <w:rsid w:val="00C07578"/>
    <w:rsid w:val="00C101EE"/>
    <w:rsid w:val="00C10305"/>
    <w:rsid w:val="00C10CE9"/>
    <w:rsid w:val="00C1356D"/>
    <w:rsid w:val="00C162F3"/>
    <w:rsid w:val="00C165BF"/>
    <w:rsid w:val="00C17407"/>
    <w:rsid w:val="00C2115F"/>
    <w:rsid w:val="00C211E0"/>
    <w:rsid w:val="00C217F4"/>
    <w:rsid w:val="00C23527"/>
    <w:rsid w:val="00C23D21"/>
    <w:rsid w:val="00C24761"/>
    <w:rsid w:val="00C25064"/>
    <w:rsid w:val="00C25A56"/>
    <w:rsid w:val="00C25BE7"/>
    <w:rsid w:val="00C276A7"/>
    <w:rsid w:val="00C27FB4"/>
    <w:rsid w:val="00C30D34"/>
    <w:rsid w:val="00C32B7C"/>
    <w:rsid w:val="00C338E4"/>
    <w:rsid w:val="00C3396B"/>
    <w:rsid w:val="00C35C89"/>
    <w:rsid w:val="00C36763"/>
    <w:rsid w:val="00C4018F"/>
    <w:rsid w:val="00C42141"/>
    <w:rsid w:val="00C42BB5"/>
    <w:rsid w:val="00C43044"/>
    <w:rsid w:val="00C46884"/>
    <w:rsid w:val="00C47D54"/>
    <w:rsid w:val="00C47EBF"/>
    <w:rsid w:val="00C51227"/>
    <w:rsid w:val="00C52CC4"/>
    <w:rsid w:val="00C52ECB"/>
    <w:rsid w:val="00C52FC2"/>
    <w:rsid w:val="00C53F83"/>
    <w:rsid w:val="00C5446F"/>
    <w:rsid w:val="00C54D2C"/>
    <w:rsid w:val="00C574D6"/>
    <w:rsid w:val="00C576CB"/>
    <w:rsid w:val="00C6048D"/>
    <w:rsid w:val="00C6075A"/>
    <w:rsid w:val="00C62124"/>
    <w:rsid w:val="00C63180"/>
    <w:rsid w:val="00C6650C"/>
    <w:rsid w:val="00C673DD"/>
    <w:rsid w:val="00C70F7A"/>
    <w:rsid w:val="00C71D36"/>
    <w:rsid w:val="00C732FA"/>
    <w:rsid w:val="00C7555E"/>
    <w:rsid w:val="00C76077"/>
    <w:rsid w:val="00C777F3"/>
    <w:rsid w:val="00C80C41"/>
    <w:rsid w:val="00C8114D"/>
    <w:rsid w:val="00C82CE5"/>
    <w:rsid w:val="00C82EED"/>
    <w:rsid w:val="00C838F2"/>
    <w:rsid w:val="00C87AC5"/>
    <w:rsid w:val="00C93254"/>
    <w:rsid w:val="00C93539"/>
    <w:rsid w:val="00C93FC0"/>
    <w:rsid w:val="00C941BD"/>
    <w:rsid w:val="00C942EB"/>
    <w:rsid w:val="00C95344"/>
    <w:rsid w:val="00C95CDF"/>
    <w:rsid w:val="00C9645A"/>
    <w:rsid w:val="00C97F2C"/>
    <w:rsid w:val="00CA069B"/>
    <w:rsid w:val="00CA4541"/>
    <w:rsid w:val="00CA5E10"/>
    <w:rsid w:val="00CA76E3"/>
    <w:rsid w:val="00CA7719"/>
    <w:rsid w:val="00CA7BB6"/>
    <w:rsid w:val="00CA7F62"/>
    <w:rsid w:val="00CB2487"/>
    <w:rsid w:val="00CB2FAF"/>
    <w:rsid w:val="00CB36CF"/>
    <w:rsid w:val="00CB3BBE"/>
    <w:rsid w:val="00CB439B"/>
    <w:rsid w:val="00CB5981"/>
    <w:rsid w:val="00CB611C"/>
    <w:rsid w:val="00CB6C9C"/>
    <w:rsid w:val="00CB6E4E"/>
    <w:rsid w:val="00CC1025"/>
    <w:rsid w:val="00CC1057"/>
    <w:rsid w:val="00CC3063"/>
    <w:rsid w:val="00CC3EE4"/>
    <w:rsid w:val="00CC40B8"/>
    <w:rsid w:val="00CC547E"/>
    <w:rsid w:val="00CD185D"/>
    <w:rsid w:val="00CD3AB4"/>
    <w:rsid w:val="00CD40EA"/>
    <w:rsid w:val="00CD641F"/>
    <w:rsid w:val="00CE0838"/>
    <w:rsid w:val="00CE4F6A"/>
    <w:rsid w:val="00CE63CB"/>
    <w:rsid w:val="00CF3D00"/>
    <w:rsid w:val="00CF71D3"/>
    <w:rsid w:val="00D0117D"/>
    <w:rsid w:val="00D01A28"/>
    <w:rsid w:val="00D0235B"/>
    <w:rsid w:val="00D03E05"/>
    <w:rsid w:val="00D05A04"/>
    <w:rsid w:val="00D0601B"/>
    <w:rsid w:val="00D07380"/>
    <w:rsid w:val="00D12AD3"/>
    <w:rsid w:val="00D12F8C"/>
    <w:rsid w:val="00D14B5A"/>
    <w:rsid w:val="00D1572D"/>
    <w:rsid w:val="00D173E5"/>
    <w:rsid w:val="00D177BC"/>
    <w:rsid w:val="00D17A14"/>
    <w:rsid w:val="00D23967"/>
    <w:rsid w:val="00D26434"/>
    <w:rsid w:val="00D26A8B"/>
    <w:rsid w:val="00D30146"/>
    <w:rsid w:val="00D30B3C"/>
    <w:rsid w:val="00D30DBF"/>
    <w:rsid w:val="00D31354"/>
    <w:rsid w:val="00D34276"/>
    <w:rsid w:val="00D36290"/>
    <w:rsid w:val="00D3690B"/>
    <w:rsid w:val="00D3733A"/>
    <w:rsid w:val="00D37D4E"/>
    <w:rsid w:val="00D416E9"/>
    <w:rsid w:val="00D41EDD"/>
    <w:rsid w:val="00D42C6C"/>
    <w:rsid w:val="00D44621"/>
    <w:rsid w:val="00D450B1"/>
    <w:rsid w:val="00D45199"/>
    <w:rsid w:val="00D45510"/>
    <w:rsid w:val="00D47A15"/>
    <w:rsid w:val="00D50B96"/>
    <w:rsid w:val="00D50E13"/>
    <w:rsid w:val="00D51458"/>
    <w:rsid w:val="00D52A84"/>
    <w:rsid w:val="00D53430"/>
    <w:rsid w:val="00D54497"/>
    <w:rsid w:val="00D552FC"/>
    <w:rsid w:val="00D577D0"/>
    <w:rsid w:val="00D57DAB"/>
    <w:rsid w:val="00D60514"/>
    <w:rsid w:val="00D60669"/>
    <w:rsid w:val="00D61271"/>
    <w:rsid w:val="00D6452F"/>
    <w:rsid w:val="00D65CB2"/>
    <w:rsid w:val="00D67334"/>
    <w:rsid w:val="00D75048"/>
    <w:rsid w:val="00D76073"/>
    <w:rsid w:val="00D7778B"/>
    <w:rsid w:val="00D81DCA"/>
    <w:rsid w:val="00D82442"/>
    <w:rsid w:val="00D8251E"/>
    <w:rsid w:val="00D84E8F"/>
    <w:rsid w:val="00D85D2D"/>
    <w:rsid w:val="00D86EDE"/>
    <w:rsid w:val="00D87EDB"/>
    <w:rsid w:val="00D9052B"/>
    <w:rsid w:val="00D93591"/>
    <w:rsid w:val="00D93951"/>
    <w:rsid w:val="00D9436E"/>
    <w:rsid w:val="00D9462C"/>
    <w:rsid w:val="00D94A17"/>
    <w:rsid w:val="00D95E8C"/>
    <w:rsid w:val="00D96C33"/>
    <w:rsid w:val="00D97B1E"/>
    <w:rsid w:val="00D97EB4"/>
    <w:rsid w:val="00DA177A"/>
    <w:rsid w:val="00DA1E4F"/>
    <w:rsid w:val="00DA2A51"/>
    <w:rsid w:val="00DA38A9"/>
    <w:rsid w:val="00DA3B6D"/>
    <w:rsid w:val="00DA6E18"/>
    <w:rsid w:val="00DB03F8"/>
    <w:rsid w:val="00DB346B"/>
    <w:rsid w:val="00DB5A7E"/>
    <w:rsid w:val="00DB5A85"/>
    <w:rsid w:val="00DB6222"/>
    <w:rsid w:val="00DC0C47"/>
    <w:rsid w:val="00DC0C6A"/>
    <w:rsid w:val="00DC0FD5"/>
    <w:rsid w:val="00DC229A"/>
    <w:rsid w:val="00DC2CAC"/>
    <w:rsid w:val="00DC4483"/>
    <w:rsid w:val="00DD3430"/>
    <w:rsid w:val="00DD52A5"/>
    <w:rsid w:val="00DD592F"/>
    <w:rsid w:val="00DD6F27"/>
    <w:rsid w:val="00DE2D46"/>
    <w:rsid w:val="00DE56AD"/>
    <w:rsid w:val="00DF06C6"/>
    <w:rsid w:val="00DF0F11"/>
    <w:rsid w:val="00DF13F6"/>
    <w:rsid w:val="00DF1CDA"/>
    <w:rsid w:val="00DF2F0D"/>
    <w:rsid w:val="00E07422"/>
    <w:rsid w:val="00E12FB8"/>
    <w:rsid w:val="00E131D9"/>
    <w:rsid w:val="00E14C0E"/>
    <w:rsid w:val="00E16436"/>
    <w:rsid w:val="00E268DC"/>
    <w:rsid w:val="00E27244"/>
    <w:rsid w:val="00E2744A"/>
    <w:rsid w:val="00E27D9B"/>
    <w:rsid w:val="00E32FFB"/>
    <w:rsid w:val="00E34872"/>
    <w:rsid w:val="00E35E4D"/>
    <w:rsid w:val="00E36EBD"/>
    <w:rsid w:val="00E40751"/>
    <w:rsid w:val="00E41BC3"/>
    <w:rsid w:val="00E42096"/>
    <w:rsid w:val="00E44143"/>
    <w:rsid w:val="00E45B24"/>
    <w:rsid w:val="00E45C10"/>
    <w:rsid w:val="00E467C8"/>
    <w:rsid w:val="00E46F10"/>
    <w:rsid w:val="00E53F00"/>
    <w:rsid w:val="00E55D3A"/>
    <w:rsid w:val="00E57456"/>
    <w:rsid w:val="00E6035D"/>
    <w:rsid w:val="00E62BF9"/>
    <w:rsid w:val="00E64E63"/>
    <w:rsid w:val="00E72472"/>
    <w:rsid w:val="00E74C61"/>
    <w:rsid w:val="00E752B5"/>
    <w:rsid w:val="00E76F31"/>
    <w:rsid w:val="00E7721B"/>
    <w:rsid w:val="00E82B66"/>
    <w:rsid w:val="00E8503E"/>
    <w:rsid w:val="00E862D1"/>
    <w:rsid w:val="00E902C2"/>
    <w:rsid w:val="00E90574"/>
    <w:rsid w:val="00E91417"/>
    <w:rsid w:val="00E91F4B"/>
    <w:rsid w:val="00E94374"/>
    <w:rsid w:val="00E97256"/>
    <w:rsid w:val="00E974B1"/>
    <w:rsid w:val="00EA145D"/>
    <w:rsid w:val="00EA30AC"/>
    <w:rsid w:val="00EA3C20"/>
    <w:rsid w:val="00EA4813"/>
    <w:rsid w:val="00EA489F"/>
    <w:rsid w:val="00EA4CCA"/>
    <w:rsid w:val="00EA54DB"/>
    <w:rsid w:val="00EA56AE"/>
    <w:rsid w:val="00EA7240"/>
    <w:rsid w:val="00EA7C90"/>
    <w:rsid w:val="00EB049E"/>
    <w:rsid w:val="00EB0F33"/>
    <w:rsid w:val="00EB2574"/>
    <w:rsid w:val="00EB30DD"/>
    <w:rsid w:val="00EB4074"/>
    <w:rsid w:val="00EB421E"/>
    <w:rsid w:val="00EB4843"/>
    <w:rsid w:val="00EB4EA9"/>
    <w:rsid w:val="00EB5AA1"/>
    <w:rsid w:val="00EB5E77"/>
    <w:rsid w:val="00EB754F"/>
    <w:rsid w:val="00EC0365"/>
    <w:rsid w:val="00EC067F"/>
    <w:rsid w:val="00EC14CC"/>
    <w:rsid w:val="00EC1D43"/>
    <w:rsid w:val="00ED09AE"/>
    <w:rsid w:val="00ED145D"/>
    <w:rsid w:val="00ED1ACB"/>
    <w:rsid w:val="00ED1FAC"/>
    <w:rsid w:val="00ED23CF"/>
    <w:rsid w:val="00ED3FFB"/>
    <w:rsid w:val="00EE07CA"/>
    <w:rsid w:val="00EE18EB"/>
    <w:rsid w:val="00EE58CA"/>
    <w:rsid w:val="00EE7599"/>
    <w:rsid w:val="00EE7873"/>
    <w:rsid w:val="00EF0456"/>
    <w:rsid w:val="00EF1B10"/>
    <w:rsid w:val="00EF1BC1"/>
    <w:rsid w:val="00EF3562"/>
    <w:rsid w:val="00EF3B96"/>
    <w:rsid w:val="00EF41AE"/>
    <w:rsid w:val="00EF5881"/>
    <w:rsid w:val="00EF6A40"/>
    <w:rsid w:val="00EF7F44"/>
    <w:rsid w:val="00F0068F"/>
    <w:rsid w:val="00F01DE9"/>
    <w:rsid w:val="00F04A7B"/>
    <w:rsid w:val="00F054B8"/>
    <w:rsid w:val="00F11EAD"/>
    <w:rsid w:val="00F12102"/>
    <w:rsid w:val="00F133A6"/>
    <w:rsid w:val="00F134AD"/>
    <w:rsid w:val="00F157DA"/>
    <w:rsid w:val="00F2059C"/>
    <w:rsid w:val="00F23AE2"/>
    <w:rsid w:val="00F24C04"/>
    <w:rsid w:val="00F25DF5"/>
    <w:rsid w:val="00F302C7"/>
    <w:rsid w:val="00F307D1"/>
    <w:rsid w:val="00F309C0"/>
    <w:rsid w:val="00F30A33"/>
    <w:rsid w:val="00F30CD6"/>
    <w:rsid w:val="00F34D2F"/>
    <w:rsid w:val="00F36D86"/>
    <w:rsid w:val="00F36E74"/>
    <w:rsid w:val="00F405F3"/>
    <w:rsid w:val="00F407C2"/>
    <w:rsid w:val="00F40AB1"/>
    <w:rsid w:val="00F42857"/>
    <w:rsid w:val="00F42FF9"/>
    <w:rsid w:val="00F4488C"/>
    <w:rsid w:val="00F45DFF"/>
    <w:rsid w:val="00F45EBF"/>
    <w:rsid w:val="00F47B6A"/>
    <w:rsid w:val="00F50222"/>
    <w:rsid w:val="00F50430"/>
    <w:rsid w:val="00F51E78"/>
    <w:rsid w:val="00F5387F"/>
    <w:rsid w:val="00F5441C"/>
    <w:rsid w:val="00F60F0A"/>
    <w:rsid w:val="00F65507"/>
    <w:rsid w:val="00F66A73"/>
    <w:rsid w:val="00F7034E"/>
    <w:rsid w:val="00F751A2"/>
    <w:rsid w:val="00F77BC9"/>
    <w:rsid w:val="00F81BAB"/>
    <w:rsid w:val="00F81F3E"/>
    <w:rsid w:val="00F82C19"/>
    <w:rsid w:val="00F845C6"/>
    <w:rsid w:val="00F86340"/>
    <w:rsid w:val="00F86E59"/>
    <w:rsid w:val="00F86ED0"/>
    <w:rsid w:val="00F87F5F"/>
    <w:rsid w:val="00F90262"/>
    <w:rsid w:val="00F925E0"/>
    <w:rsid w:val="00F93AC4"/>
    <w:rsid w:val="00F94A96"/>
    <w:rsid w:val="00F957F7"/>
    <w:rsid w:val="00F959E6"/>
    <w:rsid w:val="00F9642F"/>
    <w:rsid w:val="00F9687D"/>
    <w:rsid w:val="00F97BB1"/>
    <w:rsid w:val="00F97F5D"/>
    <w:rsid w:val="00FA2AFE"/>
    <w:rsid w:val="00FA3035"/>
    <w:rsid w:val="00FA34D3"/>
    <w:rsid w:val="00FA6D4F"/>
    <w:rsid w:val="00FA7184"/>
    <w:rsid w:val="00FB1221"/>
    <w:rsid w:val="00FB420F"/>
    <w:rsid w:val="00FB46AA"/>
    <w:rsid w:val="00FB531A"/>
    <w:rsid w:val="00FB7361"/>
    <w:rsid w:val="00FB7837"/>
    <w:rsid w:val="00FC100E"/>
    <w:rsid w:val="00FC30E4"/>
    <w:rsid w:val="00FC3114"/>
    <w:rsid w:val="00FC372E"/>
    <w:rsid w:val="00FC4663"/>
    <w:rsid w:val="00FC7772"/>
    <w:rsid w:val="00FC7D16"/>
    <w:rsid w:val="00FD052E"/>
    <w:rsid w:val="00FD0900"/>
    <w:rsid w:val="00FD1A42"/>
    <w:rsid w:val="00FD3F72"/>
    <w:rsid w:val="00FD4275"/>
    <w:rsid w:val="00FD4B1A"/>
    <w:rsid w:val="00FD7A41"/>
    <w:rsid w:val="00FE10D6"/>
    <w:rsid w:val="00FE11E1"/>
    <w:rsid w:val="00FE1497"/>
    <w:rsid w:val="00FE1EF6"/>
    <w:rsid w:val="00FE26BF"/>
    <w:rsid w:val="00FE38EB"/>
    <w:rsid w:val="00FF197A"/>
    <w:rsid w:val="00FF68EE"/>
    <w:rsid w:val="00FF6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994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8B5"/>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Clauseheadding"/>
    <w:next w:val="Normal"/>
    <w:qFormat/>
    <w:rsid w:val="00596FFC"/>
    <w:pPr>
      <w:outlineLvl w:val="1"/>
    </w:pPr>
  </w:style>
  <w:style w:type="paragraph" w:styleId="Heading3">
    <w:name w:val="heading 3"/>
    <w:basedOn w:val="Normal"/>
    <w:next w:val="Normal"/>
    <w:qFormat/>
    <w:rsid w:val="00C42BB5"/>
    <w:pPr>
      <w:keepNext/>
      <w:spacing w:before="240" w:after="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link w:val="SubclauseChar"/>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qFormat/>
    <w:rsid w:val="00B52735"/>
    <w:pPr>
      <w:numPr>
        <w:ilvl w:val="3"/>
        <w:numId w:val="1"/>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cheduleitem">
    <w:name w:val="Schedule item"/>
    <w:basedOn w:val="Normal"/>
    <w:link w:val="ScheduleitemChar"/>
    <w:rsid w:val="0069711C"/>
    <w:pPr>
      <w:keepNext/>
      <w:numPr>
        <w:numId w:val="2"/>
      </w:numPr>
      <w:spacing w:before="120" w:after="120"/>
    </w:p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rsid w:val="00622C34"/>
    <w:rPr>
      <w:vertAlign w:val="superscript"/>
    </w:rPr>
  </w:style>
  <w:style w:type="character" w:styleId="CommentReference">
    <w:name w:val="annotation reference"/>
    <w:uiPriority w:val="99"/>
    <w:rsid w:val="000B57CC"/>
    <w:rPr>
      <w:sz w:val="16"/>
      <w:szCs w:val="16"/>
    </w:rPr>
  </w:style>
  <w:style w:type="paragraph" w:styleId="CommentText">
    <w:name w:val="annotation text"/>
    <w:basedOn w:val="Normal"/>
    <w:link w:val="CommentTextChar"/>
    <w:uiPriority w:val="99"/>
    <w:rsid w:val="000B57CC"/>
    <w:rPr>
      <w:sz w:val="20"/>
      <w:szCs w:val="20"/>
    </w:rPr>
  </w:style>
  <w:style w:type="character" w:customStyle="1" w:styleId="CommentTextChar">
    <w:name w:val="Comment Text Char"/>
    <w:basedOn w:val="DefaultParagraphFont"/>
    <w:link w:val="CommentText"/>
    <w:uiPriority w:val="99"/>
    <w:rsid w:val="000B57CC"/>
  </w:style>
  <w:style w:type="paragraph" w:styleId="CommentSubject">
    <w:name w:val="annotation subject"/>
    <w:basedOn w:val="CommentText"/>
    <w:next w:val="CommentText"/>
    <w:link w:val="CommentSubjectChar"/>
    <w:rsid w:val="000B57CC"/>
    <w:rPr>
      <w:b/>
      <w:bCs/>
    </w:rPr>
  </w:style>
  <w:style w:type="character" w:customStyle="1" w:styleId="CommentSubjectChar">
    <w:name w:val="Comment Subject Char"/>
    <w:link w:val="CommentSubject"/>
    <w:rsid w:val="000B57CC"/>
    <w:rPr>
      <w:b/>
      <w:bCs/>
    </w:rPr>
  </w:style>
  <w:style w:type="character" w:styleId="Hyperlink">
    <w:name w:val="Hyperlink"/>
    <w:uiPriority w:val="99"/>
    <w:unhideWhenUsed/>
    <w:rsid w:val="00596FFC"/>
    <w:rPr>
      <w:color w:val="0000FF"/>
      <w:u w:val="single"/>
    </w:rPr>
  </w:style>
  <w:style w:type="paragraph" w:styleId="ListParagraph">
    <w:name w:val="List Paragraph"/>
    <w:basedOn w:val="Normal"/>
    <w:uiPriority w:val="34"/>
    <w:qFormat/>
    <w:rsid w:val="00AB1CFE"/>
    <w:pPr>
      <w:numPr>
        <w:numId w:val="9"/>
      </w:numPr>
      <w:autoSpaceDE w:val="0"/>
      <w:autoSpaceDN w:val="0"/>
      <w:adjustRightInd w:val="0"/>
      <w:spacing w:before="240" w:after="240"/>
      <w:ind w:left="1701" w:hanging="567"/>
      <w:contextualSpacing/>
    </w:pPr>
  </w:style>
  <w:style w:type="paragraph" w:styleId="Revision">
    <w:name w:val="Revision"/>
    <w:hidden/>
    <w:uiPriority w:val="99"/>
    <w:semiHidden/>
    <w:rsid w:val="00EE7599"/>
    <w:rPr>
      <w:sz w:val="24"/>
      <w:szCs w:val="24"/>
    </w:rPr>
  </w:style>
  <w:style w:type="character" w:customStyle="1" w:styleId="ScheduleitemChar">
    <w:name w:val="Schedule item Char"/>
    <w:basedOn w:val="DefaultParagraphFont"/>
    <w:link w:val="Scheduleitem"/>
    <w:rsid w:val="0071204C"/>
    <w:rPr>
      <w:sz w:val="24"/>
      <w:szCs w:val="24"/>
    </w:rPr>
  </w:style>
  <w:style w:type="paragraph" w:customStyle="1" w:styleId="Table2notes">
    <w:name w:val="Table 2 notes"/>
    <w:basedOn w:val="Normal"/>
    <w:qFormat/>
    <w:rsid w:val="0071204C"/>
    <w:pPr>
      <w:tabs>
        <w:tab w:val="left" w:pos="426"/>
        <w:tab w:val="left" w:pos="1276"/>
        <w:tab w:val="left" w:pos="3085"/>
        <w:tab w:val="left" w:pos="6062"/>
        <w:tab w:val="left" w:pos="9747"/>
      </w:tabs>
      <w:spacing w:after="120"/>
      <w:ind w:left="1276" w:hanging="1276"/>
    </w:pPr>
  </w:style>
  <w:style w:type="paragraph" w:customStyle="1" w:styleId="Body-SectionTitle">
    <w:name w:val="Body-Section Title"/>
    <w:basedOn w:val="Normal"/>
    <w:next w:val="Body-SubClause"/>
    <w:qFormat/>
    <w:rsid w:val="00946082"/>
    <w:pPr>
      <w:numPr>
        <w:numId w:val="5"/>
      </w:numPr>
      <w:tabs>
        <w:tab w:val="clear" w:pos="4111"/>
        <w:tab w:val="num" w:pos="1418"/>
      </w:tabs>
      <w:spacing w:before="240" w:after="120"/>
      <w:ind w:left="1418"/>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946082"/>
    <w:pPr>
      <w:numPr>
        <w:ilvl w:val="1"/>
        <w:numId w:val="5"/>
      </w:numPr>
      <w:spacing w:before="120" w:after="120"/>
    </w:pPr>
    <w:rPr>
      <w:rFonts w:eastAsiaTheme="minorHAnsi" w:cstheme="minorBidi"/>
      <w:szCs w:val="22"/>
      <w:lang w:eastAsia="en-US"/>
    </w:rPr>
  </w:style>
  <w:style w:type="paragraph" w:customStyle="1" w:styleId="Body-Subx2Clause">
    <w:name w:val="Body-Subx2 Clause"/>
    <w:basedOn w:val="Normal"/>
    <w:qFormat/>
    <w:rsid w:val="00946082"/>
    <w:pPr>
      <w:numPr>
        <w:ilvl w:val="2"/>
        <w:numId w:val="5"/>
      </w:numPr>
      <w:spacing w:before="120" w:after="120"/>
    </w:pPr>
    <w:rPr>
      <w:rFonts w:eastAsiaTheme="minorHAnsi" w:cstheme="minorBidi"/>
      <w:szCs w:val="22"/>
      <w:lang w:eastAsia="en-US"/>
    </w:rPr>
  </w:style>
  <w:style w:type="paragraph" w:customStyle="1" w:styleId="Body-Subx3Clause">
    <w:name w:val="Body-Subx3 Clause"/>
    <w:basedOn w:val="Normal"/>
    <w:qFormat/>
    <w:rsid w:val="00946082"/>
    <w:pPr>
      <w:numPr>
        <w:ilvl w:val="3"/>
        <w:numId w:val="5"/>
      </w:numPr>
      <w:spacing w:before="120" w:after="120"/>
    </w:pPr>
    <w:rPr>
      <w:rFonts w:eastAsiaTheme="minorHAnsi" w:cstheme="minorBidi"/>
      <w:szCs w:val="22"/>
      <w:lang w:eastAsia="en-US"/>
    </w:rPr>
  </w:style>
  <w:style w:type="paragraph" w:customStyle="1" w:styleId="Body-Subx4Clause">
    <w:name w:val="Body-Subx4 Clause"/>
    <w:basedOn w:val="Normal"/>
    <w:qFormat/>
    <w:rsid w:val="00946082"/>
    <w:pPr>
      <w:numPr>
        <w:ilvl w:val="4"/>
        <w:numId w:val="5"/>
      </w:numPr>
      <w:spacing w:before="120" w:after="120"/>
    </w:pPr>
    <w:rPr>
      <w:rFonts w:eastAsiaTheme="minorHAnsi" w:cstheme="minorBidi"/>
      <w:szCs w:val="22"/>
      <w:lang w:eastAsia="en-US"/>
    </w:rPr>
  </w:style>
  <w:style w:type="paragraph" w:customStyle="1" w:styleId="Body-Listalpha">
    <w:name w:val="Body-List (alpha)"/>
    <w:basedOn w:val="Normal"/>
    <w:qFormat/>
    <w:rsid w:val="00FB1221"/>
    <w:pPr>
      <w:numPr>
        <w:ilvl w:val="6"/>
        <w:numId w:val="5"/>
      </w:numPr>
      <w:tabs>
        <w:tab w:val="clear" w:pos="1588"/>
      </w:tabs>
      <w:ind w:left="1701" w:hanging="567"/>
    </w:pPr>
    <w:rPr>
      <w:rFonts w:eastAsiaTheme="minorHAnsi" w:cstheme="minorBidi"/>
      <w:szCs w:val="22"/>
      <w:lang w:eastAsia="en-US"/>
    </w:rPr>
  </w:style>
  <w:style w:type="numbering" w:customStyle="1" w:styleId="Body">
    <w:name w:val="Body"/>
    <w:uiPriority w:val="99"/>
    <w:rsid w:val="00946082"/>
    <w:pPr>
      <w:numPr>
        <w:numId w:val="6"/>
      </w:numPr>
    </w:pPr>
  </w:style>
  <w:style w:type="paragraph" w:customStyle="1" w:styleId="AlphabeticalList">
    <w:name w:val="Alphabetical List"/>
    <w:basedOn w:val="Body-Listalpha"/>
    <w:qFormat/>
    <w:rsid w:val="00946082"/>
    <w:pPr>
      <w:numPr>
        <w:numId w:val="4"/>
      </w:numPr>
    </w:pPr>
  </w:style>
  <w:style w:type="table" w:customStyle="1" w:styleId="TableGrid0">
    <w:name w:val="TableGrid"/>
    <w:rsid w:val="00D577D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semiHidden/>
    <w:unhideWhenUsed/>
    <w:rsid w:val="00111275"/>
    <w:rPr>
      <w:sz w:val="20"/>
      <w:szCs w:val="20"/>
    </w:rPr>
  </w:style>
  <w:style w:type="character" w:customStyle="1" w:styleId="FootnoteTextChar">
    <w:name w:val="Footnote Text Char"/>
    <w:basedOn w:val="DefaultParagraphFont"/>
    <w:link w:val="FootnoteText"/>
    <w:semiHidden/>
    <w:rsid w:val="00111275"/>
  </w:style>
  <w:style w:type="paragraph" w:customStyle="1" w:styleId="Clause-heading">
    <w:name w:val="Clause - heading"/>
    <w:basedOn w:val="Heading1"/>
    <w:next w:val="Normal"/>
    <w:rsid w:val="00DB5A7E"/>
    <w:pPr>
      <w:tabs>
        <w:tab w:val="num" w:pos="1418"/>
      </w:tabs>
      <w:spacing w:after="120"/>
      <w:ind w:left="1418" w:hanging="1418"/>
    </w:pPr>
    <w:rPr>
      <w:rFonts w:cs="Times New Roman"/>
      <w:caps/>
      <w:sz w:val="24"/>
      <w:lang w:eastAsia="en-US"/>
    </w:rPr>
  </w:style>
  <w:style w:type="paragraph" w:customStyle="1" w:styleId="Subx6clause">
    <w:name w:val="Sub x6 clause"/>
    <w:basedOn w:val="Normal"/>
    <w:next w:val="Normal"/>
    <w:rsid w:val="00DB5A7E"/>
    <w:pPr>
      <w:tabs>
        <w:tab w:val="num" w:pos="1701"/>
      </w:tabs>
      <w:spacing w:before="120" w:after="120"/>
      <w:ind w:left="1701" w:hanging="1701"/>
    </w:pPr>
  </w:style>
  <w:style w:type="paragraph" w:customStyle="1" w:styleId="Clause-sub">
    <w:name w:val="Clause - sub"/>
    <w:next w:val="Normal"/>
    <w:qFormat/>
    <w:rsid w:val="00DB5A7E"/>
    <w:pPr>
      <w:tabs>
        <w:tab w:val="num" w:pos="1418"/>
      </w:tabs>
      <w:spacing w:before="120" w:after="120"/>
      <w:ind w:left="1418" w:hanging="1418"/>
    </w:pPr>
    <w:rPr>
      <w:sz w:val="24"/>
      <w:szCs w:val="24"/>
      <w:lang w:val="en-GB"/>
    </w:rPr>
  </w:style>
  <w:style w:type="paragraph" w:customStyle="1" w:styleId="Clause-subx2">
    <w:name w:val="Clause - subx2"/>
    <w:next w:val="Normal"/>
    <w:qFormat/>
    <w:rsid w:val="00DB5A7E"/>
    <w:pPr>
      <w:tabs>
        <w:tab w:val="num" w:pos="1418"/>
      </w:tabs>
      <w:spacing w:before="120" w:after="120"/>
      <w:ind w:left="1418" w:hanging="1418"/>
    </w:pPr>
    <w:rPr>
      <w:sz w:val="24"/>
      <w:szCs w:val="24"/>
      <w:lang w:val="en-GB"/>
    </w:rPr>
  </w:style>
  <w:style w:type="paragraph" w:customStyle="1" w:styleId="Clause-subx3">
    <w:name w:val="Clause - subx3"/>
    <w:next w:val="Normal"/>
    <w:qFormat/>
    <w:rsid w:val="00DB5A7E"/>
    <w:pPr>
      <w:tabs>
        <w:tab w:val="num" w:pos="1418"/>
      </w:tabs>
      <w:spacing w:before="120" w:after="120"/>
      <w:ind w:left="1418" w:hanging="1418"/>
    </w:pPr>
    <w:rPr>
      <w:sz w:val="24"/>
      <w:szCs w:val="24"/>
      <w:lang w:val="en-GB"/>
    </w:rPr>
  </w:style>
  <w:style w:type="paragraph" w:customStyle="1" w:styleId="Clause-subx4">
    <w:name w:val="Clause - subx4"/>
    <w:next w:val="Normal"/>
    <w:qFormat/>
    <w:rsid w:val="00DB5A7E"/>
    <w:pPr>
      <w:tabs>
        <w:tab w:val="num" w:pos="1418"/>
      </w:tabs>
      <w:spacing w:before="120" w:after="120"/>
      <w:ind w:left="1418" w:hanging="1418"/>
    </w:pPr>
    <w:rPr>
      <w:rFonts w:eastAsia="Calibri"/>
      <w:sz w:val="24"/>
      <w:szCs w:val="22"/>
      <w:lang w:val="en-GB"/>
    </w:rPr>
  </w:style>
  <w:style w:type="paragraph" w:customStyle="1" w:styleId="Clause-alphalist">
    <w:name w:val="Clause - alpha list"/>
    <w:next w:val="Normal"/>
    <w:qFormat/>
    <w:rsid w:val="00DB5A7E"/>
    <w:pPr>
      <w:tabs>
        <w:tab w:val="num" w:pos="2268"/>
      </w:tabs>
      <w:spacing w:before="120" w:after="120"/>
      <w:ind w:left="2041" w:hanging="340"/>
    </w:pPr>
    <w:rPr>
      <w:sz w:val="24"/>
      <w:szCs w:val="24"/>
    </w:rPr>
  </w:style>
  <w:style w:type="character" w:customStyle="1" w:styleId="SubclauseChar">
    <w:name w:val="Sub clause Char"/>
    <w:link w:val="Subclause"/>
    <w:locked/>
    <w:rsid w:val="00DC44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24346">
      <w:bodyDiv w:val="1"/>
      <w:marLeft w:val="0"/>
      <w:marRight w:val="0"/>
      <w:marTop w:val="0"/>
      <w:marBottom w:val="0"/>
      <w:divBdr>
        <w:top w:val="none" w:sz="0" w:space="0" w:color="auto"/>
        <w:left w:val="none" w:sz="0" w:space="0" w:color="auto"/>
        <w:bottom w:val="none" w:sz="0" w:space="0" w:color="auto"/>
        <w:right w:val="none" w:sz="0" w:space="0" w:color="auto"/>
      </w:divBdr>
    </w:div>
    <w:div w:id="302346379">
      <w:bodyDiv w:val="1"/>
      <w:marLeft w:val="0"/>
      <w:marRight w:val="0"/>
      <w:marTop w:val="0"/>
      <w:marBottom w:val="0"/>
      <w:divBdr>
        <w:top w:val="none" w:sz="0" w:space="0" w:color="auto"/>
        <w:left w:val="none" w:sz="0" w:space="0" w:color="auto"/>
        <w:bottom w:val="none" w:sz="0" w:space="0" w:color="auto"/>
        <w:right w:val="none" w:sz="0" w:space="0" w:color="auto"/>
      </w:divBdr>
    </w:div>
    <w:div w:id="640888756">
      <w:bodyDiv w:val="1"/>
      <w:marLeft w:val="0"/>
      <w:marRight w:val="0"/>
      <w:marTop w:val="0"/>
      <w:marBottom w:val="0"/>
      <w:divBdr>
        <w:top w:val="none" w:sz="0" w:space="0" w:color="auto"/>
        <w:left w:val="none" w:sz="0" w:space="0" w:color="auto"/>
        <w:bottom w:val="none" w:sz="0" w:space="0" w:color="auto"/>
        <w:right w:val="none" w:sz="0" w:space="0" w:color="auto"/>
      </w:divBdr>
    </w:div>
    <w:div w:id="649021826">
      <w:bodyDiv w:val="1"/>
      <w:marLeft w:val="0"/>
      <w:marRight w:val="0"/>
      <w:marTop w:val="0"/>
      <w:marBottom w:val="0"/>
      <w:divBdr>
        <w:top w:val="none" w:sz="0" w:space="0" w:color="auto"/>
        <w:left w:val="none" w:sz="0" w:space="0" w:color="auto"/>
        <w:bottom w:val="none" w:sz="0" w:space="0" w:color="auto"/>
        <w:right w:val="none" w:sz="0" w:space="0" w:color="auto"/>
      </w:divBdr>
    </w:div>
    <w:div w:id="730037924">
      <w:bodyDiv w:val="1"/>
      <w:marLeft w:val="0"/>
      <w:marRight w:val="0"/>
      <w:marTop w:val="0"/>
      <w:marBottom w:val="0"/>
      <w:divBdr>
        <w:top w:val="none" w:sz="0" w:space="0" w:color="auto"/>
        <w:left w:val="none" w:sz="0" w:space="0" w:color="auto"/>
        <w:bottom w:val="none" w:sz="0" w:space="0" w:color="auto"/>
        <w:right w:val="none" w:sz="0" w:space="0" w:color="auto"/>
      </w:divBdr>
    </w:div>
    <w:div w:id="1448087593">
      <w:bodyDiv w:val="1"/>
      <w:marLeft w:val="0"/>
      <w:marRight w:val="0"/>
      <w:marTop w:val="0"/>
      <w:marBottom w:val="0"/>
      <w:divBdr>
        <w:top w:val="none" w:sz="0" w:space="0" w:color="auto"/>
        <w:left w:val="none" w:sz="0" w:space="0" w:color="auto"/>
        <w:bottom w:val="none" w:sz="0" w:space="0" w:color="auto"/>
        <w:right w:val="none" w:sz="0" w:space="0" w:color="auto"/>
      </w:divBdr>
    </w:div>
    <w:div w:id="1543134415">
      <w:bodyDiv w:val="1"/>
      <w:marLeft w:val="0"/>
      <w:marRight w:val="0"/>
      <w:marTop w:val="0"/>
      <w:marBottom w:val="0"/>
      <w:divBdr>
        <w:top w:val="none" w:sz="0" w:space="0" w:color="auto"/>
        <w:left w:val="none" w:sz="0" w:space="0" w:color="auto"/>
        <w:bottom w:val="none" w:sz="0" w:space="0" w:color="auto"/>
        <w:right w:val="none" w:sz="0" w:space="0" w:color="auto"/>
      </w:divBdr>
    </w:div>
    <w:div w:id="1574772951">
      <w:bodyDiv w:val="1"/>
      <w:marLeft w:val="0"/>
      <w:marRight w:val="0"/>
      <w:marTop w:val="0"/>
      <w:marBottom w:val="0"/>
      <w:divBdr>
        <w:top w:val="none" w:sz="0" w:space="0" w:color="auto"/>
        <w:left w:val="none" w:sz="0" w:space="0" w:color="auto"/>
        <w:bottom w:val="none" w:sz="0" w:space="0" w:color="auto"/>
        <w:right w:val="none" w:sz="0" w:space="0" w:color="auto"/>
      </w:divBdr>
    </w:div>
    <w:div w:id="1843160296">
      <w:bodyDiv w:val="1"/>
      <w:marLeft w:val="0"/>
      <w:marRight w:val="0"/>
      <w:marTop w:val="0"/>
      <w:marBottom w:val="0"/>
      <w:divBdr>
        <w:top w:val="none" w:sz="0" w:space="0" w:color="auto"/>
        <w:left w:val="none" w:sz="0" w:space="0" w:color="auto"/>
        <w:bottom w:val="none" w:sz="0" w:space="0" w:color="auto"/>
        <w:right w:val="none" w:sz="0" w:space="0" w:color="auto"/>
      </w:divBdr>
    </w:div>
    <w:div w:id="2066489147">
      <w:bodyDiv w:val="1"/>
      <w:marLeft w:val="0"/>
      <w:marRight w:val="0"/>
      <w:marTop w:val="0"/>
      <w:marBottom w:val="0"/>
      <w:divBdr>
        <w:top w:val="none" w:sz="0" w:space="0" w:color="auto"/>
        <w:left w:val="none" w:sz="0" w:space="0" w:color="auto"/>
        <w:bottom w:val="none" w:sz="0" w:space="0" w:color="auto"/>
        <w:right w:val="none" w:sz="0" w:space="0" w:color="auto"/>
      </w:divBdr>
    </w:div>
    <w:div w:id="21106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11" ma:contentTypeDescription="Create a new document." ma:contentTypeScope="" ma:versionID="516d4ea555597e39b5bbba949cbdd3d1">
  <xsd:schema xmlns:xsd="http://www.w3.org/2001/XMLSchema" xmlns:xs="http://www.w3.org/2001/XMLSchema" xmlns:p="http://schemas.microsoft.com/office/2006/metadata/properties" xmlns:ns3="6576d91f-c9e9-4947-a3d7-a61f72220494" targetNamespace="http://schemas.microsoft.com/office/2006/metadata/properties" ma:root="true" ma:fieldsID="6f87923f6eee63b82811ec8ced7cf19b"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BillingMetadata"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4EB0-5B5C-4CD2-BF60-77DC4F32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EE517-0F44-4C5B-852A-371F49C41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5D296-D8B3-4A83-9D35-2A9B0645B470}">
  <ds:schemaRefs>
    <ds:schemaRef ds:uri="http://schemas.microsoft.com/sharepoint/v3/contenttype/forms"/>
  </ds:schemaRefs>
</ds:datastoreItem>
</file>

<file path=customXml/itemProps4.xml><?xml version="1.0" encoding="utf-8"?>
<ds:datastoreItem xmlns:ds="http://schemas.openxmlformats.org/officeDocument/2006/customXml" ds:itemID="{4C0A933D-2557-4990-95F5-F04F736D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Draft ADR—August 2025—Vehicle Standard (Australian Design Rule) Vehicle Lighting Amendment 2025</vt:lpstr>
    </vt:vector>
  </TitlesOfParts>
  <Manager/>
  <Company/>
  <LinksUpToDate>false</LinksUpToDate>
  <CharactersWithSpaces>11668</CharactersWithSpaces>
  <SharedDoc>false</SharedDoc>
  <HLinks>
    <vt:vector size="18" baseType="variant">
      <vt:variant>
        <vt:i4>1638450</vt:i4>
      </vt:variant>
      <vt:variant>
        <vt:i4>14</vt:i4>
      </vt:variant>
      <vt:variant>
        <vt:i4>0</vt:i4>
      </vt:variant>
      <vt:variant>
        <vt:i4>5</vt:i4>
      </vt:variant>
      <vt:variant>
        <vt:lpwstr/>
      </vt:variant>
      <vt:variant>
        <vt:lpwstr>_Toc433957030</vt:lpwstr>
      </vt:variant>
      <vt:variant>
        <vt:i4>1572914</vt:i4>
      </vt:variant>
      <vt:variant>
        <vt:i4>8</vt:i4>
      </vt:variant>
      <vt:variant>
        <vt:i4>0</vt:i4>
      </vt:variant>
      <vt:variant>
        <vt:i4>5</vt:i4>
      </vt:variant>
      <vt:variant>
        <vt:lpwstr/>
      </vt:variant>
      <vt:variant>
        <vt:lpwstr>_Toc433957029</vt:lpwstr>
      </vt:variant>
      <vt:variant>
        <vt:i4>1572914</vt:i4>
      </vt:variant>
      <vt:variant>
        <vt:i4>2</vt:i4>
      </vt:variant>
      <vt:variant>
        <vt:i4>0</vt:i4>
      </vt:variant>
      <vt:variant>
        <vt:i4>5</vt:i4>
      </vt:variant>
      <vt:variant>
        <vt:lpwstr/>
      </vt:variant>
      <vt:variant>
        <vt:lpwstr>_Toc433957028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ADR—August 2025—Vehicle Standard (Australian Design Rule) Vehicle Lighting Amendment 2025</dc:title>
  <dc:subject/>
  <dc:creator/>
  <cp:keywords/>
  <cp:lastModifiedBy/>
  <cp:revision>1</cp:revision>
  <dcterms:created xsi:type="dcterms:W3CDTF">2025-08-25T05:33:00Z</dcterms:created>
  <dcterms:modified xsi:type="dcterms:W3CDTF">2025-08-25T05:52:00Z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