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8DA" w:rsidRDefault="003768DA" w:rsidP="00822DBF">
      <w:pPr>
        <w:spacing w:after="0"/>
        <w:ind w:left="-1418"/>
      </w:pPr>
      <w:r>
        <w:rPr>
          <w:noProof/>
          <w:lang w:eastAsia="en-AU"/>
        </w:rPr>
        <w:drawing>
          <wp:inline distT="0" distB="0" distL="0" distR="0">
            <wp:extent cx="7549233" cy="1263650"/>
            <wp:effectExtent l="0" t="0" r="0" b="0"/>
            <wp:docPr id="6" name="Picture 6" descr="Logo: Australian Government, Department of Infrastructure, Transport, Regional Development and Communications.&#10;&#10;&#10;&#10;www.infrastructure.gov.au&#10;www.communications.gov.au &#10;www.ar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TRDC Word Header_Crest_A4 portra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128" cy="1265808"/>
                    </a:xfrm>
                    <a:prstGeom prst="rect">
                      <a:avLst/>
                    </a:prstGeom>
                  </pic:spPr>
                </pic:pic>
              </a:graphicData>
            </a:graphic>
          </wp:inline>
        </w:drawing>
      </w:r>
    </w:p>
    <w:p w:rsidR="003768DA" w:rsidRDefault="003768DA" w:rsidP="00822DBF">
      <w:pPr>
        <w:spacing w:after="0"/>
        <w:ind w:left="-1418"/>
      </w:pPr>
    </w:p>
    <w:p w:rsidR="003768DA" w:rsidRDefault="003768DA" w:rsidP="00822DBF">
      <w:pPr>
        <w:spacing w:after="0"/>
        <w:ind w:left="-1418"/>
        <w:sectPr w:rsidR="003768DA" w:rsidSect="003D71C5">
          <w:footerReference w:type="default" r:id="rId9"/>
          <w:pgSz w:w="11906" w:h="16838"/>
          <w:pgMar w:top="0" w:right="991" w:bottom="1440" w:left="1440" w:header="0" w:footer="397" w:gutter="0"/>
          <w:cols w:space="708"/>
          <w:docGrid w:linePitch="360"/>
        </w:sectPr>
      </w:pPr>
    </w:p>
    <w:p w:rsidR="00772C27" w:rsidRPr="000244F7" w:rsidRDefault="000244F7" w:rsidP="002A5AB5">
      <w:pPr>
        <w:pStyle w:val="Heading1"/>
      </w:pPr>
      <w:r w:rsidRPr="000244F7">
        <w:t>Designation of spectrum in the 3.4 GHz band for spectrum licensing—</w:t>
      </w:r>
      <w:r w:rsidRPr="000244F7">
        <w:rPr>
          <w:iCs/>
        </w:rPr>
        <w:t>Consultation Paper</w:t>
      </w:r>
    </w:p>
    <w:p w:rsidR="00772C27" w:rsidRPr="005204FB" w:rsidRDefault="000244F7" w:rsidP="00772C27">
      <w:pPr>
        <w:shd w:val="clear" w:color="auto" w:fill="002D72"/>
        <w:spacing w:after="120"/>
        <w:rPr>
          <w:rFonts w:ascii="Segoe UI Semibold" w:hAnsi="Segoe UI Semibold" w:cs="Segoe UI Semibold"/>
          <w:color w:val="FFFFFF" w:themeColor="background1"/>
        </w:rPr>
      </w:pPr>
      <w:r>
        <w:rPr>
          <w:rFonts w:ascii="Segoe UI Semibold" w:hAnsi="Segoe UI Semibold" w:cs="Segoe UI Semibold"/>
          <w:color w:val="FFFFFF" w:themeColor="background1"/>
        </w:rPr>
        <w:t>September 2020</w:t>
      </w:r>
    </w:p>
    <w:p w:rsidR="00E7227D" w:rsidRDefault="00E7227D">
      <w:pPr>
        <w:spacing w:line="259" w:lineRule="auto"/>
      </w:pPr>
      <w:r>
        <w:lastRenderedPageBreak/>
        <w:br w:type="page"/>
      </w:r>
    </w:p>
    <w:p w:rsidR="00E7227D" w:rsidRDefault="00E7227D" w:rsidP="002F1A23">
      <w:pPr>
        <w:spacing w:after="120" w:line="259" w:lineRule="auto"/>
      </w:pPr>
      <w:r>
        <w:lastRenderedPageBreak/>
        <w:t>© Commonwealth of Australia 2020</w:t>
      </w:r>
      <w:r>
        <w:br/>
      </w:r>
      <w:r w:rsidR="000244F7">
        <w:t>September 2020 / INFRASTRUCTURE</w:t>
      </w:r>
    </w:p>
    <w:p w:rsidR="00E7227D" w:rsidRDefault="00E7227D" w:rsidP="00E7227D">
      <w:pPr>
        <w:pStyle w:val="Heading2notshowing"/>
      </w:pPr>
      <w:r>
        <w:t>Ownership of intellectual property rights in this publication</w:t>
      </w:r>
    </w:p>
    <w:p w:rsidR="00E7227D" w:rsidRPr="00E7227D" w:rsidRDefault="00E7227D" w:rsidP="00E7227D">
      <w:pPr>
        <w:pStyle w:val="Normaldisclaimerpage"/>
      </w:pPr>
      <w:r w:rsidRPr="00E7227D">
        <w:t>Unless otherwise noted, copyright (and any other intellectual property rights, if any) in this publication is owned by the Commonwealth of Australia (referred to below as the Commonwealth).</w:t>
      </w:r>
    </w:p>
    <w:p w:rsidR="00E7227D" w:rsidRDefault="00E7227D" w:rsidP="00E7227D">
      <w:pPr>
        <w:pStyle w:val="Heading2notshowing"/>
      </w:pPr>
      <w:r>
        <w:t>Disclaimer</w:t>
      </w:r>
    </w:p>
    <w:p w:rsidR="00E7227D" w:rsidRDefault="00E7227D" w:rsidP="00E7227D">
      <w:pPr>
        <w:pStyle w:val="Normaldisclaimerpage"/>
      </w:pPr>
      <w:r>
        <w:t>The material contained in this publication is made available on the understanding that the Commonwealth is not providing professional advice, and that users exercise their own skill and care with respect to its use, and seek independent advice if necessary.</w:t>
      </w:r>
    </w:p>
    <w:p w:rsidR="00E7227D" w:rsidRDefault="00E7227D" w:rsidP="00E7227D">
      <w:pPr>
        <w:pStyle w:val="Normaldisclaimerpage"/>
      </w:pPr>
      <w: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rsidR="00E7227D" w:rsidRDefault="00E7227D" w:rsidP="00E7227D">
      <w:pPr>
        <w:pStyle w:val="Heading2notshowing"/>
      </w:pPr>
      <w:proofErr w:type="gramStart"/>
      <w:r>
        <w:lastRenderedPageBreak/>
        <w:t>Creative Commons</w:t>
      </w:r>
      <w:proofErr w:type="gramEnd"/>
      <w:r>
        <w:t xml:space="preserve"> licence</w:t>
      </w:r>
    </w:p>
    <w:p w:rsidR="00E7227D" w:rsidRDefault="00E7227D" w:rsidP="00E7227D">
      <w:pPr>
        <w:pStyle w:val="Normaldisclaimerpage"/>
      </w:pPr>
      <w:r>
        <w:t>With the exception of (a) the Coat of Arms; (b) the Department of Infrastructure, Transport, Regional Development and Communications photos and graphics; and (c) [OTHER], copyright in this publication is licensed under a Creative Commons Attribution 4.0 Australia Licence.</w:t>
      </w:r>
    </w:p>
    <w:p w:rsidR="00E7227D" w:rsidRDefault="00E7227D" w:rsidP="00E7227D">
      <w:pPr>
        <w:pStyle w:val="Normaldisclaimerpage"/>
      </w:pPr>
      <w:r>
        <w:t>Creative Commons Attribution 4.0 Australia Licence is a standard form licence agreement that allows you to copy, communicate and adapt this publication provided that you attribute the work to the Commonwealth and abide by the other licence terms.</w:t>
      </w:r>
    </w:p>
    <w:p w:rsidR="00E7227D" w:rsidRDefault="00E7227D" w:rsidP="00E7227D">
      <w:pPr>
        <w:pStyle w:val="Normaldisclaimerpage"/>
      </w:pPr>
      <w:r>
        <w:t xml:space="preserve">Further information on the licence terms is available from </w:t>
      </w:r>
      <w:hyperlink r:id="rId10" w:history="1">
        <w:r w:rsidR="002F1A23" w:rsidRPr="00AB127C">
          <w:rPr>
            <w:rStyle w:val="Hyperlink"/>
          </w:rPr>
          <w:t>https://creativecommons.org/licenses/by/4.0/</w:t>
        </w:r>
      </w:hyperlink>
      <w:r w:rsidR="002F1A23">
        <w:t>.</w:t>
      </w:r>
      <w:r w:rsidR="002F1A23">
        <w:br/>
      </w:r>
      <w:r>
        <w:t xml:space="preserve">This publication should be attributed in the following way: © Commonwealth of Australia </w:t>
      </w:r>
      <w:r w:rsidR="002F1A23">
        <w:t>2020</w:t>
      </w:r>
      <w:r>
        <w:t>.</w:t>
      </w:r>
    </w:p>
    <w:p w:rsidR="00E7227D" w:rsidRDefault="00E7227D" w:rsidP="00E7227D">
      <w:pPr>
        <w:pStyle w:val="Heading2notshowing"/>
      </w:pPr>
      <w:r>
        <w:t>Use of the Coat of Arms</w:t>
      </w:r>
    </w:p>
    <w:p w:rsidR="00E7227D" w:rsidRDefault="00E7227D" w:rsidP="00E7227D">
      <w:pPr>
        <w:pStyle w:val="Normaldisclaimerpage"/>
      </w:pPr>
      <w:r>
        <w:t xml:space="preserve">The Department of the Prime Minister and Cabinet sets the terms under which the Coat of Arms is used. Please refer to the Commonwealth Coat of Arms — Information and Guidelines publication available at </w:t>
      </w:r>
      <w:hyperlink r:id="rId11" w:history="1">
        <w:r w:rsidRPr="00AB127C">
          <w:rPr>
            <w:rStyle w:val="Hyperlink"/>
          </w:rPr>
          <w:t>www.pmc.gov.au</w:t>
        </w:r>
      </w:hyperlink>
      <w:r>
        <w:t>.</w:t>
      </w:r>
    </w:p>
    <w:p w:rsidR="00E7227D" w:rsidRDefault="00E7227D" w:rsidP="00E7227D">
      <w:pPr>
        <w:pStyle w:val="Heading2notshowing"/>
      </w:pPr>
      <w:r>
        <w:lastRenderedPageBreak/>
        <w:t>Contact us</w:t>
      </w:r>
    </w:p>
    <w:p w:rsidR="00E7227D" w:rsidRDefault="00E7227D" w:rsidP="00E7227D">
      <w:pPr>
        <w:pStyle w:val="Normaldisclaimerpage"/>
      </w:pPr>
      <w:r>
        <w:t xml:space="preserve">This publication is available in hard copy or PDF format. All other rights are reserved, including in relation to any Departmental logos or </w:t>
      </w:r>
      <w:proofErr w:type="spellStart"/>
      <w:r>
        <w:t>trade marks</w:t>
      </w:r>
      <w:proofErr w:type="spellEnd"/>
      <w:r>
        <w:t xml:space="preserve"> which may exist. For enquiries regarding the licence and any use of this publication, please contact:</w:t>
      </w:r>
    </w:p>
    <w:p w:rsidR="00E7227D" w:rsidRDefault="00E7227D" w:rsidP="00E7227D">
      <w:pPr>
        <w:pStyle w:val="Normaldisclaimerpage"/>
        <w:ind w:left="567"/>
      </w:pPr>
      <w:r>
        <w:t>Director—Publishing and Communications</w:t>
      </w:r>
      <w:r>
        <w:br/>
        <w:t>Communication Branch</w:t>
      </w:r>
      <w:r>
        <w:br/>
        <w:t>Department of Infrastructure, Transport, Regional Development and Communications</w:t>
      </w:r>
      <w:r>
        <w:br/>
        <w:t>GPO Box 594</w:t>
      </w:r>
      <w:r w:rsidR="002F1A23">
        <w:br/>
      </w:r>
      <w:r>
        <w:t>Canberra ACT 2601</w:t>
      </w:r>
      <w:r>
        <w:br/>
        <w:t>Australia</w:t>
      </w:r>
    </w:p>
    <w:p w:rsidR="00E7227D" w:rsidRDefault="00E7227D" w:rsidP="00E7227D">
      <w:pPr>
        <w:pStyle w:val="Normaldisclaimerpage"/>
        <w:ind w:left="567"/>
      </w:pPr>
      <w:r>
        <w:t xml:space="preserve">Email: </w:t>
      </w:r>
      <w:hyperlink r:id="rId12" w:history="1">
        <w:r w:rsidRPr="00AB127C">
          <w:rPr>
            <w:rStyle w:val="Hyperlink"/>
          </w:rPr>
          <w:t>publishing@communications.gov.au</w:t>
        </w:r>
      </w:hyperlink>
    </w:p>
    <w:p w:rsidR="00A82DAF" w:rsidRDefault="00E7227D" w:rsidP="002F1A23">
      <w:pPr>
        <w:pStyle w:val="Normaldisclaimerpage"/>
        <w:ind w:left="567"/>
      </w:pPr>
      <w:r>
        <w:t>Websites:</w:t>
      </w:r>
      <w:r w:rsidR="00323710">
        <w:t xml:space="preserve"> </w:t>
      </w:r>
      <w:hyperlink r:id="rId13" w:history="1">
        <w:r w:rsidRPr="00AB127C">
          <w:rPr>
            <w:rStyle w:val="Hyperlink"/>
          </w:rPr>
          <w:t>www.infrastructure.gov.au</w:t>
        </w:r>
      </w:hyperlink>
      <w:r>
        <w:t xml:space="preserve"> | </w:t>
      </w:r>
      <w:hyperlink r:id="rId14" w:history="1">
        <w:r w:rsidRPr="00AB127C">
          <w:rPr>
            <w:rStyle w:val="Hyperlink"/>
          </w:rPr>
          <w:t>www.communications.gov.au</w:t>
        </w:r>
      </w:hyperlink>
      <w:r w:rsidR="003768DA">
        <w:t xml:space="preserve"> | </w:t>
      </w:r>
      <w:hyperlink r:id="rId15" w:history="1">
        <w:r w:rsidR="003768DA" w:rsidRPr="00AB127C">
          <w:rPr>
            <w:rStyle w:val="Hyperlink"/>
          </w:rPr>
          <w:t>www.arts.gov.au</w:t>
        </w:r>
      </w:hyperlink>
      <w:r w:rsidR="002F1A23">
        <w:t>.</w:t>
      </w:r>
      <w:r w:rsidR="00A82DAF">
        <w:br w:type="page"/>
      </w:r>
    </w:p>
    <w:p w:rsidR="00A82DAF" w:rsidRPr="006903D3" w:rsidRDefault="00A82DAF" w:rsidP="00A82DAF">
      <w:pPr>
        <w:pStyle w:val="Heading2notshowing"/>
      </w:pPr>
      <w:r w:rsidRPr="006903D3">
        <w:lastRenderedPageBreak/>
        <w:t>Contents</w:t>
      </w:r>
    </w:p>
    <w:p w:rsidR="00EC386A" w:rsidRDefault="00A82DAF">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51682543" w:history="1">
        <w:r w:rsidR="00EC386A" w:rsidRPr="00667FB9">
          <w:rPr>
            <w:rStyle w:val="Hyperlink"/>
            <w:noProof/>
          </w:rPr>
          <w:t>Executive summary</w:t>
        </w:r>
        <w:r w:rsidR="00EC386A">
          <w:rPr>
            <w:noProof/>
            <w:webHidden/>
          </w:rPr>
          <w:tab/>
        </w:r>
        <w:r w:rsidR="00EC386A">
          <w:rPr>
            <w:noProof/>
            <w:webHidden/>
          </w:rPr>
          <w:fldChar w:fldCharType="begin"/>
        </w:r>
        <w:r w:rsidR="00EC386A">
          <w:rPr>
            <w:noProof/>
            <w:webHidden/>
          </w:rPr>
          <w:instrText xml:space="preserve"> PAGEREF _Toc51682543 \h </w:instrText>
        </w:r>
        <w:r w:rsidR="00EC386A">
          <w:rPr>
            <w:noProof/>
            <w:webHidden/>
          </w:rPr>
        </w:r>
        <w:r w:rsidR="00EC386A">
          <w:rPr>
            <w:noProof/>
            <w:webHidden/>
          </w:rPr>
          <w:fldChar w:fldCharType="separate"/>
        </w:r>
        <w:r w:rsidR="00EC386A">
          <w:rPr>
            <w:noProof/>
            <w:webHidden/>
          </w:rPr>
          <w:t>4</w:t>
        </w:r>
        <w:r w:rsidR="00EC386A">
          <w:rPr>
            <w:noProof/>
            <w:webHidden/>
          </w:rPr>
          <w:fldChar w:fldCharType="end"/>
        </w:r>
      </w:hyperlink>
    </w:p>
    <w:p w:rsidR="00EC386A" w:rsidRDefault="00EC386A">
      <w:pPr>
        <w:pStyle w:val="TOC1"/>
        <w:rPr>
          <w:rFonts w:asciiTheme="minorHAnsi" w:eastAsiaTheme="minorEastAsia" w:hAnsiTheme="minorHAnsi"/>
          <w:b w:val="0"/>
          <w:noProof/>
          <w:color w:val="auto"/>
          <w:sz w:val="22"/>
          <w:lang w:eastAsia="en-AU"/>
        </w:rPr>
      </w:pPr>
      <w:hyperlink w:anchor="_Toc51682544" w:history="1">
        <w:r w:rsidRPr="00667FB9">
          <w:rPr>
            <w:rStyle w:val="Hyperlink"/>
            <w:noProof/>
          </w:rPr>
          <w:t>Background</w:t>
        </w:r>
        <w:r>
          <w:rPr>
            <w:noProof/>
            <w:webHidden/>
          </w:rPr>
          <w:tab/>
        </w:r>
        <w:r>
          <w:rPr>
            <w:noProof/>
            <w:webHidden/>
          </w:rPr>
          <w:fldChar w:fldCharType="begin"/>
        </w:r>
        <w:r>
          <w:rPr>
            <w:noProof/>
            <w:webHidden/>
          </w:rPr>
          <w:instrText xml:space="preserve"> PAGEREF _Toc51682544 \h </w:instrText>
        </w:r>
        <w:r>
          <w:rPr>
            <w:noProof/>
            <w:webHidden/>
          </w:rPr>
        </w:r>
        <w:r>
          <w:rPr>
            <w:noProof/>
            <w:webHidden/>
          </w:rPr>
          <w:fldChar w:fldCharType="separate"/>
        </w:r>
        <w:r>
          <w:rPr>
            <w:noProof/>
            <w:webHidden/>
          </w:rPr>
          <w:t>5</w:t>
        </w:r>
        <w:r>
          <w:rPr>
            <w:noProof/>
            <w:webHidden/>
          </w:rPr>
          <w:fldChar w:fldCharType="end"/>
        </w:r>
      </w:hyperlink>
    </w:p>
    <w:p w:rsidR="00EC386A" w:rsidRDefault="00EC386A">
      <w:pPr>
        <w:pStyle w:val="TOC2"/>
        <w:rPr>
          <w:rFonts w:asciiTheme="minorHAnsi" w:eastAsiaTheme="minorEastAsia" w:hAnsiTheme="minorHAnsi"/>
          <w:noProof/>
          <w:sz w:val="22"/>
          <w:lang w:eastAsia="en-AU"/>
        </w:rPr>
      </w:pPr>
      <w:hyperlink w:anchor="_Toc51682545" w:history="1">
        <w:r w:rsidRPr="00667FB9">
          <w:rPr>
            <w:rStyle w:val="Hyperlink"/>
            <w:noProof/>
          </w:rPr>
          <w:t>NBN Co’s 3.4 GHz apparatus licences</w:t>
        </w:r>
        <w:r>
          <w:rPr>
            <w:noProof/>
            <w:webHidden/>
          </w:rPr>
          <w:tab/>
        </w:r>
        <w:r>
          <w:rPr>
            <w:noProof/>
            <w:webHidden/>
          </w:rPr>
          <w:fldChar w:fldCharType="begin"/>
        </w:r>
        <w:r>
          <w:rPr>
            <w:noProof/>
            <w:webHidden/>
          </w:rPr>
          <w:instrText xml:space="preserve"> PAGEREF _Toc51682545 \h </w:instrText>
        </w:r>
        <w:r>
          <w:rPr>
            <w:noProof/>
            <w:webHidden/>
          </w:rPr>
        </w:r>
        <w:r>
          <w:rPr>
            <w:noProof/>
            <w:webHidden/>
          </w:rPr>
          <w:fldChar w:fldCharType="separate"/>
        </w:r>
        <w:r>
          <w:rPr>
            <w:noProof/>
            <w:webHidden/>
          </w:rPr>
          <w:t>5</w:t>
        </w:r>
        <w:r>
          <w:rPr>
            <w:noProof/>
            <w:webHidden/>
          </w:rPr>
          <w:fldChar w:fldCharType="end"/>
        </w:r>
      </w:hyperlink>
    </w:p>
    <w:p w:rsidR="00EC386A" w:rsidRDefault="00EC386A">
      <w:pPr>
        <w:pStyle w:val="TOC2"/>
        <w:rPr>
          <w:rFonts w:asciiTheme="minorHAnsi" w:eastAsiaTheme="minorEastAsia" w:hAnsiTheme="minorHAnsi"/>
          <w:noProof/>
          <w:sz w:val="22"/>
          <w:lang w:eastAsia="en-AU"/>
        </w:rPr>
      </w:pPr>
      <w:hyperlink w:anchor="_Toc51682546" w:history="1">
        <w:r w:rsidRPr="00667FB9">
          <w:rPr>
            <w:rStyle w:val="Hyperlink"/>
            <w:noProof/>
          </w:rPr>
          <w:t>Previous consultation on the 3.4 GHz band</w:t>
        </w:r>
        <w:r>
          <w:rPr>
            <w:noProof/>
            <w:webHidden/>
          </w:rPr>
          <w:tab/>
        </w:r>
        <w:r>
          <w:rPr>
            <w:noProof/>
            <w:webHidden/>
          </w:rPr>
          <w:fldChar w:fldCharType="begin"/>
        </w:r>
        <w:r>
          <w:rPr>
            <w:noProof/>
            <w:webHidden/>
          </w:rPr>
          <w:instrText xml:space="preserve"> PAGEREF _Toc51682546 \h </w:instrText>
        </w:r>
        <w:r>
          <w:rPr>
            <w:noProof/>
            <w:webHidden/>
          </w:rPr>
        </w:r>
        <w:r>
          <w:rPr>
            <w:noProof/>
            <w:webHidden/>
          </w:rPr>
          <w:fldChar w:fldCharType="separate"/>
        </w:r>
        <w:r>
          <w:rPr>
            <w:noProof/>
            <w:webHidden/>
          </w:rPr>
          <w:t>6</w:t>
        </w:r>
        <w:r>
          <w:rPr>
            <w:noProof/>
            <w:webHidden/>
          </w:rPr>
          <w:fldChar w:fldCharType="end"/>
        </w:r>
      </w:hyperlink>
    </w:p>
    <w:p w:rsidR="00EC386A" w:rsidRDefault="00EC386A">
      <w:pPr>
        <w:pStyle w:val="TOC2"/>
        <w:rPr>
          <w:rFonts w:asciiTheme="minorHAnsi" w:eastAsiaTheme="minorEastAsia" w:hAnsiTheme="minorHAnsi"/>
          <w:noProof/>
          <w:sz w:val="22"/>
          <w:lang w:eastAsia="en-AU"/>
        </w:rPr>
      </w:pPr>
      <w:hyperlink w:anchor="_Toc51682547" w:history="1">
        <w:r w:rsidRPr="00667FB9">
          <w:rPr>
            <w:rStyle w:val="Hyperlink"/>
            <w:noProof/>
          </w:rPr>
          <w:t>Reform of the Radiocommunications Act 1992</w:t>
        </w:r>
        <w:r>
          <w:rPr>
            <w:noProof/>
            <w:webHidden/>
          </w:rPr>
          <w:tab/>
        </w:r>
        <w:r>
          <w:rPr>
            <w:noProof/>
            <w:webHidden/>
          </w:rPr>
          <w:fldChar w:fldCharType="begin"/>
        </w:r>
        <w:r>
          <w:rPr>
            <w:noProof/>
            <w:webHidden/>
          </w:rPr>
          <w:instrText xml:space="preserve"> PAGEREF _Toc51682547 \h </w:instrText>
        </w:r>
        <w:r>
          <w:rPr>
            <w:noProof/>
            <w:webHidden/>
          </w:rPr>
        </w:r>
        <w:r>
          <w:rPr>
            <w:noProof/>
            <w:webHidden/>
          </w:rPr>
          <w:fldChar w:fldCharType="separate"/>
        </w:r>
        <w:r>
          <w:rPr>
            <w:noProof/>
            <w:webHidden/>
          </w:rPr>
          <w:t>6</w:t>
        </w:r>
        <w:r>
          <w:rPr>
            <w:noProof/>
            <w:webHidden/>
          </w:rPr>
          <w:fldChar w:fldCharType="end"/>
        </w:r>
      </w:hyperlink>
    </w:p>
    <w:p w:rsidR="00EC386A" w:rsidRDefault="00EC386A">
      <w:pPr>
        <w:pStyle w:val="TOC1"/>
        <w:rPr>
          <w:rFonts w:asciiTheme="minorHAnsi" w:eastAsiaTheme="minorEastAsia" w:hAnsiTheme="minorHAnsi"/>
          <w:b w:val="0"/>
          <w:noProof/>
          <w:color w:val="auto"/>
          <w:sz w:val="22"/>
          <w:lang w:eastAsia="en-AU"/>
        </w:rPr>
      </w:pPr>
      <w:hyperlink w:anchor="_Toc51682548" w:history="1">
        <w:r w:rsidRPr="00667FB9">
          <w:rPr>
            <w:rStyle w:val="Hyperlink"/>
            <w:noProof/>
          </w:rPr>
          <w:t>Proposed designation</w:t>
        </w:r>
        <w:r>
          <w:rPr>
            <w:noProof/>
            <w:webHidden/>
          </w:rPr>
          <w:tab/>
        </w:r>
        <w:r>
          <w:rPr>
            <w:noProof/>
            <w:webHidden/>
          </w:rPr>
          <w:fldChar w:fldCharType="begin"/>
        </w:r>
        <w:r>
          <w:rPr>
            <w:noProof/>
            <w:webHidden/>
          </w:rPr>
          <w:instrText xml:space="preserve"> PAGEREF _Toc51682548 \h </w:instrText>
        </w:r>
        <w:r>
          <w:rPr>
            <w:noProof/>
            <w:webHidden/>
          </w:rPr>
        </w:r>
        <w:r>
          <w:rPr>
            <w:noProof/>
            <w:webHidden/>
          </w:rPr>
          <w:fldChar w:fldCharType="separate"/>
        </w:r>
        <w:r>
          <w:rPr>
            <w:noProof/>
            <w:webHidden/>
          </w:rPr>
          <w:t>7</w:t>
        </w:r>
        <w:r>
          <w:rPr>
            <w:noProof/>
            <w:webHidden/>
          </w:rPr>
          <w:fldChar w:fldCharType="end"/>
        </w:r>
      </w:hyperlink>
    </w:p>
    <w:p w:rsidR="00EC386A" w:rsidRDefault="00EC386A">
      <w:pPr>
        <w:pStyle w:val="TOC1"/>
        <w:rPr>
          <w:rFonts w:asciiTheme="minorHAnsi" w:eastAsiaTheme="minorEastAsia" w:hAnsiTheme="minorHAnsi"/>
          <w:b w:val="0"/>
          <w:noProof/>
          <w:color w:val="auto"/>
          <w:sz w:val="22"/>
          <w:lang w:eastAsia="en-AU"/>
        </w:rPr>
      </w:pPr>
      <w:hyperlink w:anchor="_Toc51682549" w:history="1">
        <w:r w:rsidRPr="00667FB9">
          <w:rPr>
            <w:rStyle w:val="Hyperlink"/>
            <w:noProof/>
          </w:rPr>
          <w:t>Assessment of proposed approach against relevant policy objectives</w:t>
        </w:r>
        <w:r>
          <w:rPr>
            <w:noProof/>
            <w:webHidden/>
          </w:rPr>
          <w:tab/>
        </w:r>
        <w:r>
          <w:rPr>
            <w:noProof/>
            <w:webHidden/>
          </w:rPr>
          <w:fldChar w:fldCharType="begin"/>
        </w:r>
        <w:r>
          <w:rPr>
            <w:noProof/>
            <w:webHidden/>
          </w:rPr>
          <w:instrText xml:space="preserve"> PAGEREF _Toc51682549 \h </w:instrText>
        </w:r>
        <w:r>
          <w:rPr>
            <w:noProof/>
            <w:webHidden/>
          </w:rPr>
        </w:r>
        <w:r>
          <w:rPr>
            <w:noProof/>
            <w:webHidden/>
          </w:rPr>
          <w:fldChar w:fldCharType="separate"/>
        </w:r>
        <w:r>
          <w:rPr>
            <w:noProof/>
            <w:webHidden/>
          </w:rPr>
          <w:t>9</w:t>
        </w:r>
        <w:r>
          <w:rPr>
            <w:noProof/>
            <w:webHidden/>
          </w:rPr>
          <w:fldChar w:fldCharType="end"/>
        </w:r>
      </w:hyperlink>
    </w:p>
    <w:p w:rsidR="00EC386A" w:rsidRDefault="00EC386A">
      <w:pPr>
        <w:pStyle w:val="TOC2"/>
        <w:rPr>
          <w:rFonts w:asciiTheme="minorHAnsi" w:eastAsiaTheme="minorEastAsia" w:hAnsiTheme="minorHAnsi"/>
          <w:noProof/>
          <w:sz w:val="22"/>
          <w:lang w:eastAsia="en-AU"/>
        </w:rPr>
      </w:pPr>
      <w:hyperlink w:anchor="_Toc51682550" w:history="1">
        <w:r w:rsidRPr="00667FB9">
          <w:rPr>
            <w:rStyle w:val="Hyperlink"/>
            <w:noProof/>
          </w:rPr>
          <w:t>Efficient allocation and use of spectrum</w:t>
        </w:r>
        <w:r>
          <w:rPr>
            <w:noProof/>
            <w:webHidden/>
          </w:rPr>
          <w:tab/>
        </w:r>
        <w:r>
          <w:rPr>
            <w:noProof/>
            <w:webHidden/>
          </w:rPr>
          <w:fldChar w:fldCharType="begin"/>
        </w:r>
        <w:r>
          <w:rPr>
            <w:noProof/>
            <w:webHidden/>
          </w:rPr>
          <w:instrText xml:space="preserve"> PAGEREF _Toc51682550 \h </w:instrText>
        </w:r>
        <w:r>
          <w:rPr>
            <w:noProof/>
            <w:webHidden/>
          </w:rPr>
        </w:r>
        <w:r>
          <w:rPr>
            <w:noProof/>
            <w:webHidden/>
          </w:rPr>
          <w:fldChar w:fldCharType="separate"/>
        </w:r>
        <w:r>
          <w:rPr>
            <w:noProof/>
            <w:webHidden/>
          </w:rPr>
          <w:t>9</w:t>
        </w:r>
        <w:r>
          <w:rPr>
            <w:noProof/>
            <w:webHidden/>
          </w:rPr>
          <w:fldChar w:fldCharType="end"/>
        </w:r>
      </w:hyperlink>
    </w:p>
    <w:p w:rsidR="00EC386A" w:rsidRDefault="00EC386A">
      <w:pPr>
        <w:pStyle w:val="TOC2"/>
        <w:rPr>
          <w:rFonts w:asciiTheme="minorHAnsi" w:eastAsiaTheme="minorEastAsia" w:hAnsiTheme="minorHAnsi"/>
          <w:noProof/>
          <w:sz w:val="22"/>
          <w:lang w:eastAsia="en-AU"/>
        </w:rPr>
      </w:pPr>
      <w:hyperlink w:anchor="_Toc51682551" w:history="1">
        <w:r w:rsidRPr="00667FB9">
          <w:rPr>
            <w:rStyle w:val="Hyperlink"/>
            <w:noProof/>
          </w:rPr>
          <w:t>Facilitate flexible spectrum management</w:t>
        </w:r>
        <w:r>
          <w:rPr>
            <w:noProof/>
            <w:webHidden/>
          </w:rPr>
          <w:tab/>
        </w:r>
        <w:r>
          <w:rPr>
            <w:noProof/>
            <w:webHidden/>
          </w:rPr>
          <w:fldChar w:fldCharType="begin"/>
        </w:r>
        <w:r>
          <w:rPr>
            <w:noProof/>
            <w:webHidden/>
          </w:rPr>
          <w:instrText xml:space="preserve"> PAGEREF _Toc51682551 \h </w:instrText>
        </w:r>
        <w:r>
          <w:rPr>
            <w:noProof/>
            <w:webHidden/>
          </w:rPr>
        </w:r>
        <w:r>
          <w:rPr>
            <w:noProof/>
            <w:webHidden/>
          </w:rPr>
          <w:fldChar w:fldCharType="separate"/>
        </w:r>
        <w:r>
          <w:rPr>
            <w:noProof/>
            <w:webHidden/>
          </w:rPr>
          <w:t>9</w:t>
        </w:r>
        <w:r>
          <w:rPr>
            <w:noProof/>
            <w:webHidden/>
          </w:rPr>
          <w:fldChar w:fldCharType="end"/>
        </w:r>
      </w:hyperlink>
    </w:p>
    <w:p w:rsidR="00EC386A" w:rsidRDefault="00EC386A">
      <w:pPr>
        <w:pStyle w:val="TOC2"/>
        <w:rPr>
          <w:rFonts w:asciiTheme="minorHAnsi" w:eastAsiaTheme="minorEastAsia" w:hAnsiTheme="minorHAnsi"/>
          <w:noProof/>
          <w:sz w:val="22"/>
          <w:lang w:eastAsia="en-AU"/>
        </w:rPr>
      </w:pPr>
      <w:hyperlink w:anchor="_Toc51682552" w:history="1">
        <w:r w:rsidRPr="00667FB9">
          <w:rPr>
            <w:rStyle w:val="Hyperlink"/>
            <w:noProof/>
          </w:rPr>
          <w:t>Rollout of 5G technologies</w:t>
        </w:r>
        <w:r>
          <w:rPr>
            <w:noProof/>
            <w:webHidden/>
          </w:rPr>
          <w:tab/>
        </w:r>
        <w:r>
          <w:rPr>
            <w:noProof/>
            <w:webHidden/>
          </w:rPr>
          <w:fldChar w:fldCharType="begin"/>
        </w:r>
        <w:r>
          <w:rPr>
            <w:noProof/>
            <w:webHidden/>
          </w:rPr>
          <w:instrText xml:space="preserve"> PAGEREF _Toc51682552 \h </w:instrText>
        </w:r>
        <w:r>
          <w:rPr>
            <w:noProof/>
            <w:webHidden/>
          </w:rPr>
        </w:r>
        <w:r>
          <w:rPr>
            <w:noProof/>
            <w:webHidden/>
          </w:rPr>
          <w:fldChar w:fldCharType="separate"/>
        </w:r>
        <w:r>
          <w:rPr>
            <w:noProof/>
            <w:webHidden/>
          </w:rPr>
          <w:t>10</w:t>
        </w:r>
        <w:r>
          <w:rPr>
            <w:noProof/>
            <w:webHidden/>
          </w:rPr>
          <w:fldChar w:fldCharType="end"/>
        </w:r>
      </w:hyperlink>
    </w:p>
    <w:p w:rsidR="00EC386A" w:rsidRDefault="00EC386A">
      <w:pPr>
        <w:pStyle w:val="TOC2"/>
        <w:rPr>
          <w:rFonts w:asciiTheme="minorHAnsi" w:eastAsiaTheme="minorEastAsia" w:hAnsiTheme="minorHAnsi"/>
          <w:noProof/>
          <w:sz w:val="22"/>
          <w:lang w:eastAsia="en-AU"/>
        </w:rPr>
      </w:pPr>
      <w:hyperlink w:anchor="_Toc51682553" w:history="1">
        <w:r w:rsidRPr="00667FB9">
          <w:rPr>
            <w:rStyle w:val="Hyperlink"/>
            <w:noProof/>
          </w:rPr>
          <w:t>Improving broadband access for all Australians</w:t>
        </w:r>
        <w:r>
          <w:rPr>
            <w:noProof/>
            <w:webHidden/>
          </w:rPr>
          <w:tab/>
        </w:r>
        <w:r>
          <w:rPr>
            <w:noProof/>
            <w:webHidden/>
          </w:rPr>
          <w:fldChar w:fldCharType="begin"/>
        </w:r>
        <w:r>
          <w:rPr>
            <w:noProof/>
            <w:webHidden/>
          </w:rPr>
          <w:instrText xml:space="preserve"> PAGEREF _Toc51682553 \h </w:instrText>
        </w:r>
        <w:r>
          <w:rPr>
            <w:noProof/>
            <w:webHidden/>
          </w:rPr>
        </w:r>
        <w:r>
          <w:rPr>
            <w:noProof/>
            <w:webHidden/>
          </w:rPr>
          <w:fldChar w:fldCharType="separate"/>
        </w:r>
        <w:r>
          <w:rPr>
            <w:noProof/>
            <w:webHidden/>
          </w:rPr>
          <w:t>10</w:t>
        </w:r>
        <w:r>
          <w:rPr>
            <w:noProof/>
            <w:webHidden/>
          </w:rPr>
          <w:fldChar w:fldCharType="end"/>
        </w:r>
      </w:hyperlink>
    </w:p>
    <w:p w:rsidR="00EC386A" w:rsidRDefault="00EC386A">
      <w:pPr>
        <w:pStyle w:val="TOC1"/>
        <w:rPr>
          <w:rFonts w:asciiTheme="minorHAnsi" w:eastAsiaTheme="minorEastAsia" w:hAnsiTheme="minorHAnsi"/>
          <w:b w:val="0"/>
          <w:noProof/>
          <w:color w:val="auto"/>
          <w:sz w:val="22"/>
          <w:lang w:eastAsia="en-AU"/>
        </w:rPr>
      </w:pPr>
      <w:hyperlink w:anchor="_Toc51682554" w:history="1">
        <w:r w:rsidRPr="00667FB9">
          <w:rPr>
            <w:rStyle w:val="Hyperlink"/>
            <w:noProof/>
          </w:rPr>
          <w:t>Consultation questions</w:t>
        </w:r>
        <w:r>
          <w:rPr>
            <w:noProof/>
            <w:webHidden/>
          </w:rPr>
          <w:tab/>
        </w:r>
        <w:r>
          <w:rPr>
            <w:noProof/>
            <w:webHidden/>
          </w:rPr>
          <w:fldChar w:fldCharType="begin"/>
        </w:r>
        <w:r>
          <w:rPr>
            <w:noProof/>
            <w:webHidden/>
          </w:rPr>
          <w:instrText xml:space="preserve"> PAGEREF _Toc51682554 \h </w:instrText>
        </w:r>
        <w:r>
          <w:rPr>
            <w:noProof/>
            <w:webHidden/>
          </w:rPr>
        </w:r>
        <w:r>
          <w:rPr>
            <w:noProof/>
            <w:webHidden/>
          </w:rPr>
          <w:fldChar w:fldCharType="separate"/>
        </w:r>
        <w:r>
          <w:rPr>
            <w:noProof/>
            <w:webHidden/>
          </w:rPr>
          <w:t>12</w:t>
        </w:r>
        <w:r>
          <w:rPr>
            <w:noProof/>
            <w:webHidden/>
          </w:rPr>
          <w:fldChar w:fldCharType="end"/>
        </w:r>
      </w:hyperlink>
    </w:p>
    <w:p w:rsidR="00EC386A" w:rsidRDefault="00EC386A">
      <w:pPr>
        <w:pStyle w:val="TOC1"/>
        <w:rPr>
          <w:rFonts w:asciiTheme="minorHAnsi" w:eastAsiaTheme="minorEastAsia" w:hAnsiTheme="minorHAnsi"/>
          <w:b w:val="0"/>
          <w:noProof/>
          <w:color w:val="auto"/>
          <w:sz w:val="22"/>
          <w:lang w:eastAsia="en-AU"/>
        </w:rPr>
      </w:pPr>
      <w:hyperlink w:anchor="_Toc51682555" w:history="1">
        <w:r w:rsidRPr="00667FB9">
          <w:rPr>
            <w:rStyle w:val="Hyperlink"/>
            <w:noProof/>
          </w:rPr>
          <w:t>Next steps</w:t>
        </w:r>
        <w:r>
          <w:rPr>
            <w:noProof/>
            <w:webHidden/>
          </w:rPr>
          <w:tab/>
        </w:r>
        <w:r>
          <w:rPr>
            <w:noProof/>
            <w:webHidden/>
          </w:rPr>
          <w:fldChar w:fldCharType="begin"/>
        </w:r>
        <w:r>
          <w:rPr>
            <w:noProof/>
            <w:webHidden/>
          </w:rPr>
          <w:instrText xml:space="preserve"> PAGEREF _Toc51682555 \h </w:instrText>
        </w:r>
        <w:r>
          <w:rPr>
            <w:noProof/>
            <w:webHidden/>
          </w:rPr>
        </w:r>
        <w:r>
          <w:rPr>
            <w:noProof/>
            <w:webHidden/>
          </w:rPr>
          <w:fldChar w:fldCharType="separate"/>
        </w:r>
        <w:r>
          <w:rPr>
            <w:noProof/>
            <w:webHidden/>
          </w:rPr>
          <w:t>13</w:t>
        </w:r>
        <w:r>
          <w:rPr>
            <w:noProof/>
            <w:webHidden/>
          </w:rPr>
          <w:fldChar w:fldCharType="end"/>
        </w:r>
      </w:hyperlink>
    </w:p>
    <w:p w:rsidR="00EC386A" w:rsidRDefault="00EC386A">
      <w:pPr>
        <w:pStyle w:val="TOC1"/>
        <w:rPr>
          <w:rFonts w:asciiTheme="minorHAnsi" w:eastAsiaTheme="minorEastAsia" w:hAnsiTheme="minorHAnsi"/>
          <w:b w:val="0"/>
          <w:noProof/>
          <w:color w:val="auto"/>
          <w:sz w:val="22"/>
          <w:lang w:eastAsia="en-AU"/>
        </w:rPr>
      </w:pPr>
      <w:hyperlink w:anchor="_Toc51682556" w:history="1">
        <w:r w:rsidRPr="00667FB9">
          <w:rPr>
            <w:rStyle w:val="Hyperlink"/>
            <w:noProof/>
          </w:rPr>
          <w:t>Feedback options</w:t>
        </w:r>
        <w:r>
          <w:rPr>
            <w:noProof/>
            <w:webHidden/>
          </w:rPr>
          <w:tab/>
        </w:r>
        <w:r>
          <w:rPr>
            <w:noProof/>
            <w:webHidden/>
          </w:rPr>
          <w:fldChar w:fldCharType="begin"/>
        </w:r>
        <w:r>
          <w:rPr>
            <w:noProof/>
            <w:webHidden/>
          </w:rPr>
          <w:instrText xml:space="preserve"> PAGEREF _Toc51682556 \h </w:instrText>
        </w:r>
        <w:r>
          <w:rPr>
            <w:noProof/>
            <w:webHidden/>
          </w:rPr>
        </w:r>
        <w:r>
          <w:rPr>
            <w:noProof/>
            <w:webHidden/>
          </w:rPr>
          <w:fldChar w:fldCharType="separate"/>
        </w:r>
        <w:r>
          <w:rPr>
            <w:noProof/>
            <w:webHidden/>
          </w:rPr>
          <w:t>14</w:t>
        </w:r>
        <w:r>
          <w:rPr>
            <w:noProof/>
            <w:webHidden/>
          </w:rPr>
          <w:fldChar w:fldCharType="end"/>
        </w:r>
      </w:hyperlink>
    </w:p>
    <w:p w:rsidR="00EC386A" w:rsidRDefault="00EC386A">
      <w:pPr>
        <w:pStyle w:val="TOC2"/>
        <w:rPr>
          <w:rFonts w:asciiTheme="minorHAnsi" w:eastAsiaTheme="minorEastAsia" w:hAnsiTheme="minorHAnsi"/>
          <w:noProof/>
          <w:sz w:val="22"/>
          <w:lang w:eastAsia="en-AU"/>
        </w:rPr>
      </w:pPr>
      <w:hyperlink w:anchor="_Toc51682557" w:history="1">
        <w:r w:rsidRPr="00667FB9">
          <w:rPr>
            <w:rStyle w:val="Hyperlink"/>
            <w:noProof/>
          </w:rPr>
          <w:t>Publication of submissions</w:t>
        </w:r>
        <w:r>
          <w:rPr>
            <w:noProof/>
            <w:webHidden/>
          </w:rPr>
          <w:tab/>
        </w:r>
        <w:r>
          <w:rPr>
            <w:noProof/>
            <w:webHidden/>
          </w:rPr>
          <w:fldChar w:fldCharType="begin"/>
        </w:r>
        <w:r>
          <w:rPr>
            <w:noProof/>
            <w:webHidden/>
          </w:rPr>
          <w:instrText xml:space="preserve"> PAGEREF _Toc51682557 \h </w:instrText>
        </w:r>
        <w:r>
          <w:rPr>
            <w:noProof/>
            <w:webHidden/>
          </w:rPr>
        </w:r>
        <w:r>
          <w:rPr>
            <w:noProof/>
            <w:webHidden/>
          </w:rPr>
          <w:fldChar w:fldCharType="separate"/>
        </w:r>
        <w:r>
          <w:rPr>
            <w:noProof/>
            <w:webHidden/>
          </w:rPr>
          <w:t>14</w:t>
        </w:r>
        <w:r>
          <w:rPr>
            <w:noProof/>
            <w:webHidden/>
          </w:rPr>
          <w:fldChar w:fldCharType="end"/>
        </w:r>
      </w:hyperlink>
    </w:p>
    <w:p w:rsidR="00EC386A" w:rsidRDefault="00EC386A">
      <w:pPr>
        <w:pStyle w:val="TOC2"/>
        <w:rPr>
          <w:rFonts w:asciiTheme="minorHAnsi" w:eastAsiaTheme="minorEastAsia" w:hAnsiTheme="minorHAnsi"/>
          <w:noProof/>
          <w:sz w:val="22"/>
          <w:lang w:eastAsia="en-AU"/>
        </w:rPr>
      </w:pPr>
      <w:hyperlink w:anchor="_Toc51682558" w:history="1">
        <w:r w:rsidRPr="00667FB9">
          <w:rPr>
            <w:rStyle w:val="Hyperlink"/>
            <w:noProof/>
          </w:rPr>
          <w:t>Privacy</w:t>
        </w:r>
        <w:r>
          <w:rPr>
            <w:noProof/>
            <w:webHidden/>
          </w:rPr>
          <w:tab/>
        </w:r>
        <w:r>
          <w:rPr>
            <w:noProof/>
            <w:webHidden/>
          </w:rPr>
          <w:fldChar w:fldCharType="begin"/>
        </w:r>
        <w:r>
          <w:rPr>
            <w:noProof/>
            <w:webHidden/>
          </w:rPr>
          <w:instrText xml:space="preserve"> PAGEREF _Toc51682558 \h </w:instrText>
        </w:r>
        <w:r>
          <w:rPr>
            <w:noProof/>
            <w:webHidden/>
          </w:rPr>
        </w:r>
        <w:r>
          <w:rPr>
            <w:noProof/>
            <w:webHidden/>
          </w:rPr>
          <w:fldChar w:fldCharType="separate"/>
        </w:r>
        <w:r>
          <w:rPr>
            <w:noProof/>
            <w:webHidden/>
          </w:rPr>
          <w:t>14</w:t>
        </w:r>
        <w:r>
          <w:rPr>
            <w:noProof/>
            <w:webHidden/>
          </w:rPr>
          <w:fldChar w:fldCharType="end"/>
        </w:r>
      </w:hyperlink>
    </w:p>
    <w:p w:rsidR="00EC386A" w:rsidRDefault="00EC386A">
      <w:pPr>
        <w:pStyle w:val="TOC1"/>
        <w:rPr>
          <w:rFonts w:asciiTheme="minorHAnsi" w:eastAsiaTheme="minorEastAsia" w:hAnsiTheme="minorHAnsi"/>
          <w:b w:val="0"/>
          <w:noProof/>
          <w:color w:val="auto"/>
          <w:sz w:val="22"/>
          <w:lang w:eastAsia="en-AU"/>
        </w:rPr>
      </w:pPr>
      <w:hyperlink w:anchor="_Toc51682559" w:history="1">
        <w:r w:rsidRPr="00667FB9">
          <w:rPr>
            <w:rStyle w:val="Hyperlink"/>
            <w:noProof/>
          </w:rPr>
          <w:t>Attachment A: HCIS description and images of designated areas</w:t>
        </w:r>
        <w:r>
          <w:rPr>
            <w:noProof/>
            <w:webHidden/>
          </w:rPr>
          <w:tab/>
        </w:r>
        <w:r>
          <w:rPr>
            <w:noProof/>
            <w:webHidden/>
          </w:rPr>
          <w:fldChar w:fldCharType="begin"/>
        </w:r>
        <w:r>
          <w:rPr>
            <w:noProof/>
            <w:webHidden/>
          </w:rPr>
          <w:instrText xml:space="preserve"> PAGEREF _Toc51682559 \h </w:instrText>
        </w:r>
        <w:r>
          <w:rPr>
            <w:noProof/>
            <w:webHidden/>
          </w:rPr>
        </w:r>
        <w:r>
          <w:rPr>
            <w:noProof/>
            <w:webHidden/>
          </w:rPr>
          <w:fldChar w:fldCharType="separate"/>
        </w:r>
        <w:r>
          <w:rPr>
            <w:noProof/>
            <w:webHidden/>
          </w:rPr>
          <w:t>15</w:t>
        </w:r>
        <w:r>
          <w:rPr>
            <w:noProof/>
            <w:webHidden/>
          </w:rPr>
          <w:fldChar w:fldCharType="end"/>
        </w:r>
      </w:hyperlink>
    </w:p>
    <w:p w:rsidR="00EC386A" w:rsidRDefault="00EC386A">
      <w:pPr>
        <w:pStyle w:val="TOC1"/>
        <w:rPr>
          <w:rFonts w:asciiTheme="minorHAnsi" w:eastAsiaTheme="minorEastAsia" w:hAnsiTheme="minorHAnsi"/>
          <w:b w:val="0"/>
          <w:noProof/>
          <w:color w:val="auto"/>
          <w:sz w:val="22"/>
          <w:lang w:eastAsia="en-AU"/>
        </w:rPr>
      </w:pPr>
      <w:hyperlink w:anchor="_Toc51682560" w:history="1">
        <w:r w:rsidRPr="00667FB9">
          <w:rPr>
            <w:rStyle w:val="Hyperlink"/>
            <w:noProof/>
          </w:rPr>
          <w:t>Attachment B: NBN Co’s PTS licence areas</w:t>
        </w:r>
        <w:r>
          <w:rPr>
            <w:noProof/>
            <w:webHidden/>
          </w:rPr>
          <w:tab/>
        </w:r>
        <w:r>
          <w:rPr>
            <w:noProof/>
            <w:webHidden/>
          </w:rPr>
          <w:fldChar w:fldCharType="begin"/>
        </w:r>
        <w:r>
          <w:rPr>
            <w:noProof/>
            <w:webHidden/>
          </w:rPr>
          <w:instrText xml:space="preserve"> PAGEREF _Toc51682560 \h </w:instrText>
        </w:r>
        <w:r>
          <w:rPr>
            <w:noProof/>
            <w:webHidden/>
          </w:rPr>
        </w:r>
        <w:r>
          <w:rPr>
            <w:noProof/>
            <w:webHidden/>
          </w:rPr>
          <w:fldChar w:fldCharType="separate"/>
        </w:r>
        <w:r>
          <w:rPr>
            <w:noProof/>
            <w:webHidden/>
          </w:rPr>
          <w:t>24</w:t>
        </w:r>
        <w:r>
          <w:rPr>
            <w:noProof/>
            <w:webHidden/>
          </w:rPr>
          <w:fldChar w:fldCharType="end"/>
        </w:r>
      </w:hyperlink>
    </w:p>
    <w:p w:rsidR="00EC386A" w:rsidRDefault="00EC386A">
      <w:pPr>
        <w:pStyle w:val="TOC1"/>
        <w:rPr>
          <w:rFonts w:asciiTheme="minorHAnsi" w:eastAsiaTheme="minorEastAsia" w:hAnsiTheme="minorHAnsi"/>
          <w:b w:val="0"/>
          <w:noProof/>
          <w:color w:val="auto"/>
          <w:sz w:val="22"/>
          <w:lang w:eastAsia="en-AU"/>
        </w:rPr>
      </w:pPr>
      <w:hyperlink w:anchor="_Toc51682561" w:history="1">
        <w:r w:rsidRPr="00667FB9">
          <w:rPr>
            <w:rStyle w:val="Hyperlink"/>
            <w:noProof/>
          </w:rPr>
          <w:t>Attachment C: Proposed urban excise areas</w:t>
        </w:r>
        <w:r>
          <w:rPr>
            <w:noProof/>
            <w:webHidden/>
          </w:rPr>
          <w:tab/>
        </w:r>
        <w:r>
          <w:rPr>
            <w:noProof/>
            <w:webHidden/>
          </w:rPr>
          <w:fldChar w:fldCharType="begin"/>
        </w:r>
        <w:r>
          <w:rPr>
            <w:noProof/>
            <w:webHidden/>
          </w:rPr>
          <w:instrText xml:space="preserve"> PAGEREF _Toc51682561 \h </w:instrText>
        </w:r>
        <w:r>
          <w:rPr>
            <w:noProof/>
            <w:webHidden/>
          </w:rPr>
        </w:r>
        <w:r>
          <w:rPr>
            <w:noProof/>
            <w:webHidden/>
          </w:rPr>
          <w:fldChar w:fldCharType="separate"/>
        </w:r>
        <w:r>
          <w:rPr>
            <w:noProof/>
            <w:webHidden/>
          </w:rPr>
          <w:t>26</w:t>
        </w:r>
        <w:r>
          <w:rPr>
            <w:noProof/>
            <w:webHidden/>
          </w:rPr>
          <w:fldChar w:fldCharType="end"/>
        </w:r>
      </w:hyperlink>
    </w:p>
    <w:p w:rsidR="00A82DAF" w:rsidRDefault="00A82DAF" w:rsidP="00A82DAF">
      <w:r>
        <w:fldChar w:fldCharType="end"/>
      </w:r>
    </w:p>
    <w:p w:rsidR="00A82DAF" w:rsidRPr="005113AA" w:rsidRDefault="00A82DAF" w:rsidP="00A82DAF">
      <w:pPr>
        <w:pStyle w:val="Heading2notshowing"/>
      </w:pPr>
      <w:r w:rsidRPr="005113AA">
        <w:t>Tables / images</w:t>
      </w:r>
    </w:p>
    <w:p w:rsidR="00EC386A" w:rsidRDefault="00A82DAF">
      <w:pPr>
        <w:pStyle w:val="TOC4"/>
        <w:rPr>
          <w:rFonts w:asciiTheme="minorHAnsi" w:eastAsiaTheme="minorEastAsia" w:hAnsiTheme="minorHAnsi"/>
          <w:noProof/>
          <w:sz w:val="22"/>
          <w:lang w:eastAsia="en-AU"/>
        </w:rPr>
      </w:pPr>
      <w:r w:rsidRPr="005113AA">
        <w:rPr>
          <w:rFonts w:ascii="Calibri" w:eastAsia="PMingLiU" w:hAnsi="Calibri" w:cs="Mangal"/>
        </w:rPr>
        <w:fldChar w:fldCharType="begin"/>
      </w:r>
      <w:r w:rsidRPr="005113AA">
        <w:rPr>
          <w:rFonts w:ascii="Calibri" w:eastAsia="PMingLiU" w:hAnsi="Calibri" w:cs="Mangal"/>
        </w:rPr>
        <w:instrText xml:space="preserve"> TOC \h \z \t "Table/figure heading,4,Table heading,4" </w:instrText>
      </w:r>
      <w:r w:rsidRPr="005113AA">
        <w:rPr>
          <w:rFonts w:ascii="Calibri" w:eastAsia="PMingLiU" w:hAnsi="Calibri" w:cs="Mangal"/>
        </w:rPr>
        <w:fldChar w:fldCharType="separate"/>
      </w:r>
      <w:hyperlink w:anchor="_Toc51682562" w:history="1">
        <w:r w:rsidR="00EC386A" w:rsidRPr="00870A3F">
          <w:rPr>
            <w:rStyle w:val="Hyperlink"/>
            <w:noProof/>
          </w:rPr>
          <w:t>HCIS description and images of designated areas</w:t>
        </w:r>
        <w:r w:rsidR="00EC386A">
          <w:rPr>
            <w:noProof/>
            <w:webHidden/>
          </w:rPr>
          <w:tab/>
        </w:r>
        <w:r w:rsidR="00EC386A">
          <w:rPr>
            <w:noProof/>
            <w:webHidden/>
          </w:rPr>
          <w:fldChar w:fldCharType="begin"/>
        </w:r>
        <w:r w:rsidR="00EC386A">
          <w:rPr>
            <w:noProof/>
            <w:webHidden/>
          </w:rPr>
          <w:instrText xml:space="preserve"> PAGEREF _Toc51682562 \h </w:instrText>
        </w:r>
        <w:r w:rsidR="00EC386A">
          <w:rPr>
            <w:noProof/>
            <w:webHidden/>
          </w:rPr>
        </w:r>
        <w:r w:rsidR="00EC386A">
          <w:rPr>
            <w:noProof/>
            <w:webHidden/>
          </w:rPr>
          <w:fldChar w:fldCharType="separate"/>
        </w:r>
        <w:r w:rsidR="00EC386A">
          <w:rPr>
            <w:noProof/>
            <w:webHidden/>
          </w:rPr>
          <w:t>15</w:t>
        </w:r>
        <w:r w:rsidR="00EC386A">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63" w:history="1">
        <w:r w:rsidRPr="00870A3F">
          <w:rPr>
            <w:rStyle w:val="Hyperlink"/>
            <w:noProof/>
          </w:rPr>
          <w:t>3400–3425 MHz</w:t>
        </w:r>
        <w:r>
          <w:rPr>
            <w:noProof/>
            <w:webHidden/>
          </w:rPr>
          <w:tab/>
        </w:r>
        <w:r>
          <w:rPr>
            <w:noProof/>
            <w:webHidden/>
          </w:rPr>
          <w:fldChar w:fldCharType="begin"/>
        </w:r>
        <w:r>
          <w:rPr>
            <w:noProof/>
            <w:webHidden/>
          </w:rPr>
          <w:instrText xml:space="preserve"> PAGEREF _Toc51682563 \h </w:instrText>
        </w:r>
        <w:r>
          <w:rPr>
            <w:noProof/>
            <w:webHidden/>
          </w:rPr>
        </w:r>
        <w:r>
          <w:rPr>
            <w:noProof/>
            <w:webHidden/>
          </w:rPr>
          <w:fldChar w:fldCharType="separate"/>
        </w:r>
        <w:r>
          <w:rPr>
            <w:noProof/>
            <w:webHidden/>
          </w:rPr>
          <w:t>21</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64" w:history="1">
        <w:r w:rsidRPr="00870A3F">
          <w:rPr>
            <w:rStyle w:val="Hyperlink"/>
            <w:noProof/>
          </w:rPr>
          <w:t>3425–3442.5 MHz</w:t>
        </w:r>
        <w:r>
          <w:rPr>
            <w:noProof/>
            <w:webHidden/>
          </w:rPr>
          <w:tab/>
        </w:r>
        <w:r>
          <w:rPr>
            <w:noProof/>
            <w:webHidden/>
          </w:rPr>
          <w:fldChar w:fldCharType="begin"/>
        </w:r>
        <w:r>
          <w:rPr>
            <w:noProof/>
            <w:webHidden/>
          </w:rPr>
          <w:instrText xml:space="preserve"> PAGEREF _Toc51682564 \h </w:instrText>
        </w:r>
        <w:r>
          <w:rPr>
            <w:noProof/>
            <w:webHidden/>
          </w:rPr>
        </w:r>
        <w:r>
          <w:rPr>
            <w:noProof/>
            <w:webHidden/>
          </w:rPr>
          <w:fldChar w:fldCharType="separate"/>
        </w:r>
        <w:r>
          <w:rPr>
            <w:noProof/>
            <w:webHidden/>
          </w:rPr>
          <w:t>21</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65" w:history="1">
        <w:r w:rsidRPr="00870A3F">
          <w:rPr>
            <w:rStyle w:val="Hyperlink"/>
            <w:noProof/>
          </w:rPr>
          <w:t>3442.5–3475 MHz</w:t>
        </w:r>
        <w:r>
          <w:rPr>
            <w:noProof/>
            <w:webHidden/>
          </w:rPr>
          <w:tab/>
        </w:r>
        <w:r>
          <w:rPr>
            <w:noProof/>
            <w:webHidden/>
          </w:rPr>
          <w:fldChar w:fldCharType="begin"/>
        </w:r>
        <w:r>
          <w:rPr>
            <w:noProof/>
            <w:webHidden/>
          </w:rPr>
          <w:instrText xml:space="preserve"> PAGEREF _Toc51682565 \h </w:instrText>
        </w:r>
        <w:r>
          <w:rPr>
            <w:noProof/>
            <w:webHidden/>
          </w:rPr>
        </w:r>
        <w:r>
          <w:rPr>
            <w:noProof/>
            <w:webHidden/>
          </w:rPr>
          <w:fldChar w:fldCharType="separate"/>
        </w:r>
        <w:r>
          <w:rPr>
            <w:noProof/>
            <w:webHidden/>
          </w:rPr>
          <w:t>22</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66" w:history="1">
        <w:r w:rsidRPr="00870A3F">
          <w:rPr>
            <w:rStyle w:val="Hyperlink"/>
            <w:noProof/>
          </w:rPr>
          <w:t>3492.5–3510 MHz</w:t>
        </w:r>
        <w:r>
          <w:rPr>
            <w:noProof/>
            <w:webHidden/>
          </w:rPr>
          <w:tab/>
        </w:r>
        <w:r>
          <w:rPr>
            <w:noProof/>
            <w:webHidden/>
          </w:rPr>
          <w:fldChar w:fldCharType="begin"/>
        </w:r>
        <w:r>
          <w:rPr>
            <w:noProof/>
            <w:webHidden/>
          </w:rPr>
          <w:instrText xml:space="preserve"> PAGEREF _Toc51682566 \h </w:instrText>
        </w:r>
        <w:r>
          <w:rPr>
            <w:noProof/>
            <w:webHidden/>
          </w:rPr>
        </w:r>
        <w:r>
          <w:rPr>
            <w:noProof/>
            <w:webHidden/>
          </w:rPr>
          <w:fldChar w:fldCharType="separate"/>
        </w:r>
        <w:r>
          <w:rPr>
            <w:noProof/>
            <w:webHidden/>
          </w:rPr>
          <w:t>22</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67" w:history="1">
        <w:r w:rsidRPr="00870A3F">
          <w:rPr>
            <w:rStyle w:val="Hyperlink"/>
            <w:noProof/>
          </w:rPr>
          <w:t>3510–3542.5 MHz</w:t>
        </w:r>
        <w:r>
          <w:rPr>
            <w:noProof/>
            <w:webHidden/>
          </w:rPr>
          <w:tab/>
        </w:r>
        <w:r>
          <w:rPr>
            <w:noProof/>
            <w:webHidden/>
          </w:rPr>
          <w:fldChar w:fldCharType="begin"/>
        </w:r>
        <w:r>
          <w:rPr>
            <w:noProof/>
            <w:webHidden/>
          </w:rPr>
          <w:instrText xml:space="preserve"> PAGEREF _Toc51682567 \h </w:instrText>
        </w:r>
        <w:r>
          <w:rPr>
            <w:noProof/>
            <w:webHidden/>
          </w:rPr>
        </w:r>
        <w:r>
          <w:rPr>
            <w:noProof/>
            <w:webHidden/>
          </w:rPr>
          <w:fldChar w:fldCharType="separate"/>
        </w:r>
        <w:r>
          <w:rPr>
            <w:noProof/>
            <w:webHidden/>
          </w:rPr>
          <w:t>23</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68" w:history="1">
        <w:r w:rsidRPr="00870A3F">
          <w:rPr>
            <w:rStyle w:val="Hyperlink"/>
            <w:noProof/>
          </w:rPr>
          <w:t>NBN Co’s PTS licence areas</w:t>
        </w:r>
        <w:r>
          <w:rPr>
            <w:noProof/>
            <w:webHidden/>
          </w:rPr>
          <w:tab/>
        </w:r>
        <w:r>
          <w:rPr>
            <w:noProof/>
            <w:webHidden/>
          </w:rPr>
          <w:fldChar w:fldCharType="begin"/>
        </w:r>
        <w:r>
          <w:rPr>
            <w:noProof/>
            <w:webHidden/>
          </w:rPr>
          <w:instrText xml:space="preserve"> PAGEREF _Toc51682568 \h </w:instrText>
        </w:r>
        <w:r>
          <w:rPr>
            <w:noProof/>
            <w:webHidden/>
          </w:rPr>
        </w:r>
        <w:r>
          <w:rPr>
            <w:noProof/>
            <w:webHidden/>
          </w:rPr>
          <w:fldChar w:fldCharType="separate"/>
        </w:r>
        <w:r>
          <w:rPr>
            <w:noProof/>
            <w:webHidden/>
          </w:rPr>
          <w:t>24</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69" w:history="1">
        <w:r w:rsidRPr="00870A3F">
          <w:rPr>
            <w:rStyle w:val="Hyperlink"/>
            <w:noProof/>
          </w:rPr>
          <w:t>NBN Co’s PTS licence areas</w:t>
        </w:r>
        <w:r>
          <w:rPr>
            <w:noProof/>
            <w:webHidden/>
          </w:rPr>
          <w:tab/>
        </w:r>
        <w:r>
          <w:rPr>
            <w:noProof/>
            <w:webHidden/>
          </w:rPr>
          <w:fldChar w:fldCharType="begin"/>
        </w:r>
        <w:r>
          <w:rPr>
            <w:noProof/>
            <w:webHidden/>
          </w:rPr>
          <w:instrText xml:space="preserve"> PAGEREF _Toc51682569 \h </w:instrText>
        </w:r>
        <w:r>
          <w:rPr>
            <w:noProof/>
            <w:webHidden/>
          </w:rPr>
        </w:r>
        <w:r>
          <w:rPr>
            <w:noProof/>
            <w:webHidden/>
          </w:rPr>
          <w:fldChar w:fldCharType="separate"/>
        </w:r>
        <w:r>
          <w:rPr>
            <w:noProof/>
            <w:webHidden/>
          </w:rPr>
          <w:t>25</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70" w:history="1">
        <w:r w:rsidRPr="00870A3F">
          <w:rPr>
            <w:rStyle w:val="Hyperlink"/>
            <w:noProof/>
          </w:rPr>
          <w:t>Proposed urban excise areas</w:t>
        </w:r>
        <w:r>
          <w:rPr>
            <w:noProof/>
            <w:webHidden/>
          </w:rPr>
          <w:tab/>
        </w:r>
        <w:r>
          <w:rPr>
            <w:noProof/>
            <w:webHidden/>
          </w:rPr>
          <w:fldChar w:fldCharType="begin"/>
        </w:r>
        <w:r>
          <w:rPr>
            <w:noProof/>
            <w:webHidden/>
          </w:rPr>
          <w:instrText xml:space="preserve"> PAGEREF _Toc51682570 \h </w:instrText>
        </w:r>
        <w:r>
          <w:rPr>
            <w:noProof/>
            <w:webHidden/>
          </w:rPr>
        </w:r>
        <w:r>
          <w:rPr>
            <w:noProof/>
            <w:webHidden/>
          </w:rPr>
          <w:fldChar w:fldCharType="separate"/>
        </w:r>
        <w:r>
          <w:rPr>
            <w:noProof/>
            <w:webHidden/>
          </w:rPr>
          <w:t>26</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71" w:history="1">
        <w:r w:rsidRPr="00870A3F">
          <w:rPr>
            <w:rStyle w:val="Hyperlink"/>
            <w:noProof/>
          </w:rPr>
          <w:t>Adelaide</w:t>
        </w:r>
        <w:r>
          <w:rPr>
            <w:noProof/>
            <w:webHidden/>
          </w:rPr>
          <w:tab/>
        </w:r>
        <w:r>
          <w:rPr>
            <w:noProof/>
            <w:webHidden/>
          </w:rPr>
          <w:fldChar w:fldCharType="begin"/>
        </w:r>
        <w:r>
          <w:rPr>
            <w:noProof/>
            <w:webHidden/>
          </w:rPr>
          <w:instrText xml:space="preserve"> PAGEREF _Toc51682571 \h </w:instrText>
        </w:r>
        <w:r>
          <w:rPr>
            <w:noProof/>
            <w:webHidden/>
          </w:rPr>
        </w:r>
        <w:r>
          <w:rPr>
            <w:noProof/>
            <w:webHidden/>
          </w:rPr>
          <w:fldChar w:fldCharType="separate"/>
        </w:r>
        <w:r>
          <w:rPr>
            <w:noProof/>
            <w:webHidden/>
          </w:rPr>
          <w:t>26</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72" w:history="1">
        <w:r w:rsidRPr="00870A3F">
          <w:rPr>
            <w:rStyle w:val="Hyperlink"/>
            <w:noProof/>
          </w:rPr>
          <w:t>Brisbane</w:t>
        </w:r>
        <w:r>
          <w:rPr>
            <w:noProof/>
            <w:webHidden/>
          </w:rPr>
          <w:tab/>
        </w:r>
        <w:r>
          <w:rPr>
            <w:noProof/>
            <w:webHidden/>
          </w:rPr>
          <w:fldChar w:fldCharType="begin"/>
        </w:r>
        <w:r>
          <w:rPr>
            <w:noProof/>
            <w:webHidden/>
          </w:rPr>
          <w:instrText xml:space="preserve"> PAGEREF _Toc51682572 \h </w:instrText>
        </w:r>
        <w:r>
          <w:rPr>
            <w:noProof/>
            <w:webHidden/>
          </w:rPr>
        </w:r>
        <w:r>
          <w:rPr>
            <w:noProof/>
            <w:webHidden/>
          </w:rPr>
          <w:fldChar w:fldCharType="separate"/>
        </w:r>
        <w:r>
          <w:rPr>
            <w:noProof/>
            <w:webHidden/>
          </w:rPr>
          <w:t>27</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73" w:history="1">
        <w:r w:rsidRPr="00870A3F">
          <w:rPr>
            <w:rStyle w:val="Hyperlink"/>
            <w:noProof/>
          </w:rPr>
          <w:t>Canberra</w:t>
        </w:r>
        <w:r>
          <w:rPr>
            <w:noProof/>
            <w:webHidden/>
          </w:rPr>
          <w:tab/>
        </w:r>
        <w:r>
          <w:rPr>
            <w:noProof/>
            <w:webHidden/>
          </w:rPr>
          <w:fldChar w:fldCharType="begin"/>
        </w:r>
        <w:r>
          <w:rPr>
            <w:noProof/>
            <w:webHidden/>
          </w:rPr>
          <w:instrText xml:space="preserve"> PAGEREF _Toc51682573 \h </w:instrText>
        </w:r>
        <w:r>
          <w:rPr>
            <w:noProof/>
            <w:webHidden/>
          </w:rPr>
        </w:r>
        <w:r>
          <w:rPr>
            <w:noProof/>
            <w:webHidden/>
          </w:rPr>
          <w:fldChar w:fldCharType="separate"/>
        </w:r>
        <w:r>
          <w:rPr>
            <w:noProof/>
            <w:webHidden/>
          </w:rPr>
          <w:t>27</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74" w:history="1">
        <w:r w:rsidRPr="00870A3F">
          <w:rPr>
            <w:rStyle w:val="Hyperlink"/>
            <w:noProof/>
          </w:rPr>
          <w:t>Melbourne</w:t>
        </w:r>
        <w:r>
          <w:rPr>
            <w:noProof/>
            <w:webHidden/>
          </w:rPr>
          <w:tab/>
        </w:r>
        <w:r>
          <w:rPr>
            <w:noProof/>
            <w:webHidden/>
          </w:rPr>
          <w:fldChar w:fldCharType="begin"/>
        </w:r>
        <w:r>
          <w:rPr>
            <w:noProof/>
            <w:webHidden/>
          </w:rPr>
          <w:instrText xml:space="preserve"> PAGEREF _Toc51682574 \h </w:instrText>
        </w:r>
        <w:r>
          <w:rPr>
            <w:noProof/>
            <w:webHidden/>
          </w:rPr>
        </w:r>
        <w:r>
          <w:rPr>
            <w:noProof/>
            <w:webHidden/>
          </w:rPr>
          <w:fldChar w:fldCharType="separate"/>
        </w:r>
        <w:r>
          <w:rPr>
            <w:noProof/>
            <w:webHidden/>
          </w:rPr>
          <w:t>27</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75" w:history="1">
        <w:r w:rsidRPr="00870A3F">
          <w:rPr>
            <w:rStyle w:val="Hyperlink"/>
            <w:noProof/>
          </w:rPr>
          <w:t>Sydney</w:t>
        </w:r>
        <w:r>
          <w:rPr>
            <w:noProof/>
            <w:webHidden/>
          </w:rPr>
          <w:tab/>
        </w:r>
        <w:r>
          <w:rPr>
            <w:noProof/>
            <w:webHidden/>
          </w:rPr>
          <w:fldChar w:fldCharType="begin"/>
        </w:r>
        <w:r>
          <w:rPr>
            <w:noProof/>
            <w:webHidden/>
          </w:rPr>
          <w:instrText xml:space="preserve"> PAGEREF _Toc51682575 \h </w:instrText>
        </w:r>
        <w:r>
          <w:rPr>
            <w:noProof/>
            <w:webHidden/>
          </w:rPr>
        </w:r>
        <w:r>
          <w:rPr>
            <w:noProof/>
            <w:webHidden/>
          </w:rPr>
          <w:fldChar w:fldCharType="separate"/>
        </w:r>
        <w:r>
          <w:rPr>
            <w:noProof/>
            <w:webHidden/>
          </w:rPr>
          <w:t>28</w:t>
        </w:r>
        <w:r>
          <w:rPr>
            <w:noProof/>
            <w:webHidden/>
          </w:rPr>
          <w:fldChar w:fldCharType="end"/>
        </w:r>
      </w:hyperlink>
    </w:p>
    <w:p w:rsidR="00EC386A" w:rsidRDefault="00EC386A">
      <w:pPr>
        <w:pStyle w:val="TOC4"/>
        <w:rPr>
          <w:rFonts w:asciiTheme="minorHAnsi" w:eastAsiaTheme="minorEastAsia" w:hAnsiTheme="minorHAnsi"/>
          <w:noProof/>
          <w:sz w:val="22"/>
          <w:lang w:eastAsia="en-AU"/>
        </w:rPr>
      </w:pPr>
      <w:hyperlink w:anchor="_Toc51682576" w:history="1">
        <w:r w:rsidRPr="00870A3F">
          <w:rPr>
            <w:rStyle w:val="Hyperlink"/>
            <w:noProof/>
          </w:rPr>
          <w:t>Perth</w:t>
        </w:r>
        <w:r>
          <w:rPr>
            <w:rStyle w:val="Hyperlink"/>
            <w:noProof/>
          </w:rPr>
          <w:tab/>
        </w:r>
        <w:r>
          <w:rPr>
            <w:noProof/>
            <w:webHidden/>
          </w:rPr>
          <w:tab/>
        </w:r>
        <w:r>
          <w:rPr>
            <w:noProof/>
            <w:webHidden/>
          </w:rPr>
          <w:fldChar w:fldCharType="begin"/>
        </w:r>
        <w:r>
          <w:rPr>
            <w:noProof/>
            <w:webHidden/>
          </w:rPr>
          <w:instrText xml:space="preserve"> PAGEREF _Toc51682576 \h </w:instrText>
        </w:r>
        <w:r>
          <w:rPr>
            <w:noProof/>
            <w:webHidden/>
          </w:rPr>
        </w:r>
        <w:r>
          <w:rPr>
            <w:noProof/>
            <w:webHidden/>
          </w:rPr>
          <w:fldChar w:fldCharType="separate"/>
        </w:r>
        <w:r>
          <w:rPr>
            <w:noProof/>
            <w:webHidden/>
          </w:rPr>
          <w:t>28</w:t>
        </w:r>
        <w:r>
          <w:rPr>
            <w:noProof/>
            <w:webHidden/>
          </w:rPr>
          <w:fldChar w:fldCharType="end"/>
        </w:r>
      </w:hyperlink>
    </w:p>
    <w:p w:rsidR="00A82DAF" w:rsidRDefault="00A82DAF" w:rsidP="00A82DAF">
      <w:r w:rsidRPr="005113AA">
        <w:fldChar w:fldCharType="end"/>
      </w:r>
    </w:p>
    <w:p w:rsidR="002F1A23" w:rsidRDefault="002F1A23" w:rsidP="00E7227D">
      <w:pPr>
        <w:pStyle w:val="Normaldisclaimerpage"/>
        <w:ind w:left="567"/>
        <w:sectPr w:rsidR="002F1A23" w:rsidSect="002F1A23">
          <w:headerReference w:type="default" r:id="rId16"/>
          <w:type w:val="continuous"/>
          <w:pgSz w:w="11906" w:h="16838"/>
          <w:pgMar w:top="2268" w:right="991" w:bottom="1276" w:left="1440" w:header="0" w:footer="397" w:gutter="0"/>
          <w:cols w:space="708"/>
          <w:docGrid w:linePitch="360"/>
        </w:sectPr>
      </w:pPr>
    </w:p>
    <w:p w:rsidR="000244F7" w:rsidRPr="00462632" w:rsidRDefault="000244F7" w:rsidP="000A2893">
      <w:pPr>
        <w:pStyle w:val="Heading2"/>
      </w:pPr>
      <w:bookmarkStart w:id="0" w:name="_Toc50372344"/>
      <w:bookmarkStart w:id="1" w:name="_Toc51682543"/>
      <w:r w:rsidRPr="00462632">
        <w:lastRenderedPageBreak/>
        <w:t xml:space="preserve">Executive </w:t>
      </w:r>
      <w:r>
        <w:t>s</w:t>
      </w:r>
      <w:r w:rsidRPr="00462632">
        <w:t>ummary</w:t>
      </w:r>
      <w:bookmarkEnd w:id="0"/>
      <w:bookmarkEnd w:id="1"/>
    </w:p>
    <w:p w:rsidR="000244F7" w:rsidRPr="00462632" w:rsidRDefault="000244F7" w:rsidP="00BB5375">
      <w:pPr>
        <w:spacing w:after="120"/>
      </w:pPr>
      <w:r w:rsidRPr="00462632">
        <w:t>The Minister for Communications, Cyber Safety and the Arts (the Minister) is considering exercising his power under section 36 of the Radiocommunications Act 1992 (the Act) to designate parts of the spectrum in the 3.4 GHz band (from 3400 MHz to 3575 MHz) for allocation by spectrum licences with respect to specified areas. To support the Minister’s consideration of this issue, the Department of Infrastructure, Transport, Regional Development and Communications (the Department) is seeking stakeholder views on a possible designation of part of the 3.4 GHz band for spectrum licensing.</w:t>
      </w:r>
    </w:p>
    <w:p w:rsidR="00EA251A" w:rsidRDefault="000244F7" w:rsidP="00BB5375">
      <w:pPr>
        <w:spacing w:after="120"/>
      </w:pPr>
      <w:r w:rsidRPr="00462632">
        <w:t xml:space="preserve">The draft designation notice (the Notice) as drafted would designate for spectrum licensing the 3400–3425 MHz and 3492.5–3542.5 MHz portions of the band in metropolitan areas (the capital cities of Adelaide, Brisbane, Canberra, Melbourne, Perth and Sydney), 3400–3425 MHz in the major regional centres Albury, Ballarat and Bendigo, Cairns, Hobart, Launceston, Rockhampton, Toowoomba and Townsville, 3492.5–3510 MHz in Ballarat, Bendigo and Toowoomba, and in specified regional areas, 3400–3475 MHz and 3510–3542.5 </w:t>
      </w:r>
      <w:proofErr w:type="spellStart"/>
      <w:r w:rsidRPr="00462632">
        <w:t>MHz.</w:t>
      </w:r>
      <w:proofErr w:type="spellEnd"/>
      <w:r w:rsidRPr="00462632">
        <w:t xml:space="preserve"> Hierarchical Cell Identification Scheme (HCIS) identifiers of these geographic areas are provided along with images of the areas and frequencies proposed to be designated at </w:t>
      </w:r>
      <w:hyperlink w:anchor="_Attachment_A:_HCIS" w:history="1">
        <w:r w:rsidR="000C7DDA" w:rsidRPr="000C7DDA">
          <w:rPr>
            <w:rStyle w:val="Hyperlink"/>
          </w:rPr>
          <w:t>Attachment A</w:t>
        </w:r>
      </w:hyperlink>
      <w:r w:rsidRPr="00462632">
        <w:t>.</w:t>
      </w:r>
    </w:p>
    <w:p w:rsidR="000244F7" w:rsidRPr="00462632" w:rsidRDefault="000244F7" w:rsidP="00BB5375">
      <w:pPr>
        <w:spacing w:after="120"/>
      </w:pPr>
      <w:r w:rsidRPr="00462632">
        <w:lastRenderedPageBreak/>
        <w:t>The Minister is considering making the Notice following the conclusion of the restack of regional apparatus licences in the band, as described in the Australian Communications and Media Authority’s (ACMA) paper Optimising arrangements for the 3400–3575 band</w:t>
      </w:r>
      <w:r w:rsidR="00EA251A">
        <w:t>—</w:t>
      </w:r>
      <w:r w:rsidRPr="00462632">
        <w:t>planning decisions and preliminary Views (the Decision Paper). The making of the Notice would require ACMA to take steps to, among other things, offer NBN Co spectrum licences to replace its existing apparatus licences which operate in those areas and frequencies specified in the Notice. Following the restack, NBN Co will be the only apparatus licensee operating in the frequencies and geographic areas specified in the Notice. For the regional spectrum covered by the Notice that will be vacant following the restack, ACMA would be required under section 39 of the Act to prepare a marketing plan for the allocation of spectrum licences in those areas and a subsequent allocation in accordance with procedures determined under section 60 of the Act.</w:t>
      </w:r>
    </w:p>
    <w:p w:rsidR="000244F7" w:rsidRPr="00462632" w:rsidRDefault="000244F7" w:rsidP="00BB5375">
      <w:pPr>
        <w:spacing w:after="60"/>
      </w:pPr>
      <w:r w:rsidRPr="00462632">
        <w:t>In accordance with subsection 36(1) of the Act, the Minister has consulted with ACMA on the possible designation of these parts of the spectrum. In its advice to the Minister, ACMA noted that designating the frequencies and areas as proposed would align with ACMA’s proposed approach as described in the Decision Paper. In particular, ACMA not</w:t>
      </w:r>
      <w:r w:rsidR="00EA251A">
        <w:t>ed this approach would include:</w:t>
      </w:r>
    </w:p>
    <w:p w:rsidR="000244F7" w:rsidRPr="00462632" w:rsidRDefault="000244F7" w:rsidP="00BB5375">
      <w:pPr>
        <w:pStyle w:val="Listparagraphbullets"/>
        <w:spacing w:after="120"/>
      </w:pPr>
      <w:r w:rsidRPr="00462632">
        <w:lastRenderedPageBreak/>
        <w:t xml:space="preserve">conversion of NBN </w:t>
      </w:r>
      <w:proofErr w:type="spellStart"/>
      <w:r w:rsidRPr="00462632">
        <w:t>Co’s</w:t>
      </w:r>
      <w:proofErr w:type="spellEnd"/>
      <w:r w:rsidRPr="00462632">
        <w:t xml:space="preserve"> apparatus licences to spectrum licences in metropolitan and defined regional areas to facilitate the defragmenting of Optus and NBN </w:t>
      </w:r>
      <w:proofErr w:type="spellStart"/>
      <w:r w:rsidRPr="00462632">
        <w:t>Co’s</w:t>
      </w:r>
      <w:proofErr w:type="spellEnd"/>
      <w:r w:rsidRPr="00462632">
        <w:t xml:space="preserve"> 3.4 GHz spectrum holdings;</w:t>
      </w:r>
    </w:p>
    <w:p w:rsidR="000244F7" w:rsidRPr="00462632" w:rsidRDefault="000244F7" w:rsidP="00BB5375">
      <w:pPr>
        <w:pStyle w:val="Listparagraphbullets"/>
        <w:spacing w:after="120"/>
      </w:pPr>
      <w:bookmarkStart w:id="2" w:name="_Hlk48735593"/>
      <w:r w:rsidRPr="00462632">
        <w:t xml:space="preserve">excising urban areas of NBN </w:t>
      </w:r>
      <w:proofErr w:type="spellStart"/>
      <w:r w:rsidRPr="00462632">
        <w:t>Co’s</w:t>
      </w:r>
      <w:proofErr w:type="spellEnd"/>
      <w:r w:rsidRPr="00462632">
        <w:t xml:space="preserve"> 3.4 GHz licence holdings and investigating options to make them available for use by other wireless broadband operators; and</w:t>
      </w:r>
      <w:bookmarkEnd w:id="2"/>
    </w:p>
    <w:p w:rsidR="00EA251A" w:rsidRDefault="000244F7" w:rsidP="00BB5375">
      <w:pPr>
        <w:pStyle w:val="Listparagraphbullets"/>
        <w:spacing w:after="120"/>
      </w:pPr>
      <w:proofErr w:type="gramStart"/>
      <w:r w:rsidRPr="00462632">
        <w:t>allocating</w:t>
      </w:r>
      <w:proofErr w:type="gramEnd"/>
      <w:r w:rsidRPr="00462632">
        <w:t xml:space="preserve"> more of the band for spectrum licensing in regional areas, optimised for use by wide-area broadband deployments such as those by NBN Co and mobile network operators.</w:t>
      </w:r>
    </w:p>
    <w:p w:rsidR="000244F7" w:rsidRPr="00462632" w:rsidRDefault="000244F7" w:rsidP="00BB5375">
      <w:pPr>
        <w:spacing w:after="60"/>
      </w:pPr>
      <w:r w:rsidRPr="00462632">
        <w:t>This paper assesses the Notice against identified policy objectives, in particular:</w:t>
      </w:r>
    </w:p>
    <w:p w:rsidR="000244F7" w:rsidRPr="00462632" w:rsidRDefault="000244F7" w:rsidP="00BB5375">
      <w:pPr>
        <w:pStyle w:val="Listparagraphbullets"/>
        <w:spacing w:after="120"/>
      </w:pPr>
      <w:r w:rsidRPr="00462632">
        <w:t>supporting the efficient allocation and use of spectrum;</w:t>
      </w:r>
    </w:p>
    <w:p w:rsidR="000244F7" w:rsidRPr="00462632" w:rsidRDefault="000244F7" w:rsidP="00BB5375">
      <w:pPr>
        <w:pStyle w:val="Listparagraphbullets"/>
        <w:spacing w:after="120"/>
      </w:pPr>
      <w:r w:rsidRPr="00462632">
        <w:t>facilitating flexible spectrum management;</w:t>
      </w:r>
    </w:p>
    <w:p w:rsidR="000244F7" w:rsidRPr="00462632" w:rsidRDefault="000244F7" w:rsidP="00BB5375">
      <w:pPr>
        <w:pStyle w:val="Listparagraphbullets"/>
        <w:spacing w:after="120"/>
      </w:pPr>
      <w:r w:rsidRPr="00462632">
        <w:t>supporting the rollout of 5G technologies; and</w:t>
      </w:r>
    </w:p>
    <w:p w:rsidR="000244F7" w:rsidRPr="00462632" w:rsidRDefault="000244F7" w:rsidP="00BB5375">
      <w:pPr>
        <w:pStyle w:val="Listparagraphbullets"/>
        <w:spacing w:after="120"/>
      </w:pPr>
      <w:proofErr w:type="gramStart"/>
      <w:r w:rsidRPr="00462632">
        <w:t>improving</w:t>
      </w:r>
      <w:proofErr w:type="gramEnd"/>
      <w:r w:rsidRPr="00462632">
        <w:t xml:space="preserve"> broadband access for all Australians.</w:t>
      </w:r>
    </w:p>
    <w:p w:rsidR="00F61FA1" w:rsidRDefault="000244F7" w:rsidP="00BB5375">
      <w:pPr>
        <w:spacing w:after="120"/>
      </w:pPr>
      <w:r w:rsidRPr="00462632">
        <w:t>The Department is seeking stakeholder views on this approach and the Notice. Feedback will inform advice to the Minister on how to proceed.</w:t>
      </w:r>
    </w:p>
    <w:p w:rsidR="000244F7" w:rsidRPr="00462632" w:rsidRDefault="000244F7" w:rsidP="000A2893">
      <w:pPr>
        <w:pStyle w:val="Heading2"/>
      </w:pPr>
      <w:bookmarkStart w:id="3" w:name="_Toc50372345"/>
      <w:bookmarkStart w:id="4" w:name="_Toc51682544"/>
      <w:r w:rsidRPr="00462632">
        <w:lastRenderedPageBreak/>
        <w:t>Background</w:t>
      </w:r>
      <w:bookmarkEnd w:id="3"/>
      <w:bookmarkEnd w:id="4"/>
    </w:p>
    <w:p w:rsidR="000244F7" w:rsidRPr="00462632" w:rsidRDefault="000244F7" w:rsidP="000244F7">
      <w:r w:rsidRPr="00462632">
        <w:t>Current licensing arrangements in the 3.4 GHz band include a combination of apparatus and spectrum licences. These arrangements authorise a variety of services, including fixed and mobile wireless broadband, fixed satellite, radiolocation and amateur services. The current arrangements in the band limit the ability of some licensees to achieve contiguity and maximise the efficiency of their holdings in the band without regulatory intervention. Specifically, the mixture of spectrum and apparatus licensing arrangements has created various regulatory, commercial and technical b</w:t>
      </w:r>
      <w:r>
        <w:t>arriers to trading in the band.</w:t>
      </w:r>
    </w:p>
    <w:p w:rsidR="000244F7" w:rsidRPr="00462632" w:rsidRDefault="000244F7" w:rsidP="000244F7">
      <w:r w:rsidRPr="00462632">
        <w:t>The broader 3.3–3.8 GHz band has been internationally identified as a pioneer band for next generation wireless broadband technologies. With the advent of 5G, use of the band by mobile operators is expected to considerably increase in coming years. However, the fragmented licensing arrangements in the 3400–3575 MHz part of this band in Australia are not conducive to the deployment of these services, which require wider contiguous ban</w:t>
      </w:r>
      <w:r w:rsidR="005D0667">
        <w:t>dwidths to operate effectively.</w:t>
      </w:r>
    </w:p>
    <w:p w:rsidR="000244F7" w:rsidRPr="00462632" w:rsidRDefault="000244F7" w:rsidP="000A2893">
      <w:pPr>
        <w:pStyle w:val="Heading3"/>
      </w:pPr>
      <w:bookmarkStart w:id="5" w:name="_Toc50372346"/>
      <w:bookmarkStart w:id="6" w:name="_Toc51682545"/>
      <w:r w:rsidRPr="00462632">
        <w:lastRenderedPageBreak/>
        <w:t xml:space="preserve">NBN </w:t>
      </w:r>
      <w:proofErr w:type="spellStart"/>
      <w:r w:rsidRPr="00462632">
        <w:t>Co’s</w:t>
      </w:r>
      <w:proofErr w:type="spellEnd"/>
      <w:r w:rsidRPr="00462632">
        <w:t xml:space="preserve"> 3.4 GHz apparatus licences</w:t>
      </w:r>
      <w:bookmarkEnd w:id="5"/>
      <w:bookmarkEnd w:id="6"/>
    </w:p>
    <w:p w:rsidR="000244F7" w:rsidRPr="00462632" w:rsidRDefault="000244F7" w:rsidP="000244F7">
      <w:r w:rsidRPr="00462632">
        <w:t>NBN Co currently holds 10 public telecommunications services (PTS) apparatus licences for public mobile telecommunications services (PMTS) Class B services in 3400–3425 MHz and 3492.5–3542.5 </w:t>
      </w:r>
      <w:proofErr w:type="spellStart"/>
      <w:r w:rsidRPr="00462632">
        <w:t>MHz.</w:t>
      </w:r>
      <w:proofErr w:type="spellEnd"/>
      <w:r w:rsidRPr="00462632">
        <w:t xml:space="preserve"> NBN Co uses its apparatus licences to deliver its fixed-wireless (FW) services in outer-metropolitan areas of Adelaide, Brisbane, Canberra Melbourne, Perth and Sydney and surrounding regional areas. In practice, NBN </w:t>
      </w:r>
      <w:proofErr w:type="spellStart"/>
      <w:r w:rsidRPr="00462632">
        <w:t>Co’s</w:t>
      </w:r>
      <w:proofErr w:type="spellEnd"/>
      <w:r w:rsidRPr="00462632">
        <w:t xml:space="preserve"> PTS apparatus licences operate in a similar way to 3.4 GHz spectrum licences, as unlike most apparatus licences, they are area-based r</w:t>
      </w:r>
      <w:r w:rsidR="000A2893">
        <w:t>ather than site-based licences.</w:t>
      </w:r>
    </w:p>
    <w:p w:rsidR="000244F7" w:rsidRPr="00462632" w:rsidRDefault="000244F7" w:rsidP="000244F7">
      <w:r w:rsidRPr="00462632">
        <w:t xml:space="preserve">NBN </w:t>
      </w:r>
      <w:proofErr w:type="spellStart"/>
      <w:r w:rsidRPr="00462632">
        <w:t>Co’s</w:t>
      </w:r>
      <w:proofErr w:type="spellEnd"/>
      <w:r w:rsidRPr="00462632">
        <w:t xml:space="preserve"> FW network plays a pivotal role in providing high speed internet access to outer-metropolitan, regional and remote areas of Australia. Based on NBN </w:t>
      </w:r>
      <w:proofErr w:type="spellStart"/>
      <w:r w:rsidRPr="00462632">
        <w:t>Co’s</w:t>
      </w:r>
      <w:proofErr w:type="spellEnd"/>
      <w:r w:rsidRPr="00462632">
        <w:t xml:space="preserve"> </w:t>
      </w:r>
      <w:r w:rsidR="00EA251A">
        <w:t>2020–23</w:t>
      </w:r>
      <w:r w:rsidRPr="00462632">
        <w:t xml:space="preserve"> Corporate Plan, the company will have invested $3.5 billion in NBN </w:t>
      </w:r>
      <w:proofErr w:type="spellStart"/>
      <w:r w:rsidRPr="00462632">
        <w:t>Co’s</w:t>
      </w:r>
      <w:proofErr w:type="spellEnd"/>
      <w:r w:rsidRPr="00462632">
        <w:t xml:space="preserve"> FW network by financial year 2023.</w:t>
      </w:r>
    </w:p>
    <w:p w:rsidR="000244F7" w:rsidRPr="00462632" w:rsidRDefault="000244F7" w:rsidP="000244F7">
      <w:r w:rsidRPr="00462632">
        <w:t>To date, NBN Co has not deployed services under its PTS licences wi</w:t>
      </w:r>
      <w:bookmarkStart w:id="7" w:name="_GoBack"/>
      <w:bookmarkEnd w:id="7"/>
      <w:r w:rsidRPr="00462632">
        <w:t xml:space="preserve">thin the inner-metropolitan areas of Adelaide, Brisbane, Canberra, Melbourne, Perth and Sydney. NBN </w:t>
      </w:r>
      <w:proofErr w:type="spellStart"/>
      <w:r w:rsidRPr="00462632">
        <w:t>Co’s</w:t>
      </w:r>
      <w:proofErr w:type="spellEnd"/>
      <w:r w:rsidRPr="00462632">
        <w:t xml:space="preserve"> 3.4 GHz spectrum in these areas could potentially be used to provide services such as 5G mobile broadband. Converting, and resuming, NBN </w:t>
      </w:r>
      <w:proofErr w:type="spellStart"/>
      <w:r w:rsidRPr="00462632">
        <w:t>Co’s</w:t>
      </w:r>
      <w:proofErr w:type="spellEnd"/>
      <w:r w:rsidRPr="00462632">
        <w:t xml:space="preserve"> licences would facilitate access to this spectrum for other operators and could result in greater utilisation of the band in urban areas.</w:t>
      </w:r>
    </w:p>
    <w:p w:rsidR="000244F7" w:rsidRPr="00462632" w:rsidRDefault="000244F7" w:rsidP="000244F7">
      <w:r w:rsidRPr="00462632">
        <w:lastRenderedPageBreak/>
        <w:t xml:space="preserve">The areas covered by NBN </w:t>
      </w:r>
      <w:proofErr w:type="spellStart"/>
      <w:r w:rsidRPr="00462632">
        <w:t>Co’s</w:t>
      </w:r>
      <w:proofErr w:type="spellEnd"/>
      <w:r w:rsidRPr="00462632">
        <w:t xml:space="preserve"> PTS apparatus licences are defined by the HCIS identifiers that are set out at </w:t>
      </w:r>
      <w:hyperlink w:anchor="_Attachment_B:_NBN" w:history="1">
        <w:r w:rsidRPr="000C7DDA">
          <w:rPr>
            <w:rStyle w:val="Hyperlink"/>
          </w:rPr>
          <w:t>Attachment</w:t>
        </w:r>
        <w:r w:rsidR="000C7DDA" w:rsidRPr="000C7DDA">
          <w:rPr>
            <w:rStyle w:val="Hyperlink"/>
          </w:rPr>
          <w:t> </w:t>
        </w:r>
        <w:r w:rsidRPr="000C7DDA">
          <w:rPr>
            <w:rStyle w:val="Hyperlink"/>
          </w:rPr>
          <w:t>B</w:t>
        </w:r>
      </w:hyperlink>
      <w:r w:rsidRPr="00462632">
        <w:t xml:space="preserve">. The inner-metropolitan areas covered by these licences are set out at </w:t>
      </w:r>
      <w:hyperlink w:anchor="_Attachment_C:_Proposed" w:history="1">
        <w:r w:rsidR="000C7DDA" w:rsidRPr="000C7DDA">
          <w:rPr>
            <w:rStyle w:val="Hyperlink"/>
          </w:rPr>
          <w:t>Attachment </w:t>
        </w:r>
        <w:r w:rsidRPr="000C7DDA">
          <w:rPr>
            <w:rStyle w:val="Hyperlink"/>
          </w:rPr>
          <w:t>C</w:t>
        </w:r>
      </w:hyperlink>
      <w:r w:rsidRPr="00462632">
        <w:t xml:space="preserve">. Maps of these areas are also provided. Following a conversion of NBN </w:t>
      </w:r>
      <w:proofErr w:type="spellStart"/>
      <w:r w:rsidRPr="00462632">
        <w:t>Co’s</w:t>
      </w:r>
      <w:proofErr w:type="spellEnd"/>
      <w:r w:rsidRPr="00462632">
        <w:t xml:space="preserve"> PTS apparatus licences and subsequent consolidation of their licence holdings, it is expected that the ACMA would resume, via section 89 of the Act, those parts of NBN </w:t>
      </w:r>
      <w:proofErr w:type="spellStart"/>
      <w:r w:rsidRPr="00462632">
        <w:t>Co’s</w:t>
      </w:r>
      <w:proofErr w:type="spellEnd"/>
      <w:r w:rsidRPr="00462632">
        <w:t xml:space="preserve"> spectrum licence(s) that cover </w:t>
      </w:r>
      <w:r w:rsidR="005D0667">
        <w:t>these inner metropolitan areas.</w:t>
      </w:r>
    </w:p>
    <w:p w:rsidR="000244F7" w:rsidRPr="00462632" w:rsidRDefault="000244F7" w:rsidP="000A2893">
      <w:pPr>
        <w:pStyle w:val="Heading3"/>
      </w:pPr>
      <w:bookmarkStart w:id="8" w:name="_Toc50372347"/>
      <w:bookmarkStart w:id="9" w:name="_Toc51682546"/>
      <w:r w:rsidRPr="00462632">
        <w:t>Previous consultation on the 3.4 GHz band</w:t>
      </w:r>
      <w:bookmarkEnd w:id="8"/>
      <w:bookmarkEnd w:id="9"/>
    </w:p>
    <w:p w:rsidR="000244F7" w:rsidRPr="00462632" w:rsidRDefault="000244F7" w:rsidP="000244F7">
      <w:pPr>
        <w:keepLines/>
      </w:pPr>
      <w:r w:rsidRPr="00462632">
        <w:t>In April 2019, ACMA released the Optimising arrangements for the 3400–3575 MHz band: Options paper (the Options Paper) to consult on possible changes to arrangements in the 3.4 GHz band. ACMA’s preferred planning option, as described in the Options Paper, included designating portions of the 3.4 GHz band for spectrum licensing, to enable the defragmentation of spectrum licences and the allocation of additional spectrum for spectrum licensing. Eight submissions were received as part of the consultation, which were generally supportive of ACMA’s preferred approach to optimising the band.</w:t>
      </w:r>
    </w:p>
    <w:p w:rsidR="000244F7" w:rsidRPr="00462632" w:rsidRDefault="000244F7" w:rsidP="000244F7">
      <w:r w:rsidRPr="00462632">
        <w:lastRenderedPageBreak/>
        <w:t>ACMA finalised its planning decisions in November 2019 with the release of the Decision Paper. As stated in this paper, ACMA’s proposed approach for optimising arrangements in the 3.4 GHz band involves an ACMA-led restack of apparatus licences in the band, followed by the proposed designation of spectrum currently apparatus licensed to NBN Co and in regional areas that will be vacant following the restack. The Notice has been drafted to align with ACMA’s planning decisions and proposed way forward as set out in the Decision Paper.</w:t>
      </w:r>
    </w:p>
    <w:p w:rsidR="000244F7" w:rsidRPr="00462632" w:rsidRDefault="000244F7" w:rsidP="000A2893">
      <w:pPr>
        <w:pStyle w:val="Heading3"/>
      </w:pPr>
      <w:bookmarkStart w:id="10" w:name="_Toc50372348"/>
      <w:bookmarkStart w:id="11" w:name="_Toc51682547"/>
      <w:r w:rsidRPr="00462632">
        <w:t>Reform of the Radiocommunications Act 1992</w:t>
      </w:r>
      <w:bookmarkEnd w:id="10"/>
      <w:bookmarkEnd w:id="11"/>
    </w:p>
    <w:p w:rsidR="000244F7" w:rsidRPr="00462632" w:rsidRDefault="000244F7" w:rsidP="000244F7">
      <w:r w:rsidRPr="00462632">
        <w:t>The Government is currently progressing targeted reforms of the Act and recently introduced the Radiocommunications Legislation Amendment (Reform and Modernisation) Bill (the Bill) into the Parliament. The proposed reforms in the Bill include repealing the current designation and conversion process, which would be partially replaced by giving ACMA the power to directly allocate spectrum licences under section 60 of the Act.</w:t>
      </w:r>
    </w:p>
    <w:p w:rsidR="000244F7" w:rsidRPr="00462632" w:rsidRDefault="000244F7" w:rsidP="000244F7">
      <w:r w:rsidRPr="00462632">
        <w:t xml:space="preserve">For the purposes of this consultation, it is assumed that the version of the Act as at 1 September 2020 will be in force at the time that the Minister makes a decision on designating this spectrum for spectrum licensing. The Department recognises that it is possible that the Bill may be passed and come into </w:t>
      </w:r>
      <w:r w:rsidRPr="00462632">
        <w:lastRenderedPageBreak/>
        <w:t>force before any designation notice for the 3.4 GHz band is made. If this does occur, feedback from this consultation may be taken into account by the ACMA in relation to decisions to allocate spectrum licences in the band under the reformed Act.</w:t>
      </w:r>
    </w:p>
    <w:p w:rsidR="000244F7" w:rsidRPr="00462632" w:rsidRDefault="000244F7" w:rsidP="000A2893">
      <w:pPr>
        <w:pStyle w:val="Heading2"/>
      </w:pPr>
      <w:bookmarkStart w:id="12" w:name="_Toc50372349"/>
      <w:bookmarkStart w:id="13" w:name="_Toc51682548"/>
      <w:r w:rsidRPr="00462632">
        <w:lastRenderedPageBreak/>
        <w:t xml:space="preserve">Proposed </w:t>
      </w:r>
      <w:r>
        <w:t>d</w:t>
      </w:r>
      <w:r w:rsidRPr="00462632">
        <w:t>esignation</w:t>
      </w:r>
      <w:bookmarkEnd w:id="12"/>
      <w:bookmarkEnd w:id="13"/>
    </w:p>
    <w:p w:rsidR="000244F7" w:rsidRPr="00462632" w:rsidRDefault="000244F7" w:rsidP="000244F7">
      <w:r w:rsidRPr="00462632">
        <w:t>The Notice as drafted would designate the following parts of the spectrum, with respect to the following areas, to be allocated by issuing spectrum licences:</w:t>
      </w:r>
    </w:p>
    <w:p w:rsidR="000244F7" w:rsidRPr="00462632" w:rsidRDefault="000244F7" w:rsidP="000244F7">
      <w:pPr>
        <w:pStyle w:val="Listparagraphbullets"/>
      </w:pPr>
      <w:r w:rsidRPr="00462632">
        <w:t>3400–3425 MHz: in metropolitan (the capital cities of Adelaide, Brisbane, Canberra, Melbourne, Perth and Sydney) and regional areas, including the major regional centres of Albury, Ballarat, Bendigo, Cairns, Hobart, Launceston, Rockhampton, Toowoomba and Townsville, that are not currently subject to spectrum licensing (excluding the earth station protection zones at Moree, Roma and Uralla);</w:t>
      </w:r>
    </w:p>
    <w:p w:rsidR="000244F7" w:rsidRPr="00462632" w:rsidRDefault="000244F7" w:rsidP="000244F7">
      <w:pPr>
        <w:pStyle w:val="Listparagraphbullets"/>
      </w:pPr>
      <w:r w:rsidRPr="00462632">
        <w:t>3425–3442.5 MHz: in regional areas, excluding major regional centres, that are not currently subject to spectrum licensing (excluding the earth station protection zones at Moree, Roma and Uralla);</w:t>
      </w:r>
    </w:p>
    <w:p w:rsidR="000244F7" w:rsidRPr="00462632" w:rsidRDefault="000244F7" w:rsidP="000244F7">
      <w:pPr>
        <w:pStyle w:val="Listparagraphbullets"/>
      </w:pPr>
      <w:r w:rsidRPr="00462632">
        <w:t>3442.5–3475 MHz: in regional areas where it is intended that NBN Co will hold PTS apparatus licences at the end of the current restack process being conducted by ACMA (with suitable buffer zones included to ensure the device boundary of existing NBN services are encompassed within the designated area);</w:t>
      </w:r>
    </w:p>
    <w:p w:rsidR="000244F7" w:rsidRPr="00462632" w:rsidRDefault="000244F7" w:rsidP="000244F7">
      <w:pPr>
        <w:pStyle w:val="Listparagraphbullets"/>
      </w:pPr>
      <w:r w:rsidRPr="00462632">
        <w:lastRenderedPageBreak/>
        <w:t>3492.5–3510 MHz: in metropolitan areas and the major regional centres of Ballarat, Bendigo and Toowoomba where it is intended that NBN Co will hold PTS apparatus licences at the end of the current restack process; and</w:t>
      </w:r>
    </w:p>
    <w:p w:rsidR="000244F7" w:rsidRPr="00462632" w:rsidRDefault="000244F7" w:rsidP="000244F7">
      <w:pPr>
        <w:pStyle w:val="Listparagraphbullets"/>
      </w:pPr>
      <w:r w:rsidRPr="00462632">
        <w:t>3510–3542.5 MHz: in metropolitan and regional areas, where it is intended that NBN Co will hold PTS apparatus licences at the end of the current restack process (with suitable buffer zones included to ensure the device boundary of existing NBN services are encompassed within the designated area).</w:t>
      </w:r>
    </w:p>
    <w:p w:rsidR="000244F7" w:rsidRPr="00462632" w:rsidRDefault="000244F7" w:rsidP="000244F7">
      <w:r w:rsidRPr="00462632">
        <w:t xml:space="preserve">Specific details of these areas, including HCIS code descriptions and images, are provided at </w:t>
      </w:r>
      <w:hyperlink w:anchor="_Attachment_A:_HCIS" w:history="1">
        <w:r w:rsidRPr="000C7DDA">
          <w:rPr>
            <w:rStyle w:val="Hyperlink"/>
          </w:rPr>
          <w:t>Attachment</w:t>
        </w:r>
        <w:r w:rsidR="000C7DDA" w:rsidRPr="000C7DDA">
          <w:rPr>
            <w:rStyle w:val="Hyperlink"/>
          </w:rPr>
          <w:t> </w:t>
        </w:r>
        <w:r w:rsidRPr="000C7DDA">
          <w:rPr>
            <w:rStyle w:val="Hyperlink"/>
          </w:rPr>
          <w:t>A</w:t>
        </w:r>
      </w:hyperlink>
      <w:r w:rsidRPr="00462632">
        <w:t>.</w:t>
      </w:r>
    </w:p>
    <w:p w:rsidR="000244F7" w:rsidRPr="00462632" w:rsidRDefault="000244F7" w:rsidP="000244F7">
      <w:r w:rsidRPr="00462632">
        <w:t xml:space="preserve">The making of the Notice will facilitate (subject to the terms of the Act) the conversion of NBN </w:t>
      </w:r>
      <w:proofErr w:type="spellStart"/>
      <w:r w:rsidRPr="00462632">
        <w:t>Co’s</w:t>
      </w:r>
      <w:proofErr w:type="spellEnd"/>
      <w:r w:rsidRPr="00462632">
        <w:t xml:space="preserve"> apparatus licences to spectrum licences, and also facilitate the allocation of additional spectrum for spectrum licensing in regional areas that will be vacant following a restack of apparatus licences currently being conducted by ACMA.</w:t>
      </w:r>
    </w:p>
    <w:p w:rsidR="00EA251A" w:rsidRDefault="000244F7" w:rsidP="000244F7">
      <w:r w:rsidRPr="00462632">
        <w:t>ACMA is working with NBN Co to restack some of its apparatus licence holdings into the 3400–3475</w:t>
      </w:r>
      <w:r w:rsidR="00EA251A">
        <w:t xml:space="preserve"> </w:t>
      </w:r>
      <w:r w:rsidRPr="00462632">
        <w:t xml:space="preserve">MHz frequency range. ACMA is also working with other incumbent apparatus licensees to restack them </w:t>
      </w:r>
      <w:r w:rsidRPr="00462632">
        <w:lastRenderedPageBreak/>
        <w:t>out of the areas and frequencies that may be designated for allocation by issuing spectrum licences. Alternative spectrum options have been identified for these services to move within the 3.4 GHz band, including continued use of apparatus licensing where appropriate.</w:t>
      </w:r>
    </w:p>
    <w:p w:rsidR="000244F7" w:rsidRPr="00462632" w:rsidRDefault="000244F7" w:rsidP="000244F7">
      <w:r w:rsidRPr="00462632">
        <w:t>The Department expects this restack to be complete by 30 November 2020. It is intended that the Notice would be made after the completion of the restack of apparatus licences in regional and remote areas.</w:t>
      </w:r>
    </w:p>
    <w:p w:rsidR="000244F7" w:rsidRPr="00462632" w:rsidRDefault="000244F7" w:rsidP="000244F7">
      <w:r w:rsidRPr="00462632">
        <w:t xml:space="preserve">If the Notice is made, in metropolitan areas the whole of the 3.4 GHz band would be subject to spectrum licensing, along with 125 MHz of the band in major regional centres and up to 140 MHz in some regional areas. Expanding the coverage of spectrum licensing in the band would enable spectrum licensees, such as NBN Co and Optus, to trade or vary their licences to increase contiguity of their spectrum holdings, improving the efficiency of spectrum allocation and use in the band. As stated in the Decision Paper, there is an intention for ACMA to resume NBN </w:t>
      </w:r>
      <w:proofErr w:type="spellStart"/>
      <w:r w:rsidRPr="00462632">
        <w:t>Co’s</w:t>
      </w:r>
      <w:proofErr w:type="spellEnd"/>
      <w:r w:rsidRPr="00462632">
        <w:t xml:space="preserve"> inner-metropolitan spectrum, by agreement with NBN Co, after conversion. </w:t>
      </w:r>
      <w:bookmarkStart w:id="14" w:name="_Hlk48735565"/>
      <w:r w:rsidRPr="00462632">
        <w:t xml:space="preserve">The ACMA will engage with industry to develop interference management criteria for the use of spectrum in these areas. Based on the criteria developed, the ACMA will </w:t>
      </w:r>
      <w:r w:rsidRPr="00462632">
        <w:lastRenderedPageBreak/>
        <w:t>then investigate the utility of the spectrum to determine if and how it should be made availabl</w:t>
      </w:r>
      <w:bookmarkEnd w:id="14"/>
      <w:r w:rsidRPr="00462632">
        <w:t>e for allocation to other parties. Making this spectrum available for allocation a more efficient use is a key objective of the Notice, as discussed further in the next section.</w:t>
      </w:r>
    </w:p>
    <w:p w:rsidR="000244F7" w:rsidRPr="00462632" w:rsidRDefault="000244F7" w:rsidP="000244F7">
      <w:r w:rsidRPr="00462632">
        <w:t>In regional areas, the newly designated spectrum would be put to market by ACMA, potentially alongside any resumed metropolitan spectrum. The ACMA intends to optimise this spectrum or use by wide-area broadband deployments, such as those used by NBN Co or mobile network operators (MNOs).</w:t>
      </w:r>
    </w:p>
    <w:p w:rsidR="00EA251A" w:rsidRDefault="000244F7" w:rsidP="000244F7">
      <w:r w:rsidRPr="00462632">
        <w:t>Apparatus licensing will still be available in up to 65 MHz of spectrum in some regional areas and major regional centres. This will be available for fixed-satellite service (FSS) and amateur use as well as point-multipoint (PMP) licensing optimised for localised wireless broadband use. In addition to this the 3400–3442.5 MHz and 3475–3542.5 MHz frequency range will remain available for use by the FSS at the Moree, Roma and Uralla Earth station protection zones (ESPZs), while access to the 3475–3510</w:t>
      </w:r>
      <w:r w:rsidR="00EA251A">
        <w:t xml:space="preserve"> </w:t>
      </w:r>
      <w:r w:rsidRPr="00462632">
        <w:t>MHz frequency range will be maintained for the FSS at the Quirindi ESPZ.</w:t>
      </w:r>
    </w:p>
    <w:p w:rsidR="000244F7" w:rsidRPr="00462632" w:rsidRDefault="000244F7" w:rsidP="000A2893">
      <w:pPr>
        <w:pStyle w:val="Heading2"/>
      </w:pPr>
      <w:bookmarkStart w:id="15" w:name="_Toc50372350"/>
      <w:bookmarkStart w:id="16" w:name="_Toc51682549"/>
      <w:r w:rsidRPr="00462632">
        <w:lastRenderedPageBreak/>
        <w:t>Assessment of proposed approach against relevant policy objectives</w:t>
      </w:r>
      <w:bookmarkEnd w:id="15"/>
      <w:bookmarkEnd w:id="16"/>
    </w:p>
    <w:p w:rsidR="000244F7" w:rsidRPr="00462632" w:rsidRDefault="000244F7" w:rsidP="000A2893">
      <w:r w:rsidRPr="00462632">
        <w:t xml:space="preserve">There is currently a combination of apparatus and spectrum licences in the 3.4 GHz band. A conversion of NBN </w:t>
      </w:r>
      <w:proofErr w:type="spellStart"/>
      <w:r w:rsidRPr="00462632">
        <w:t>Co’s</w:t>
      </w:r>
      <w:proofErr w:type="spellEnd"/>
      <w:r w:rsidRPr="00462632">
        <w:t xml:space="preserve"> PTS apparatus licences to spectrum licences via the Notice will advance the object of the Act, as set out in section 3 of the Act, and support the Government’s communications policy objectives as described below.</w:t>
      </w:r>
    </w:p>
    <w:p w:rsidR="000244F7" w:rsidRPr="00462632" w:rsidRDefault="000244F7" w:rsidP="000A2893">
      <w:pPr>
        <w:pStyle w:val="Heading3"/>
      </w:pPr>
      <w:bookmarkStart w:id="17" w:name="_Toc50372351"/>
      <w:bookmarkStart w:id="18" w:name="_Toc51682550"/>
      <w:r w:rsidRPr="00462632">
        <w:t>Efficient allocation and use of spectrum</w:t>
      </w:r>
      <w:bookmarkEnd w:id="17"/>
      <w:bookmarkEnd w:id="18"/>
    </w:p>
    <w:p w:rsidR="000244F7" w:rsidRPr="00462632" w:rsidRDefault="000244F7" w:rsidP="000A2893">
      <w:r w:rsidRPr="00462632">
        <w:t>Part of the object of the Act is to maximise the overall public benefit derived from the use of radiofrequency spectrum by ensuring its efficient allocation and use. As mentioned above, the 3.4 GHz band is currently not optimally configured, with licensees such as Optus and NBN Co holding small segments of spectrum throughout the band. This spectral inefficiency cannot be fully rectified without the conversion of some existing apparatus licences to spectrum licences.</w:t>
      </w:r>
    </w:p>
    <w:p w:rsidR="000244F7" w:rsidRPr="00462632" w:rsidRDefault="000244F7" w:rsidP="000A2893">
      <w:r w:rsidRPr="00462632">
        <w:lastRenderedPageBreak/>
        <w:t>Fixed and mobile wireless broadband operators can gain greater efficiencies when spectrum is configured in large contiguous blocks. The Notice would provide licensees, such as Optus and NBN Co, with opportunities for commercial trading, or variations of their licence conditions, to achieve defragmentation of spectrum holdings in the band. This would reduce the need for licensees to deploy guard bands, or other interference management techniques, allowing the spectrum to be used more efficiently.</w:t>
      </w:r>
    </w:p>
    <w:p w:rsidR="000244F7" w:rsidRPr="00462632" w:rsidRDefault="000244F7" w:rsidP="000A2893">
      <w:r w:rsidRPr="00462632">
        <w:t xml:space="preserve">For example, a conversion of NBN </w:t>
      </w:r>
      <w:proofErr w:type="spellStart"/>
      <w:r w:rsidRPr="00462632">
        <w:t>Co’s</w:t>
      </w:r>
      <w:proofErr w:type="spellEnd"/>
      <w:r w:rsidRPr="00462632">
        <w:t xml:space="preserve"> apparatus licences to spectrum licences would provide a regulatory environment in which NBN Co can maximise the value to be gained from its spectrum holdings. NBN Co currently uses its 3.4 GHz spectrum to provide fixed wireless broadband. This is a valuable service in regional and outer-metropolitan areas, but is not required in inner-metropolitan areas. NBN Co is not fully utilising this inner-metropolitan spectrum, which could be used more efficiently by other operators, for example, by a mobile operator to provide 5G mobile coverage. Designating this spectrum for spectrum licensing would enable NBN Co to defragment its holdings, enabling it to improve service on its FW network in regional and outer-metropolitan areas, while its unused inner-metropolitan spectrum would be resumed and made available by ACMA to other users.</w:t>
      </w:r>
    </w:p>
    <w:p w:rsidR="000244F7" w:rsidRPr="00462632" w:rsidRDefault="000244F7" w:rsidP="000A2893">
      <w:pPr>
        <w:pStyle w:val="Heading3"/>
      </w:pPr>
      <w:bookmarkStart w:id="19" w:name="_Toc50372352"/>
      <w:bookmarkStart w:id="20" w:name="_Toc51682551"/>
      <w:r w:rsidRPr="00462632">
        <w:lastRenderedPageBreak/>
        <w:t>Facilitate flexible spectrum management</w:t>
      </w:r>
      <w:bookmarkEnd w:id="19"/>
      <w:bookmarkEnd w:id="20"/>
    </w:p>
    <w:p w:rsidR="00EA251A" w:rsidRDefault="000244F7" w:rsidP="000A2893">
      <w:r w:rsidRPr="00462632">
        <w:t>The object of the Act also includes providing a responsive and flexible approach to meeting the needs of users of the spectrum. The Notice would achieve this by providing greater opportunities for licensees to trade or vary their licences as necessary, as licences are more likely to be traded amongst commercial entities where they are all the same type.</w:t>
      </w:r>
    </w:p>
    <w:p w:rsidR="00EA251A" w:rsidRDefault="000244F7" w:rsidP="000A2893">
      <w:r w:rsidRPr="00462632">
        <w:t>For example, NBN Co currently holds a 25 MHz and a 50 MHz block of apparatus-licensed holdings, separated by 67.5 MHz of spectrum-licensed spectrum, primarily held by Optus in metropolitan areas and NBN Co in regional areas. Optus and NBN Co also hold up to 32.5 MHz of spectrum from 3542.5 MHz–3575 MHz in some areas. Converting NBN </w:t>
      </w:r>
      <w:proofErr w:type="spellStart"/>
      <w:r w:rsidRPr="00462632">
        <w:t>Co’s</w:t>
      </w:r>
      <w:proofErr w:type="spellEnd"/>
      <w:r w:rsidRPr="00462632">
        <w:t xml:space="preserve"> apparatus-licensed holdings in the 3.4 GHz band to spectrum licences would enable NBN Co and Optus to trade, or vary with the assistance of ACMA, their spectrum licences </w:t>
      </w:r>
      <w:bookmarkStart w:id="21" w:name="_Hlk48736004"/>
      <w:r w:rsidRPr="00462632">
        <w:t>to improve contiguity of their spectrum holdings</w:t>
      </w:r>
      <w:bookmarkEnd w:id="21"/>
      <w:r w:rsidRPr="00462632">
        <w:t>.</w:t>
      </w:r>
    </w:p>
    <w:p w:rsidR="000244F7" w:rsidRPr="00462632" w:rsidRDefault="000244F7" w:rsidP="000A2893">
      <w:pPr>
        <w:keepLines/>
      </w:pPr>
      <w:r w:rsidRPr="00462632">
        <w:lastRenderedPageBreak/>
        <w:t xml:space="preserve">Other spectrum licensees could also benefit from the conversion by optimising their own spectrum holdings through trades, or variations, with NBN Co, or through the increased opportunities for other third party access arrangements available under spectrum licensing. </w:t>
      </w:r>
      <w:bookmarkStart w:id="22" w:name="_Hlk48735547"/>
      <w:r w:rsidRPr="00462632">
        <w:t xml:space="preserve">Pending an assessment of its utility, </w:t>
      </w:r>
      <w:bookmarkEnd w:id="22"/>
      <w:r w:rsidRPr="00462632">
        <w:t>inner-metropolitan spectrum resumed from NBN Co could also be allocated by ACMA to meet the needs of other spectrum users.</w:t>
      </w:r>
    </w:p>
    <w:p w:rsidR="000244F7" w:rsidRPr="00462632" w:rsidRDefault="000244F7" w:rsidP="000A2893">
      <w:pPr>
        <w:pStyle w:val="Heading3"/>
      </w:pPr>
      <w:bookmarkStart w:id="23" w:name="_Toc50372353"/>
      <w:bookmarkStart w:id="24" w:name="_Toc51682552"/>
      <w:r w:rsidRPr="00462632">
        <w:t>Rollout of 5G technologies</w:t>
      </w:r>
      <w:bookmarkEnd w:id="23"/>
      <w:bookmarkEnd w:id="24"/>
    </w:p>
    <w:p w:rsidR="00EA251A" w:rsidRDefault="000244F7" w:rsidP="000244F7">
      <w:r w:rsidRPr="00462632">
        <w:t>In its policy paper 5G–Enabling the Future Economy the Government indicated that it wants to facilitate the deployment of 5G technologies across Australia, so that Australians can seize the economic and social benefits 5G can provide. A key part of this is to make 5G suitable spectrum available in a timely manner. Spectrum in the 3.3–3.8 GHz band has been recognised internationally as a pioneer band for 5G technologies. Following the auction of the adjacent 3.6 GHz band in late 2018, operators have begun rolling out 5G networks in Australia.</w:t>
      </w:r>
    </w:p>
    <w:p w:rsidR="000244F7" w:rsidRPr="00462632" w:rsidRDefault="000244F7" w:rsidP="000244F7">
      <w:r w:rsidRPr="00462632">
        <w:t xml:space="preserve">Designating this spectrum would allow NBN Co and Optus to trade, or vary, their licences in the band. This would enable each to improve contiguity of their spectrum holdings. Larger channel bandwidths (made possible by larger blocks of contiguous spectrum) would allow Optus to deliver more of the </w:t>
      </w:r>
      <w:r w:rsidRPr="00462632">
        <w:lastRenderedPageBreak/>
        <w:t xml:space="preserve">benefits of 5G, including higher capacity networks and an improved user experience. Contiguous spectrum holdings will also result in reduced deployment costs. NBN </w:t>
      </w:r>
      <w:proofErr w:type="spellStart"/>
      <w:r w:rsidRPr="00462632">
        <w:t>Co’s</w:t>
      </w:r>
      <w:proofErr w:type="spellEnd"/>
      <w:r w:rsidRPr="00462632">
        <w:t xml:space="preserve"> FW network in regional and outer-metropolitan areas would similarly benefit, as discussed below.</w:t>
      </w:r>
    </w:p>
    <w:p w:rsidR="000244F7" w:rsidRPr="00462632" w:rsidRDefault="000244F7" w:rsidP="000244F7">
      <w:r w:rsidRPr="00462632">
        <w:t>Following a designation, ACMA will work with NBN Co on the conversion of its PTS apparatus licences and subsequent resumption of spectrum held in inner-metropolitan areas. Pending an assessment of the utility of the spectrum in these inner metropolitan areas, ACMA would then investigate options to make it available for use by other wireless broadband operators. It is likely this spectrum will be valuable for the provision of 5G services in metropolitan areas. The additional designated spectrum in regional areas and major regional centres is also likely to be valuable for the provision of 5G networks in regional areas.</w:t>
      </w:r>
    </w:p>
    <w:p w:rsidR="000244F7" w:rsidRPr="00462632" w:rsidRDefault="000244F7" w:rsidP="000A2893">
      <w:pPr>
        <w:pStyle w:val="Heading3"/>
      </w:pPr>
      <w:bookmarkStart w:id="25" w:name="_Toc50372354"/>
      <w:bookmarkStart w:id="26" w:name="_Toc51682553"/>
      <w:r w:rsidRPr="00462632">
        <w:t>Improving broadband access for all Australians</w:t>
      </w:r>
      <w:bookmarkEnd w:id="25"/>
      <w:bookmarkEnd w:id="26"/>
    </w:p>
    <w:p w:rsidR="00EA251A" w:rsidRDefault="000244F7" w:rsidP="000244F7">
      <w:r w:rsidRPr="00462632">
        <w:t xml:space="preserve">The Government is committed to providing affordable, high-speed broadband access to all Australians and through its significant investment in the National Broadband Network (the NBN), has helped to connect previously underserved regions of Australia to the internet. NBN </w:t>
      </w:r>
      <w:proofErr w:type="spellStart"/>
      <w:r w:rsidRPr="00462632">
        <w:t>Co’s</w:t>
      </w:r>
      <w:proofErr w:type="spellEnd"/>
      <w:r w:rsidRPr="00462632">
        <w:t xml:space="preserve"> FW network is crucial to the connectivity of Australians in rural, regional and outer-metropolitan areas. To enable this network </w:t>
      </w:r>
      <w:r w:rsidRPr="00462632">
        <w:lastRenderedPageBreak/>
        <w:t>to operate effectively, NBN Co needs access to spectrum that is, or easily can be, configured for broadband access by large numbers of users.</w:t>
      </w:r>
    </w:p>
    <w:p w:rsidR="000244F7" w:rsidRPr="00462632" w:rsidRDefault="000244F7" w:rsidP="000244F7">
      <w:r w:rsidRPr="00462632">
        <w:t xml:space="preserve">A conversion of NBN </w:t>
      </w:r>
      <w:proofErr w:type="spellStart"/>
      <w:r w:rsidRPr="00462632">
        <w:t>Co’s</w:t>
      </w:r>
      <w:proofErr w:type="spellEnd"/>
      <w:r w:rsidRPr="00462632">
        <w:t xml:space="preserve"> PTS apparatus licences would help to address the current congestion on NBN </w:t>
      </w:r>
      <w:proofErr w:type="spellStart"/>
      <w:r w:rsidRPr="00462632">
        <w:t>Co’s</w:t>
      </w:r>
      <w:proofErr w:type="spellEnd"/>
      <w:r w:rsidRPr="00462632">
        <w:t xml:space="preserve"> FW network, support the Government’s substantial investment in the NBN and provide NBN Co with more flexibility in how it builds and operates its FW services.</w:t>
      </w:r>
      <w:r w:rsidR="00EA251A">
        <w:t xml:space="preserve"> </w:t>
      </w:r>
      <w:r w:rsidRPr="00462632">
        <w:t xml:space="preserve">Improving the contiguity of its spectrum holdings in the 3.4 GHz band will provide NBN Co with adequate, contiguous spectrum through which to provide its public broadband services and is a key element of NBN </w:t>
      </w:r>
      <w:proofErr w:type="spellStart"/>
      <w:r w:rsidRPr="00462632">
        <w:t>Co’s</w:t>
      </w:r>
      <w:proofErr w:type="spellEnd"/>
      <w:r w:rsidRPr="00462632">
        <w:t xml:space="preserve"> strategy to aim to achieve minimum wholesale download speeds of 6 Mbps during the busy period across the FW network. This objective is additional to the requirement that NBN Co provide peak wholesale download speeds of at least 25 Mbps.</w:t>
      </w:r>
    </w:p>
    <w:p w:rsidR="000244F7" w:rsidRPr="00462632" w:rsidRDefault="000244F7" w:rsidP="000A2893">
      <w:pPr>
        <w:keepLines/>
      </w:pPr>
      <w:r w:rsidRPr="00462632">
        <w:lastRenderedPageBreak/>
        <w:t>The Notice will also enable ACMA to allocate 42.5 MHz of spectrum for spectrum licensing in some regional areas, and 25 MHz in major regional centres. This spectrum will be optimised for wide area wireless broadband use and falls within the broad 3.3–3.8 GHz band that has been internationally identified as a pioneer band for 5G. Allocating this spectrum via spectrum licences in these regional areas will promote the long-term development and expansion of modern communications networks in regional Australia. For example, this spectrum could be used by an MNO to expand 5G coverage into regional areas.</w:t>
      </w:r>
    </w:p>
    <w:p w:rsidR="000A2893" w:rsidRPr="003B5E85" w:rsidRDefault="000A2893" w:rsidP="000A2893">
      <w:pPr>
        <w:pStyle w:val="Heading2"/>
      </w:pPr>
      <w:bookmarkStart w:id="27" w:name="_Toc50372355"/>
      <w:bookmarkStart w:id="28" w:name="_Toc51682554"/>
      <w:r w:rsidRPr="003B5E85">
        <w:lastRenderedPageBreak/>
        <w:t>Consultation questions</w:t>
      </w:r>
      <w:bookmarkEnd w:id="27"/>
      <w:bookmarkEnd w:id="28"/>
    </w:p>
    <w:p w:rsidR="000A2893" w:rsidRPr="003B5E85" w:rsidRDefault="000A2893" w:rsidP="000A2893">
      <w:pPr>
        <w:pStyle w:val="ListParagraph"/>
      </w:pPr>
      <w:r w:rsidRPr="003B5E85">
        <w:t>Do you support the proposed approach to designate the specified geographic areas and frequency ranges for spectrum licensing? Why or why not?</w:t>
      </w:r>
    </w:p>
    <w:p w:rsidR="000A2893" w:rsidRPr="003B5E85" w:rsidRDefault="000A2893" w:rsidP="000A2893">
      <w:pPr>
        <w:pStyle w:val="ListParagraph"/>
      </w:pPr>
      <w:r w:rsidRPr="003B5E85">
        <w:t>Would the Notice as drafted affect you? If so, how?</w:t>
      </w:r>
    </w:p>
    <w:p w:rsidR="000A2893" w:rsidRPr="003B5E85" w:rsidRDefault="000A2893" w:rsidP="000A2893">
      <w:pPr>
        <w:pStyle w:val="ListParagraph"/>
      </w:pPr>
      <w:r w:rsidRPr="003B5E85">
        <w:t>Do you have any concerns about the Notice? If so, what are they?</w:t>
      </w:r>
    </w:p>
    <w:p w:rsidR="000A2893" w:rsidRPr="003B5E85" w:rsidRDefault="000A2893" w:rsidP="000A2893">
      <w:pPr>
        <w:pStyle w:val="ListParagraph"/>
      </w:pPr>
      <w:r w:rsidRPr="003B5E85">
        <w:t>Are there alternative options to a designation that could facilitate defragmentation of spectrum holdings and achieve greater uniformity of licence type that the Government should consider?</w:t>
      </w:r>
    </w:p>
    <w:p w:rsidR="000A2893" w:rsidRPr="003B5E85" w:rsidRDefault="000A2893" w:rsidP="000A2893">
      <w:pPr>
        <w:pStyle w:val="Heading2"/>
      </w:pPr>
      <w:bookmarkStart w:id="29" w:name="_Toc50372356"/>
      <w:bookmarkStart w:id="30" w:name="_Toc51682555"/>
      <w:r w:rsidRPr="003B5E85">
        <w:lastRenderedPageBreak/>
        <w:t xml:space="preserve">Next </w:t>
      </w:r>
      <w:r>
        <w:t>s</w:t>
      </w:r>
      <w:r w:rsidRPr="003B5E85">
        <w:t>teps</w:t>
      </w:r>
      <w:bookmarkEnd w:id="29"/>
      <w:bookmarkEnd w:id="30"/>
    </w:p>
    <w:p w:rsidR="00EA251A" w:rsidRDefault="000A2893" w:rsidP="000A2893">
      <w:r w:rsidRPr="003B5E85">
        <w:t>If the Minister decides to proceed with a designation, he would issue a designation notice covering the areas and frequencies as set out in the Notice (subject to any changes necessary following this consultation). The Department expects the Minister to be in a position to decide on whether or not to make such a notice in December 2020, upon receipt of advice from ACMA that the current restack process has been concluded.</w:t>
      </w:r>
    </w:p>
    <w:p w:rsidR="00EA251A" w:rsidRDefault="000A2893" w:rsidP="000A2893">
      <w:r w:rsidRPr="003B5E85">
        <w:t xml:space="preserve">Following the making of such a notice, ACMA would commence the conversion process for NBN </w:t>
      </w:r>
      <w:proofErr w:type="spellStart"/>
      <w:r w:rsidRPr="003B5E85">
        <w:t>Co’s</w:t>
      </w:r>
      <w:proofErr w:type="spellEnd"/>
      <w:r w:rsidRPr="003B5E85">
        <w:t xml:space="preserve"> apparatus licences, by preparing a conversion plan, consulting NBN Co on draft spectrum licences, and making a formal offer of spectrum licences to NBN Co. If NBN Co does not accept the spectrum licences offered by ACMA, ACMA would proceed to allocate the spectrum licences in accordance with procedures determined under section 60 of the Act.</w:t>
      </w:r>
    </w:p>
    <w:p w:rsidR="000A2893" w:rsidRPr="003B5E85" w:rsidRDefault="000A2893" w:rsidP="000A2893">
      <w:r w:rsidRPr="003B5E85">
        <w:t>In parallel with this consultation, the Government is separately considering whether to direct ACMA in relation to the fixing of a charge for spectrum licences to be offered to NBN Co and the terms of any such direction.</w:t>
      </w:r>
    </w:p>
    <w:p w:rsidR="000A2893" w:rsidRPr="003B5E85" w:rsidRDefault="000A2893" w:rsidP="000A2893">
      <w:r w:rsidRPr="003B5E85">
        <w:lastRenderedPageBreak/>
        <w:t xml:space="preserve">Once NBN </w:t>
      </w:r>
      <w:proofErr w:type="spellStart"/>
      <w:r w:rsidRPr="003B5E85">
        <w:t>Co’s</w:t>
      </w:r>
      <w:proofErr w:type="spellEnd"/>
      <w:r w:rsidRPr="003B5E85">
        <w:t xml:space="preserve"> apparatus licences are converted to spectrum licences it will be possible for NBN Co and Optus to trade, or vary with ACMA’s support, their licences to improve contiguity of their spectrum holdings. After this, ACMA may then proceed with the resumption of the inner-metropolitan spectrum held by NBN Co.</w:t>
      </w:r>
    </w:p>
    <w:p w:rsidR="00EA251A" w:rsidRDefault="000A2893" w:rsidP="000A2893">
      <w:r w:rsidRPr="003B5E85">
        <w:t>ACMA would then commence work on an allocation of the newly designated regional spectrum, which would involve ACMA issuing a marketing plan under s.39 of the Act and subsequently allocating licences in accordance with procedures determined by ACMA under s.60 of the Act. Pending an assessment on its utility, this would also include allocating the resumed inner-metropolitan spectrum.</w:t>
      </w:r>
    </w:p>
    <w:p w:rsidR="000A2893" w:rsidRPr="003B5E85" w:rsidRDefault="000A2893" w:rsidP="000A2893">
      <w:pPr>
        <w:pStyle w:val="Heading2"/>
      </w:pPr>
      <w:bookmarkStart w:id="31" w:name="_Toc50372357"/>
      <w:bookmarkStart w:id="32" w:name="_Toc51682556"/>
      <w:r w:rsidRPr="003B5E85">
        <w:lastRenderedPageBreak/>
        <w:t xml:space="preserve">Feedback </w:t>
      </w:r>
      <w:r>
        <w:t>o</w:t>
      </w:r>
      <w:r w:rsidRPr="003B5E85">
        <w:t>ptions</w:t>
      </w:r>
      <w:bookmarkEnd w:id="31"/>
      <w:bookmarkEnd w:id="32"/>
    </w:p>
    <w:p w:rsidR="00EA251A" w:rsidRDefault="000A2893" w:rsidP="000A2893">
      <w:r w:rsidRPr="003B5E85">
        <w:t>The Department invites responses to the questions posed above.</w:t>
      </w:r>
    </w:p>
    <w:p w:rsidR="000A2893" w:rsidRPr="003B5E85" w:rsidRDefault="000A2893" w:rsidP="000A2893">
      <w:r w:rsidRPr="003B5E85">
        <w:t xml:space="preserve">Email submissions can be made by sending a response to </w:t>
      </w:r>
      <w:hyperlink r:id="rId17" w:history="1">
        <w:r w:rsidRPr="003B5E85">
          <w:rPr>
            <w:rStyle w:val="Hyperlink"/>
          </w:rPr>
          <w:t>spectrumaccessandmanagement@communications.gov.au</w:t>
        </w:r>
      </w:hyperlink>
      <w:r w:rsidRPr="003B5E85">
        <w:t>. Submissions in PDF, Microsoft Word or Rich Text Format are preferred.</w:t>
      </w:r>
    </w:p>
    <w:p w:rsidR="00EA251A" w:rsidRDefault="000A2893" w:rsidP="000A2893">
      <w:r w:rsidRPr="003B5E85">
        <w:t>Submissions by post can be sent to:</w:t>
      </w:r>
    </w:p>
    <w:p w:rsidR="000A2893" w:rsidRPr="003B5E85" w:rsidRDefault="000A2893" w:rsidP="00FC7932">
      <w:pPr>
        <w:ind w:left="567"/>
      </w:pPr>
      <w:r w:rsidRPr="003B5E85">
        <w:t>The Director</w:t>
      </w:r>
      <w:r w:rsidR="00FC7932">
        <w:br/>
      </w:r>
      <w:r w:rsidRPr="003B5E85">
        <w:t>Spectrum Access and Management</w:t>
      </w:r>
      <w:r w:rsidR="00FC7932">
        <w:br/>
      </w:r>
      <w:r w:rsidRPr="003B5E85">
        <w:t>Department of Infrastructure, Transport, Regional Development and Communications</w:t>
      </w:r>
      <w:r w:rsidR="00FC7932">
        <w:br/>
      </w:r>
      <w:r w:rsidRPr="003B5E85">
        <w:t>GPO Box 594</w:t>
      </w:r>
      <w:r w:rsidR="00FC7932">
        <w:br/>
      </w:r>
      <w:r w:rsidRPr="003B5E85">
        <w:t>Canberra ACT 2601</w:t>
      </w:r>
    </w:p>
    <w:p w:rsidR="000A2893" w:rsidRPr="003B5E85" w:rsidRDefault="000A2893" w:rsidP="000A2893">
      <w:r w:rsidRPr="003B5E85">
        <w:t xml:space="preserve">The closing date for submissions is </w:t>
      </w:r>
      <w:r w:rsidRPr="00FC7932">
        <w:rPr>
          <w:b/>
        </w:rPr>
        <w:t>5pm AEST, Tuesday 20 October 2020</w:t>
      </w:r>
      <w:r w:rsidRPr="003B5E85">
        <w:t>.</w:t>
      </w:r>
    </w:p>
    <w:p w:rsidR="000A2893" w:rsidRPr="003B5E85" w:rsidRDefault="000A2893" w:rsidP="00FC7932">
      <w:pPr>
        <w:pStyle w:val="Heading3"/>
      </w:pPr>
      <w:bookmarkStart w:id="33" w:name="_Toc348105639"/>
      <w:bookmarkStart w:id="34" w:name="_Toc300909558"/>
      <w:bookmarkStart w:id="35" w:name="_Toc50372358"/>
      <w:bookmarkStart w:id="36" w:name="_Toc51682557"/>
      <w:r w:rsidRPr="003B5E85">
        <w:lastRenderedPageBreak/>
        <w:t>Publication of submissions</w:t>
      </w:r>
      <w:bookmarkEnd w:id="33"/>
      <w:bookmarkEnd w:id="34"/>
      <w:bookmarkEnd w:id="35"/>
      <w:bookmarkEnd w:id="36"/>
    </w:p>
    <w:p w:rsidR="000A2893" w:rsidRPr="003B5E85" w:rsidRDefault="000A2893" w:rsidP="000A2893">
      <w:bookmarkStart w:id="37" w:name="_Toc348105640"/>
      <w:bookmarkStart w:id="38" w:name="_Toc300909559"/>
      <w:bookmarkStart w:id="39" w:name="_Toc265246234"/>
      <w:r w:rsidRPr="003B5E85">
        <w:t xml:space="preserve">The Department publishes submissions on our website, including personal information (such as names and contact details), except for information that you have claimed (and we </w:t>
      </w:r>
      <w:r w:rsidR="000848D7">
        <w:t>have accepted) is confidential.</w:t>
      </w:r>
    </w:p>
    <w:p w:rsidR="000A2893" w:rsidRPr="003B5E85" w:rsidRDefault="000A2893" w:rsidP="000A2893">
      <w:r w:rsidRPr="003B5E85">
        <w:t>Confidential information will not be published or otherwise released unless required or authorised by law.</w:t>
      </w:r>
    </w:p>
    <w:p w:rsidR="000A2893" w:rsidRPr="003B5E85" w:rsidRDefault="000A2893" w:rsidP="00FC7932">
      <w:pPr>
        <w:pStyle w:val="Heading3"/>
      </w:pPr>
      <w:bookmarkStart w:id="40" w:name="_Toc50372359"/>
      <w:bookmarkStart w:id="41" w:name="_Toc51682558"/>
      <w:r w:rsidRPr="003B5E85">
        <w:t>Privacy</w:t>
      </w:r>
      <w:bookmarkEnd w:id="40"/>
      <w:bookmarkEnd w:id="41"/>
    </w:p>
    <w:p w:rsidR="000A2893" w:rsidRPr="003B5E85" w:rsidRDefault="000A2893" w:rsidP="000A2893">
      <w:r w:rsidRPr="003B5E85">
        <w:t xml:space="preserve">View information about our policy on the </w:t>
      </w:r>
      <w:hyperlink r:id="rId18" w:history="1">
        <w:r w:rsidRPr="003B5E85">
          <w:rPr>
            <w:rStyle w:val="Hyperlink"/>
          </w:rPr>
          <w:t>publication of submissions</w:t>
        </w:r>
      </w:hyperlink>
      <w:r w:rsidRPr="003B5E85">
        <w:t>, including collection of personal information during consultation and how we handle that information.</w:t>
      </w:r>
    </w:p>
    <w:bookmarkEnd w:id="37"/>
    <w:bookmarkEnd w:id="38"/>
    <w:bookmarkEnd w:id="39"/>
    <w:p w:rsidR="00F61FA1" w:rsidRDefault="000A2893" w:rsidP="00F61FA1">
      <w:r w:rsidRPr="003B5E85">
        <w:t xml:space="preserve">Information on the Privacy Act 1988, how to access or correct personal information, how to make a privacy complaint and how we will deal with the complaint, is available in our </w:t>
      </w:r>
      <w:hyperlink r:id="rId19" w:history="1">
        <w:r w:rsidRPr="003B5E85">
          <w:rPr>
            <w:rStyle w:val="Hyperlink"/>
          </w:rPr>
          <w:t>privacy policy</w:t>
        </w:r>
      </w:hyperlink>
      <w:r w:rsidR="00FC7932">
        <w:t>.</w:t>
      </w:r>
    </w:p>
    <w:p w:rsidR="00517A68" w:rsidRPr="00B319F0" w:rsidRDefault="00517A68" w:rsidP="00517A68">
      <w:pPr>
        <w:pStyle w:val="Heading2"/>
      </w:pPr>
      <w:bookmarkStart w:id="42" w:name="_Attachment_A:_HCIS"/>
      <w:bookmarkStart w:id="43" w:name="_Toc50372360"/>
      <w:bookmarkStart w:id="44" w:name="_Toc51682559"/>
      <w:bookmarkEnd w:id="42"/>
      <w:r w:rsidRPr="00B319F0">
        <w:lastRenderedPageBreak/>
        <w:t>Attachment A: HCIS description and images of designated areas</w:t>
      </w:r>
      <w:bookmarkEnd w:id="43"/>
      <w:bookmarkEnd w:id="44"/>
    </w:p>
    <w:p w:rsidR="00517A68" w:rsidRPr="00B319F0" w:rsidRDefault="00517A68" w:rsidP="00517A68">
      <w:r w:rsidRPr="00B319F0">
        <w:t xml:space="preserve">The HCIS in this and the following attachments can be converted into a </w:t>
      </w:r>
      <w:proofErr w:type="spellStart"/>
      <w:r w:rsidRPr="00B319F0">
        <w:t>Placemark</w:t>
      </w:r>
      <w:proofErr w:type="spellEnd"/>
      <w:r w:rsidRPr="00B319F0">
        <w:t xml:space="preserve"> file (viewable in Google Earth) through a facility on the </w:t>
      </w:r>
      <w:hyperlink r:id="rId20" w:history="1">
        <w:r w:rsidRPr="00B319F0">
          <w:rPr>
            <w:rStyle w:val="Hyperlink"/>
          </w:rPr>
          <w:t>ACMA website</w:t>
        </w:r>
      </w:hyperlink>
      <w:r w:rsidRPr="00B319F0">
        <w:t>.</w:t>
      </w:r>
    </w:p>
    <w:p w:rsidR="00517A68" w:rsidRDefault="003C0579" w:rsidP="00517A68">
      <w:pPr>
        <w:pStyle w:val="Tablefigureheading"/>
        <w:keepLines/>
      </w:pPr>
      <w:bookmarkStart w:id="45" w:name="_Toc51682562"/>
      <w:r w:rsidRPr="00B319F0">
        <w:t>HCIS description and images of designated areas</w:t>
      </w:r>
      <w:bookmarkEnd w:id="45"/>
    </w:p>
    <w:tbl>
      <w:tblPr>
        <w:tblStyle w:val="PlainTable1"/>
        <w:tblW w:w="9493" w:type="dxa"/>
        <w:tblLook w:val="04A0" w:firstRow="1" w:lastRow="0" w:firstColumn="1" w:lastColumn="0" w:noHBand="0" w:noVBand="1"/>
        <w:tblDescription w:val="HCIS description and images of designated areas"/>
      </w:tblPr>
      <w:tblGrid>
        <w:gridCol w:w="2122"/>
        <w:gridCol w:w="7371"/>
      </w:tblGrid>
      <w:tr w:rsidR="00517A68" w:rsidRPr="00B54D18" w:rsidTr="00517A6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2" w:type="dxa"/>
            <w:shd w:val="clear" w:color="auto" w:fill="D5DCE4"/>
          </w:tcPr>
          <w:p w:rsidR="00517A68" w:rsidRPr="00517A68" w:rsidRDefault="00517A68" w:rsidP="00517A68">
            <w:pPr>
              <w:pStyle w:val="Tablerowcolumnheading"/>
              <w:rPr>
                <w:b/>
              </w:rPr>
            </w:pPr>
            <w:r w:rsidRPr="00517A68">
              <w:rPr>
                <w:b/>
              </w:rPr>
              <w:t>Area name</w:t>
            </w:r>
          </w:p>
        </w:tc>
        <w:tc>
          <w:tcPr>
            <w:tcW w:w="7371" w:type="dxa"/>
            <w:shd w:val="clear" w:color="auto" w:fill="D5DCE4"/>
          </w:tcPr>
          <w:p w:rsidR="00517A68" w:rsidRPr="00517A68" w:rsidRDefault="00517A68" w:rsidP="00517A6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517A68">
              <w:rPr>
                <w:b/>
              </w:rPr>
              <w:t>HCIS description</w:t>
            </w:r>
          </w:p>
        </w:tc>
      </w:tr>
      <w:tr w:rsidR="00517A68" w:rsidRPr="00B54D18" w:rsidTr="00517A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Adelaide A</w:t>
            </w:r>
          </w:p>
        </w:tc>
        <w:tc>
          <w:tcPr>
            <w:tcW w:w="7371" w:type="dxa"/>
          </w:tcPr>
          <w:p w:rsidR="00517A68" w:rsidRPr="00A619D0" w:rsidRDefault="00517A68" w:rsidP="00517A68">
            <w:pPr>
              <w:pStyle w:val="Tabletext"/>
              <w:cnfStyle w:val="000000100000" w:firstRow="0" w:lastRow="0" w:firstColumn="0" w:lastColumn="0" w:oddVBand="0" w:evenVBand="0" w:oddHBand="1" w:evenHBand="0" w:firstRowFirstColumn="0" w:firstRowLastColumn="0" w:lastRowFirstColumn="0" w:lastRowLastColumn="0"/>
            </w:pPr>
            <w:r w:rsidRPr="00A619D0">
              <w:t>IW3J, IW3K, IW3L, IW3N, IW3O, IW3P, IW6B, IW6C, IW6D, IW6F, IW6G, IW6H, IW3E5, IW3E6, IW3E8, IW3E9, IW3F4, IW3F5, IW3F6, IW3F7, IW3F8, IW3F9, IW3G4, IW3G5, IW3G6, IW3G7, IW3G8, IW3G9, IW3H4, IW3H5, IW3H6, IW3H7, IW3H8, IW3H9, IW3I2, IW3I3, IW3I5, IW3I6, IW3I8, IW3I9, IW3M2, IW3M3, IW3M5, IW3M6, IW3M8, IW3M9, IW6A2, IW6A3, IW6A5, IW6A6, IW6A8, IW6A9, IW6E2, IW6E3, IW6E5, IW6E6, IW6E8, IW6E9, JW1E4, JW1E7, JW1I1, JW1I4, JW1I7, JW1M1, JW1M4</w:t>
            </w:r>
          </w:p>
        </w:tc>
      </w:tr>
      <w:tr w:rsidR="00517A68" w:rsidRPr="00B54D18" w:rsidTr="00517A68">
        <w:trPr>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Adelaide B</w:t>
            </w:r>
          </w:p>
        </w:tc>
        <w:tc>
          <w:tcPr>
            <w:tcW w:w="7371" w:type="dxa"/>
          </w:tcPr>
          <w:p w:rsidR="00517A68" w:rsidRPr="00A619D0" w:rsidRDefault="00517A68" w:rsidP="00517A68">
            <w:pPr>
              <w:pStyle w:val="Tabletext"/>
              <w:cnfStyle w:val="000000000000" w:firstRow="0" w:lastRow="0" w:firstColumn="0" w:lastColumn="0" w:oddVBand="0" w:evenVBand="0" w:oddHBand="0" w:evenHBand="0" w:firstRowFirstColumn="0" w:firstRowLastColumn="0" w:lastRowFirstColumn="0" w:lastRowLastColumn="0"/>
            </w:pPr>
            <w:r w:rsidRPr="00A619D0">
              <w:t xml:space="preserve">IW2, IW3, IW5, IW6, IW7, IW8, IW9, JW1, JW4, IV8K, IV8L, IV8N, IV8O, IV8P, IV9F, IV9I, IV9J, IV9K, IV9L, IV9M, IV9N, IV9O, IV9P, IW1P, IW4D, IW4G, IW4H, IW4K, IW4L, IW4N, IW4O, IW4P, JV7M, JV7N, JV7O, JV7P, JV8M, JW2A, JW2B, JW2C, JW2E, JW2F, JW2G, JW2H, JW2I, JW2J, JW2K, JW2M, JW2N, JW2O, JW5A, JW5B, JW5C, JW5E, JW5F, JW5I, JW5J, JW5M, JW7A, JW7B, JW7C, JW7D, JW7E, JW7F, JW7G, JW7I, JW8A, IV8H9, IV8J8, IV8J9, IV9E3, IV9E4, IV9E5, IV9E6, IV9E7, IV9E8, IV9E9, IV9G1, IV9G2, IV9G4, IV9G5, IV9G6, IV9G7, IV9G8, IV9G9, IW1L6, IW1L9, JV7I7, JV7I8, JV7I9, JV7J7, JV7J8, JV7J9, JV7K7, JV7K8, JV7K9, JV7L7, JV7L8, JV7L9, JV8I7, JV8I8, JV8I9, JV8N1, JV8N4, JV8N5, JV8N6, JV8N7, JV8N8, JV8N9, JV8O7, </w:t>
            </w:r>
            <w:r w:rsidRPr="00A619D0">
              <w:lastRenderedPageBreak/>
              <w:t>JW2D1, JW2D2, JW2D4, JW2D5, JW2D6, JW2D7, JW2D8, JW2D9, JW2L1, JW2L2, JW2L3, JW2L4, JW2L5, JW2L6, JW3A7, JW3E1, JW5N1, JW5N2, JW5N4, JW5N5, JW5N7, JW5N8, JW8B1, JW8B2, JW8B4</w:t>
            </w:r>
          </w:p>
        </w:tc>
      </w:tr>
      <w:tr w:rsidR="00517A68" w:rsidRPr="00B54D18" w:rsidTr="00517A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lastRenderedPageBreak/>
              <w:t>Albury</w:t>
            </w:r>
          </w:p>
        </w:tc>
        <w:tc>
          <w:tcPr>
            <w:tcW w:w="7371" w:type="dxa"/>
          </w:tcPr>
          <w:p w:rsidR="00517A68" w:rsidRPr="00A619D0" w:rsidRDefault="00517A68" w:rsidP="00517A68">
            <w:pPr>
              <w:pStyle w:val="Tabletext"/>
              <w:cnfStyle w:val="000000100000" w:firstRow="0" w:lastRow="0" w:firstColumn="0" w:lastColumn="0" w:oddVBand="0" w:evenVBand="0" w:oddHBand="1" w:evenHBand="0" w:firstRowFirstColumn="0" w:firstRowLastColumn="0" w:lastRowFirstColumn="0" w:lastRowLastColumn="0"/>
            </w:pPr>
            <w:r w:rsidRPr="00A619D0">
              <w:t>LW5P, LW6M, LW8D, LW8H, LW9A, LW9E, LW5O2, LW5O3, LW5O5, LW5O6, LW5O8, LW5O9, LW8C2, LW8C3, LW8C5, LW8C6, LW8C8, LW8C9, LW8G2, LW8G3, LW8G5, LW8G6, LW8G8, LW8G9</w:t>
            </w:r>
          </w:p>
        </w:tc>
      </w:tr>
      <w:tr w:rsidR="00517A68" w:rsidRPr="00B54D18" w:rsidTr="00517A68">
        <w:trPr>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Ballarat and Bendigo</w:t>
            </w:r>
          </w:p>
        </w:tc>
        <w:tc>
          <w:tcPr>
            <w:tcW w:w="7371" w:type="dxa"/>
          </w:tcPr>
          <w:p w:rsidR="00517A68" w:rsidRPr="00A619D0" w:rsidRDefault="00517A68" w:rsidP="00517A68">
            <w:pPr>
              <w:pStyle w:val="Tabletext"/>
              <w:cnfStyle w:val="000000000000" w:firstRow="0" w:lastRow="0" w:firstColumn="0" w:lastColumn="0" w:oddVBand="0" w:evenVBand="0" w:oddHBand="0" w:evenHBand="0" w:firstRowFirstColumn="0" w:firstRowLastColumn="0" w:lastRowFirstColumn="0" w:lastRowLastColumn="0"/>
            </w:pPr>
            <w:r w:rsidRPr="00A619D0">
              <w:t>KW9I, KW9J, KW9M, KW9N, KX2G, KX2H, KX2K, KX2L, KX3A, KX3B, KW8H6, KW8H9, KW8L3, KW8L6, KW8L9, KW8P3, KW8P6, KW8P9, KW9E4, KW9E5, KW9E6, KW9E7, KW9E8, KW9E9, KW9F4, KW9F5, KW9F6, KW9F7, KW9F8, KW9F9, KW9G4, KW9G5, KW9G7, KW9G8, KW9K1, KW9K2, KW9K4, KW9K5, KW9K7, KW9K8, KW9O1, KW9O2, KW9O4, KW9O5, KW9O7, KW9O8, KX2C7, KX2C8, KX2C9, KX2D3, KX2D6, KX2D7, KX2D8, KX2D9, KX2O1, KX2O2, KX2O3, KX2O4, KX2O5, KX2O6, KX2P1, KX2P2, KX2P3, KX2P4, KX2P5, KX2P6, KX3C1, KX3C2, KX3C4, KX3C5, KX3C7, KX3C8, KX3E1, KX3E2, KX3E3, KX3E4, KX3E5, KX3E6, KX3E7, KX3E8, KX3F1, KX3F2, KX3F3, KX3F4, KX3I1, KX3I2, KX3I4, KX3I5, KX3I7, KX3M1</w:t>
            </w:r>
          </w:p>
        </w:tc>
      </w:tr>
      <w:tr w:rsidR="00517A68" w:rsidRPr="00B54D18" w:rsidTr="00517A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Brisbane A</w:t>
            </w:r>
          </w:p>
        </w:tc>
        <w:tc>
          <w:tcPr>
            <w:tcW w:w="7371" w:type="dxa"/>
          </w:tcPr>
          <w:p w:rsidR="00517A68" w:rsidRPr="00A619D0" w:rsidRDefault="00517A68" w:rsidP="00517A68">
            <w:pPr>
              <w:pStyle w:val="Tabletext"/>
              <w:cnfStyle w:val="000000100000" w:firstRow="0" w:lastRow="0" w:firstColumn="0" w:lastColumn="0" w:oddVBand="0" w:evenVBand="0" w:oddHBand="1" w:evenHBand="0" w:firstRowFirstColumn="0" w:firstRowLastColumn="0" w:lastRowFirstColumn="0" w:lastRowLastColumn="0"/>
            </w:pPr>
            <w:r w:rsidRPr="00A619D0">
              <w:t>NT9, NT8C, NT8D, NT8G, NT8H, NT8K, NT8L, NT8O, NT8P, NU3A, NU3B, NU3C, NU3D, NU3F, NU3G, NU3H, NT5O4, NT5O5, NT5O6, NT5O7, NT5O8, NT5O9, NT5P4, NT5P5, NT5P6, NT5P7, NT5P8, NT5P9, NT6M4, NT6M5, NT6M6, NT6M7, NT6M8, NT6M9, NT6N4, NT6N5, NT6N6, NT6N7, NT6N8, NT6N9, NT6O4, NT6O5, NT6O6, NT6O7, NT6O8, NT6O9, NT6P4, NT6P5, NT6P6, NT6P7, NT6P8, NT6P9, NU2C1, NU2C2, NU2C3, NU2D1, NU2D2, NU2D3, NU2D5, NU2D6, NU2D8, NU2D9, NU2H2, NU2H3, NU3E1, NU3E2, NU3E3, NU3E5, NU3E6, NU3E8, NU3E9, NU3I2, NU3I3, NU3J1, NU3J2, NU3J3, NU3K1, NU3K2, NU3K3, NU3L1, NU3L2, NU3L3</w:t>
            </w:r>
          </w:p>
        </w:tc>
      </w:tr>
      <w:tr w:rsidR="00517A68" w:rsidRPr="00B54D18" w:rsidTr="00517A68">
        <w:trPr>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Brisbane B</w:t>
            </w:r>
          </w:p>
        </w:tc>
        <w:tc>
          <w:tcPr>
            <w:tcW w:w="7371" w:type="dxa"/>
          </w:tcPr>
          <w:p w:rsidR="00517A68" w:rsidRPr="00A619D0" w:rsidRDefault="00517A68" w:rsidP="00517A68">
            <w:pPr>
              <w:pStyle w:val="Tabletext"/>
              <w:cnfStyle w:val="000000000000" w:firstRow="0" w:lastRow="0" w:firstColumn="0" w:lastColumn="0" w:oddVBand="0" w:evenVBand="0" w:oddHBand="0" w:evenHBand="0" w:firstRowFirstColumn="0" w:firstRowLastColumn="0" w:lastRowFirstColumn="0" w:lastRowLastColumn="0"/>
            </w:pPr>
            <w:r w:rsidRPr="00A619D0">
              <w:t xml:space="preserve">NT6, NT8, NT9, NU3, NT2P, NT3M, NT3N, NT3O, NT3P, NT4G, NT4H, NT4K, NT4L, NT4O, NT4P, NT5D, NT5E, NT5F, NT5G, NT5H, NT5I, NT5J, NT5K, NT5L, NT5M, NT5N, NT5O, NT5P, NT7C, NT7D, NT7F, NT7G, NT7H, NT7I, NT7J, NT7K, NT7L, NT7N, NT7O, NT7P, NU2A, NU2B, NU2C, NU2D, NU2E, NU2F, NU2G, </w:t>
            </w:r>
            <w:r w:rsidRPr="00A619D0">
              <w:lastRenderedPageBreak/>
              <w:t>NU2H, NU2L, NU2P, NU6A, NU6B, NU6C, NU6D, NT2O3, NT2O5, NT2O6, NT2O8, NT2O9, NT4C6, NT4C9, NT4D4, NT4D5, NT4D6, NT4D7, NT4D8, NT4D9, NT5A4, NT5A5, NT5A6, NT5A7, NT5A8, NT5A9, NT5B4, NT5B5, NT5B6, NT5B7, NT5B8, NT5B9, NT5C2, NT5C3, NT5C4, NT5C5, NT5C6, NT5C7, NT5C8, NT5C9, NT7A6, NT7A8, NT7A9, NT7B2, NT7B3, NT7B4, NT7B5, NT7B6, NT7B7, NT7B8, NT7B9, NT7E2, NT7E3, NT7E4, NT7E5, NT7E6, NT7E7, NT7E8, NT7E9, NT7M1, NT7M2, NT7M3, NT7M5, NT7M6, NT7M9, NU1B2, NU1B3, NU1B5, NU1B6, NU1C1, NU1C2, NU1C3, NU1C4, NU1C5, NU1C6, NU1D1, NU1D2, NU1D3, NU1D4, NU1D5, NU1D6, NU1D9, NU1H3, NU2J3, NU2K1, NU2K2, NU2K3, NU5D1, NU5D2, NU5D3, NU6E1, NU6E2, NU6E3, NU6E4, NU6E5, NU6E6, NU6F1, NU6F2, NU6F3, NU6F4, NU6F5, NU6F6, NU6G1, NU6G2, NU6G3, NU6G4, NU6G5, NU6G6, NU6H1, NU6H2, NU6H3, NU6H4, NU6H5, NU6H6</w:t>
            </w:r>
          </w:p>
        </w:tc>
      </w:tr>
      <w:tr w:rsidR="00517A68" w:rsidRPr="00B54D18" w:rsidTr="00517A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lastRenderedPageBreak/>
              <w:t>Cairns</w:t>
            </w:r>
          </w:p>
        </w:tc>
        <w:tc>
          <w:tcPr>
            <w:tcW w:w="7371" w:type="dxa"/>
          </w:tcPr>
          <w:p w:rsidR="00517A68" w:rsidRPr="00A619D0" w:rsidRDefault="00517A68" w:rsidP="00517A68">
            <w:pPr>
              <w:pStyle w:val="Tabletext"/>
              <w:cnfStyle w:val="000000100000" w:firstRow="0" w:lastRow="0" w:firstColumn="0" w:lastColumn="0" w:oddVBand="0" w:evenVBand="0" w:oddHBand="1" w:evenHBand="0" w:firstRowFirstColumn="0" w:firstRowLastColumn="0" w:lastRowFirstColumn="0" w:lastRowLastColumn="0"/>
            </w:pPr>
            <w:r w:rsidRPr="00A619D0">
              <w:t>LQ1K, LQ1L, LQ1O, LQ1P, LQ1J2, LQ1J3, LQ1J5, LQ1J6, LQ1J8, LQ1J9, LQ1N2, LQ1N3, LQ1N5, LQ1N6, LQ1N8, LQ1N9, LQ4B2, LQ4B3, LQ4B5, LQ4B6, LQ4C1, LQ4C2, LQ4C3, LQ4C4, LQ4C5, LQ4C6, LQ4D1, LQ4D2, LQ4D3, LQ4D4, LQ4D5, LQ4D6</w:t>
            </w:r>
          </w:p>
        </w:tc>
      </w:tr>
      <w:tr w:rsidR="00517A68" w:rsidRPr="00B54D18" w:rsidTr="00517A68">
        <w:trPr>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Canberra A</w:t>
            </w:r>
          </w:p>
        </w:tc>
        <w:tc>
          <w:tcPr>
            <w:tcW w:w="7371" w:type="dxa"/>
          </w:tcPr>
          <w:p w:rsidR="00517A68" w:rsidRPr="00A619D0" w:rsidRDefault="00517A68" w:rsidP="00517A68">
            <w:pPr>
              <w:pStyle w:val="Tabletext"/>
              <w:cnfStyle w:val="000000000000" w:firstRow="0" w:lastRow="0" w:firstColumn="0" w:lastColumn="0" w:oddVBand="0" w:evenVBand="0" w:oddHBand="0" w:evenHBand="0" w:firstRowFirstColumn="0" w:firstRowLastColumn="0" w:lastRowFirstColumn="0" w:lastRowLastColumn="0"/>
            </w:pPr>
            <w:r w:rsidRPr="00A619D0">
              <w:t>MW4D, MW4H, MW4L, MW5A, MW5B, MW5E, MW5F, MW5I, MW5J, MW1P4, MW1P5, MW1P6, MW1P7, MW1P8, MW1P9, MW2M4, MW2M5, MW2M6, MW2M7, MW2M8, MW2M9, MW2N4, MW2N5, MW2N6, MW2N7, MW2N8, MW2N9, MW4P1, MW4P2, MW4P3, MW5M1, MW5M2, MW5M3, MW5N1, MW5N2, MW5N3</w:t>
            </w:r>
          </w:p>
        </w:tc>
      </w:tr>
      <w:tr w:rsidR="00517A68" w:rsidRPr="00B54D18" w:rsidTr="00517A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Canberra/</w:t>
            </w:r>
            <w:r w:rsidRPr="00517A68">
              <w:rPr>
                <w:b w:val="0"/>
              </w:rPr>
              <w:br/>
              <w:t>Sydney</w:t>
            </w:r>
          </w:p>
        </w:tc>
        <w:tc>
          <w:tcPr>
            <w:tcW w:w="7371" w:type="dxa"/>
          </w:tcPr>
          <w:p w:rsidR="00517A68" w:rsidRPr="00A619D0" w:rsidRDefault="00517A68" w:rsidP="00517A68">
            <w:pPr>
              <w:pStyle w:val="Tabletext"/>
              <w:cnfStyle w:val="000000100000" w:firstRow="0" w:lastRow="0" w:firstColumn="0" w:lastColumn="0" w:oddVBand="0" w:evenVBand="0" w:oddHBand="1" w:evenHBand="0" w:firstRowFirstColumn="0" w:firstRowLastColumn="0" w:lastRowFirstColumn="0" w:lastRowLastColumn="0"/>
            </w:pPr>
            <w:r w:rsidRPr="00A619D0">
              <w:t xml:space="preserve">MW, MV6, MV9, NV4, NV5, NV7, NW1, MV2P, MV3D, MV3H, MV3L, MV3M, MV3N, MV3O, MV3P, MV5D, MV5H, MV5L, MV5P, MV7L, MV7O, MV7P, MV8D, MV8H, MV8I, MV8J, MV8K, MV8L, MV8M, MV8N, MV8O, MV8P, MX1C, MX1D, MX1H, MX2A, MX2B, MX2C, MX2D, MX2E, MX2F, MX2G, MX2H, MX3A, MX3B, MX3C, MX3D, MX3E, MX3F, MX3G, MX3H, NV1I, NV1J, NV1K, NV1L, NV1M, NV1N, NV1O, NV1P, NV2H, NV2I, NV2J, NV2K, NV2L, NV2M, NV2N, NV2O, NV2P, NV3E, NV3F, NV3G, NV3H, NV3I, NV3J, NV3K, NV3L, NV3M, NV3N, NV3O, NV3P, LW3L3, LW3L5, LW3L6, LW3L8, LW3L9, LW3P3, LW3P6, LW3P9, LW6D3, </w:t>
            </w:r>
            <w:r w:rsidRPr="00A619D0">
              <w:lastRenderedPageBreak/>
              <w:t>LW6D6, LW6D9, LW6H3, LW6H6, LW6H9, LW6L3, LW6L6, LW6L9, LW6P3, LW6P6, LW6P9, LW9D3, LW9D6, LW9D9, MV3G9, MV3K3, MV3K6, MV3K9, MV5G5, MV5G6, MV5G8, MV5G9, MV5K2, MV5K3, MV7K6, MV7K8, MV7K9, MV7N9, MV8E6, MV8E9, MV8F4, MV8F5, MV8F6, MV8F7, MV8F8, MV8F9, MV8G4, MV8G5, MV8G6, MV8G7, MV8G8, MV8G9, NV2D7, NV2D8, NV2D9</w:t>
            </w:r>
          </w:p>
        </w:tc>
      </w:tr>
      <w:tr w:rsidR="00517A68" w:rsidRPr="00B54D18" w:rsidTr="00517A68">
        <w:trPr>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lastRenderedPageBreak/>
              <w:t>Hobart</w:t>
            </w:r>
          </w:p>
        </w:tc>
        <w:tc>
          <w:tcPr>
            <w:tcW w:w="7371" w:type="dxa"/>
          </w:tcPr>
          <w:p w:rsidR="00517A68" w:rsidRPr="00A619D0" w:rsidRDefault="00517A68" w:rsidP="00517A68">
            <w:pPr>
              <w:pStyle w:val="Tabletext"/>
              <w:cnfStyle w:val="000000000000" w:firstRow="0" w:lastRow="0" w:firstColumn="0" w:lastColumn="0" w:oddVBand="0" w:evenVBand="0" w:oddHBand="0" w:evenHBand="0" w:firstRowFirstColumn="0" w:firstRowLastColumn="0" w:lastRowFirstColumn="0" w:lastRowLastColumn="0"/>
            </w:pPr>
            <w:r w:rsidRPr="00A619D0">
              <w:t>LY8L, LY8P, LY9I, LY9J, LY9K, LY9L, LY9M, LY9N, LY9O, LY9P, LZ2D, LZ2H, LZ3A, LZ3B, LZ3C, LZ3D, LZ3E, LZ3F, LZ3G, LZ3H, LY8H4, LY8H5, LY8H6, LY8H7, LY8H8, LY8H9, LY9E4, LY9E5, LY9E6, LY9E7, LY9E8, LY9E9, LY9F4, LY9F5, LY9F6, LY9F7, LY9F8, LY9F9, LY9G4, LY9G5, LY9G6, LY9G7, LY9G8, LY9G9, LY9H4, LY9H5, LY9H6, LY9H7, LY9H8, LY9H9, LZ2L1, LZ2L2, LZ2L3, LZ3I1, LZ3I2, LZ3I3, LZ3J1, LZ3J2, LZ3J3, LZ3K1, LZ3K2, LZ3K3, LZ3L1, LZ3L2, LZ3L3</w:t>
            </w:r>
          </w:p>
        </w:tc>
      </w:tr>
      <w:tr w:rsidR="00517A68" w:rsidRPr="00B54D18" w:rsidTr="00517A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Launceston</w:t>
            </w:r>
          </w:p>
        </w:tc>
        <w:tc>
          <w:tcPr>
            <w:tcW w:w="7371" w:type="dxa"/>
          </w:tcPr>
          <w:p w:rsidR="00517A68" w:rsidRPr="00A619D0" w:rsidRDefault="00517A68" w:rsidP="00517A68">
            <w:pPr>
              <w:pStyle w:val="Tabletext"/>
              <w:cnfStyle w:val="000000100000" w:firstRow="0" w:lastRow="0" w:firstColumn="0" w:lastColumn="0" w:oddVBand="0" w:evenVBand="0" w:oddHBand="1" w:evenHBand="0" w:firstRowFirstColumn="0" w:firstRowLastColumn="0" w:lastRowFirstColumn="0" w:lastRowLastColumn="0"/>
            </w:pPr>
            <w:r w:rsidRPr="00A619D0">
              <w:t>LY5C, LY5D, LY5G, LY5H, LY6A, LY6B, LY6E, LY6F, LY5K1, LY5K2, LY5K3, LY5K4, LY5K5, LY5K6, LY5L1, LY5L2, LY5L3, LY5L4, LY5L5, LY5L6, LY6I1, LY6I2, LY6I3, LY6I4, LY6I5, LY6I6, LY6J1, LY6J2, LY6J3, LY6J4, LY6J5, LY6J6</w:t>
            </w:r>
          </w:p>
        </w:tc>
      </w:tr>
      <w:tr w:rsidR="00517A68" w:rsidRPr="00B54D18" w:rsidTr="00517A68">
        <w:trPr>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Melbourne A</w:t>
            </w:r>
          </w:p>
        </w:tc>
        <w:tc>
          <w:tcPr>
            <w:tcW w:w="7371" w:type="dxa"/>
          </w:tcPr>
          <w:p w:rsidR="00517A68" w:rsidRPr="00A619D0" w:rsidRDefault="00517A68" w:rsidP="00517A68">
            <w:pPr>
              <w:pStyle w:val="Tabletext"/>
              <w:cnfStyle w:val="000000000000" w:firstRow="0" w:lastRow="0" w:firstColumn="0" w:lastColumn="0" w:oddVBand="0" w:evenVBand="0" w:oddHBand="0" w:evenHBand="0" w:firstRowFirstColumn="0" w:firstRowLastColumn="0" w:lastRowFirstColumn="0" w:lastRowLastColumn="0"/>
            </w:pPr>
            <w:r w:rsidRPr="00A619D0">
              <w:t>KX3J, KX3K, KX3L, KX3N, KX3O, KX3P, KX6A, KX6B, KX6C, KX6D, KX6E, KX6F, KX6G, KX6H, KX6I, KX6J, KX6K, KX6L, LX1I, LX1M, LX1N, LX1O, LX4A, LX4B, LX4C, LX4E, LX4I, KX3E9, KX3F5, KX3F6, KX3F7, KX3F8, KX3F9, KX3G1, KX3G2, KX3G4, KX3G5, KX3G6, KX3G7, KX3G8, KX3G9, KX3H4, KX3H5, KX3H6, KX3H7, KX3H8, KX3H9, KX3I3, KX3I6, KX3I8, KX3I9, KX3M2, KX3M3, KX3M4, KX3M5, KX3M6, KX3M7, KX3M8, KX3M9, LX1E4, LX1E7, LX1E8, LX1E9, LX1J1, LX1J4, LX1J5, LX1J6, LX1J7, LX1J8, LX1J9, LX1K4, LX1K7, LX4F1, LX4F2, LX4F4, LX4F5, LX4F7, LX4F8, LX4J1, LX4J2, LX4J4, LX4J5, LX4J7, LX4J8</w:t>
            </w:r>
          </w:p>
        </w:tc>
      </w:tr>
      <w:tr w:rsidR="00517A68" w:rsidRPr="00B54D18" w:rsidTr="00517A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Melbourne B</w:t>
            </w:r>
          </w:p>
        </w:tc>
        <w:tc>
          <w:tcPr>
            <w:tcW w:w="7371" w:type="dxa"/>
          </w:tcPr>
          <w:p w:rsidR="00517A68" w:rsidRPr="00A619D0" w:rsidRDefault="00517A68" w:rsidP="00517A68">
            <w:pPr>
              <w:pStyle w:val="Tabletext"/>
              <w:cnfStyle w:val="000000100000" w:firstRow="0" w:lastRow="0" w:firstColumn="0" w:lastColumn="0" w:oddVBand="0" w:evenVBand="0" w:oddHBand="1" w:evenHBand="0" w:firstRowFirstColumn="0" w:firstRowLastColumn="0" w:lastRowFirstColumn="0" w:lastRowLastColumn="0"/>
            </w:pPr>
            <w:r w:rsidRPr="00A619D0">
              <w:t xml:space="preserve">KW9, KX2, KX3, KX5, KX6, KX8, KX9, LX1, LX4, LX5, LX7, LX8, KW7L, KW7O, KW7P, KW8B, KW8C, KW8D, KW8E, KW8F, KW8G, KW8H, KW8I, KW8J, KW8K, KW8L, KW8M, KW8N, KW8O, KW8P, KX1C, KX1D, KX1G, KX1H, KX1K, KX1L, KX1O, KX1P, KX4C, KX4D, KX4G, KX4H, KX4J, KX4K, KX4L, KX4N, KX4O, KX4P, LW7A, LW7E, LW7F, LW7I, LW7J, LW7K, LW7M, LW7N, LW7O, LW7P, LX2A, LX2E, LX2I, LX2M, LX2N, LX2O, LX6A, LX6E, LX6I, LX6M, KW5P8, KW5P9, KW6M7, KW6M8, KW6M9, KW6N7, KW6N8, KW6N9, KW6O7, KW6O8, KW6O9, KW6P7, KW6P8, KW6P9, </w:t>
            </w:r>
            <w:r w:rsidRPr="00A619D0">
              <w:lastRenderedPageBreak/>
              <w:t>KW7D9, KW7H3, KW7H5, KW7H6, KW7H8, KW7H9, KW7K5, KW7K6, KW7K8, KW7K9, KW8A2, KW8A3, KW8A4, KW8A5, KW8A6, KW8A7, KW8A8, KW8A9, KX1J9, KX1N3, KX1N6, KX1N9, KX4B3, KX4B6, KX4B9, KX4F3, KX4F5, KX4F6, KX4F7, KX4F8, KX4F9, LW4M7, LW4M8, LW4M9, LW7B1, LW7B4, LW7B5, LW7B7, LW7B8, LW7B9, LW7C7, LW7C8, LW7G1, LW7G2, LW7G4, LW7G5, LW7G6, LW7G7, LW7G8, LW7G9, LW7H7, LW7L1, LW7L2, LW7L4, LW7L5, LW7L7, LW7L8, LW8M4, LW8M5, LW8M7, LW8M8, LW8M9, LX2P4, LX2P5, LX2P6, LX2P7, LX2P8, LX2P9, LX3M7, LX3M8, LX3M9, LX6B4, LX6B7, LX6F1, LX6F4, LX6F7, LX6J1, LX6J4, LX6J7, LX6N1, LX6N4</w:t>
            </w:r>
          </w:p>
        </w:tc>
      </w:tr>
      <w:tr w:rsidR="00517A68" w:rsidRPr="00B54D18" w:rsidTr="00517A68">
        <w:trPr>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lastRenderedPageBreak/>
              <w:t>Perth A</w:t>
            </w:r>
          </w:p>
        </w:tc>
        <w:tc>
          <w:tcPr>
            <w:tcW w:w="7371" w:type="dxa"/>
          </w:tcPr>
          <w:p w:rsidR="00517A68" w:rsidRPr="00A619D0" w:rsidRDefault="00517A68" w:rsidP="00517A68">
            <w:pPr>
              <w:pStyle w:val="Tabletext"/>
              <w:cnfStyle w:val="000000000000" w:firstRow="0" w:lastRow="0" w:firstColumn="0" w:lastColumn="0" w:oddVBand="0" w:evenVBand="0" w:oddHBand="0" w:evenHBand="0" w:firstRowFirstColumn="0" w:firstRowLastColumn="0" w:lastRowFirstColumn="0" w:lastRowLastColumn="0"/>
            </w:pPr>
            <w:r w:rsidRPr="00A619D0">
              <w:t>BV1I, BV1J, BV1K, BV1L, BV1M, BV1N, BV1O, BV1P, BV2I, BV2J, BV2M, BV2N, BV4A, BV4B, BV4C, BV4D, BV4E, BV4F, BV4G, BV4H, BV4I, BV4J, BV4K, BV4L, BV5A, BV5B, BV5E, BV5F, BV5I, BV5J, BV1E7, BV1E8, BV1E9, BV1F7, BV1F8, BV1F9, BV1G7, BV1G8, BV1G9, BV1H7, BV1H8, BV1H9, BV2E7, BV2E8, BV2E9, BV2F7, BV2F8, BV2F9, BV4M1, BV4M2, BV4M3, BV4N1, BV4N2, BV4N3, BV4O1, BV4O2, BV4O3, BV4P1, BV4P2, BV4P3, BV5M1, BV5M2, BV5M3, BV5N1, BV5N2, BV5N3</w:t>
            </w:r>
          </w:p>
        </w:tc>
      </w:tr>
      <w:tr w:rsidR="00517A68" w:rsidRPr="00B54D18" w:rsidTr="00517A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Perth B</w:t>
            </w:r>
          </w:p>
        </w:tc>
        <w:tc>
          <w:tcPr>
            <w:tcW w:w="7371" w:type="dxa"/>
          </w:tcPr>
          <w:p w:rsidR="00517A68" w:rsidRPr="00A619D0" w:rsidRDefault="00517A68" w:rsidP="00517A68">
            <w:pPr>
              <w:pStyle w:val="Tabletext"/>
              <w:cnfStyle w:val="000000100000" w:firstRow="0" w:lastRow="0" w:firstColumn="0" w:lastColumn="0" w:oddVBand="0" w:evenVBand="0" w:oddHBand="1" w:evenHBand="0" w:firstRowFirstColumn="0" w:firstRowLastColumn="0" w:lastRowFirstColumn="0" w:lastRowLastColumn="0"/>
            </w:pPr>
            <w:r w:rsidRPr="00A619D0">
              <w:t>AV9, AW3, BV1, BV2, BV4, BV5, BV7, BV8, BW1, BW2, BW5, BV3A, BV3B, BV3E, BV3F, BV3I, BV3J, BV3M, BV3N, BV6A, BV6B, BV6E, BV6F, BV6I, BV6J, BV6M, BV6N, BV9A, BV9B, BV9E, BV9F, BV9I, BV9J, BV9M, BV9N, BW3A, BW6A, BW6E, BW6I, BW6M, BV3C1, BV3C2, BV3C4, BV3C5, BV3C7, BV3C8, BV3G1, BV3G2, BV3G4, BV3G5, BV9C1, BV9C2, BV9C4, BV9C5, BV9C7, BV9C8, BV9G1, BV9G2, BV9G4, BV9G5, BV9G7, BV9G8, BW3M4, BW3M7, BW3M8</w:t>
            </w:r>
          </w:p>
        </w:tc>
      </w:tr>
      <w:tr w:rsidR="00517A68" w:rsidRPr="00B54D18" w:rsidTr="00517A68">
        <w:trPr>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Regional A</w:t>
            </w:r>
          </w:p>
        </w:tc>
        <w:tc>
          <w:tcPr>
            <w:tcW w:w="7371" w:type="dxa"/>
          </w:tcPr>
          <w:p w:rsidR="00517A68" w:rsidRPr="00A619D0" w:rsidRDefault="00517A68" w:rsidP="00517A68">
            <w:pPr>
              <w:pStyle w:val="Tabletext"/>
              <w:cnfStyle w:val="000000000000" w:firstRow="0" w:lastRow="0" w:firstColumn="0" w:lastColumn="0" w:oddVBand="0" w:evenVBand="0" w:oddHBand="0" w:evenHBand="0" w:firstRowFirstColumn="0" w:firstRowLastColumn="0" w:lastRowFirstColumn="0" w:lastRowLastColumn="0"/>
            </w:pPr>
            <w:r w:rsidRPr="00A619D0">
              <w:t xml:space="preserve">CV, DV, IV, JV, KQ, KV, LV, AV9, AW3, BV3, BV6, BV7, BV8, BV9, BW1, BW2, BW3, BW5, BW6, CW1, CW2, CW3, CW4, DW1, DW2, DW3, EV1, EV2, EV3, EV4, EV5, EV6, EV7, FV1, FV2, FV3, FV4, FV5, GV1, GV2, GV3, GV6, HV1, HV2, HV3, HV4, HV5, HV6, HV8, HV9, HW3, HW6, IW1, IW2, IW4, IW5, IW7, IW8, IW9, JW2, JW3, JW4, JW5, JW6, JW7, JW8, JW9, JX1, JX2, JX3, JX5, JX6, KO1, KO4, KO5, KO7, KO8, KP1, KP2, KP4, KP5, KP6, KP7, KP8, KP9, KW1, KW2, KW3, KW4, KW5, KW6, KW7, KX1, KX4, KX5, KX8, KX9, KY2, KY3, KY6, LP4, LP7, LQ2, LQ5, LQ7, LR1, LR4, LR5, LR6, LR7, LR8, LR9, LW1, LW2, LW3, LW4, LW7, LX2, LX3, LX5, LX6, LX7, LX8, LX9, </w:t>
            </w:r>
            <w:r w:rsidRPr="00A619D0">
              <w:lastRenderedPageBreak/>
              <w:t xml:space="preserve">LY1, LY2, LY3, LY4, LY7, LZ1, MR1, MR4, MR5, MR7, MR8, MR9, MS1, MS2, MS3, MS4, MS5, MS7, MS8, MS9, MT1, MT2, MT3, MT6, MT7, MT8, MT9, MU1, MU2, MU3, MU4, MU7, MU8, MU9, MV1, MV2, MV3, MV4, MV5, MV6, MV7, MV8, MW6, MW7, MW8, MW9, MX1, MX2, MX3, MX4, MX7, MY1, MY4, MY7, MZ1, NS4, NS7, NS8, NS9, NT1, NT2, NT3, NT4, NU1, NU4, NU5, NU6, NU8, NU9, NV1, NV2, NV3, BV1A, BV1B, BV1C, BV1D, BV2A, BV2B, BV2C, BV2D, BV2G, BV2H, BV2K, BV2L, BV2O, BV2P, BV5C, BV5D, BV5G, BV5H, BV5K, BV5L, BV5O, BV5P, IW3A, IW3B, IW3C, IW3D, IW6I, IW6J, IW6K, IW6L, IW6M, IW6N, IW6O, IW6P, JW1A, JW1B, JW1C, JW1D, JW1F, JW1G, JW1H, JW1J, JW1K, JW1L, JW1N, JW1O, JW1P, KW8A, KW8B, KW8C, KW8D, KW8E, KW8F, KW8G, KW8I, KW8J, KW8K, KW8M, KW8N, KW8O, KW9A, KW9B, KW9C, KW9D, KW9H, KW9L, KW9P, KX2A, KX2B, KX2E, KX2F, KX2I, KX2J, KX2M, KX2N, KX3D, KX6M, KX6N, KX6O, KX6P, LQ1A, LQ1B, LQ1C, LQ1D, LQ1E, LQ1F, LQ1G, LQ1H, LQ1I, LQ1M, LQ4A, LQ4E, LQ4F, LQ4G, LQ4H, LQ4I, LQ4J, LQ4K, LQ4L, LQ4M, LQ4N, LQ4O, LQ4P, LQ8A, LQ8B, LQ8C, LQ8D, LQ8E, LQ8F, LQ8G, LQ8H, LQ8I, LQ8J, LQ8K, LQ8L, LQ8M, LR2A, LR2E, LR2I, LR2M, LR2N, LR2O, LR2P, LR3B, LR3C, LR3D, LR3F, LR3G, LR3H, LR3J, LR3K, LR3L, LR3M, LR3N, LR3O, LR3P, LW5A, LW5B, LW5C, LW5D, LW5E, LW5F, LW5G, LW5H, LW5I, LW5J, LW5K, LW5L, LW5M, LW5N, LW6A, LW6B, LW6C, LW6D, LW6E, LW6F, LW6G, LW6H, LW6I, LW6J, LW6K, LW6L, LW6N, LW6O, LW6P, LW8A, LW8B, LW8E, LW8F, LW8I, LW8J, LW8K, LW8L, LW8M, LW8N, LW8O, LW8P, LW9B, LW9C, LW9D, LW9F, LW9G, LW9H, LW9I, LW9J, LW9K, LW9L, LW9M, LW9N, LW9O, LW9P, LX1A, LX1B, LX1C, LX1D, LX1F, LX1G, LX1H, LX1L, LX1P, LX4D, LX4G, LX4H, LX4K, LX4L, LX4M, LX4N, LX4O, LX4P, LY5A, LY5B, LY5E, LY5F, LY5I, LY5J, LY5M, LY5N, LY5O, LY5P, LY6C, LY6D, LY6G, LY6H, LY6K, LY6L, LY6M, LY6N, LY6O, LY6P, LY8A, LY8B, LY8C, LY8D, LY8E, LY8F, LY8G, LY8I, LY8J, LY8K, LY8M, LY8N, LY8O, LY9A, LY9B, LY9C, LY9D, LZ2A, LZ2B, LZ2C, LZ2E, LZ2F, LZ2G, LZ2I, LZ2J, LZ2K, LZ2M, LZ2N, LZ2O, LZ2P, LZ3M, LZ3N, LZ3O, LZ3P, MS6M, MS6N, MS6O, MS6P, MT4A, MT4B, MT4C, MT4D, MT4E, MT4I, MT4M, MT4N, MT5A, MT5B, MT5C, MT5D, MT5F, MT5G, MT5H, MT5J, MT5K, </w:t>
            </w:r>
            <w:r w:rsidRPr="00A619D0">
              <w:lastRenderedPageBreak/>
              <w:t xml:space="preserve">MT5L, MT5N, MT5O, MT5P, MU5A, MU5B, MU5E, MU5F, MU5I, MU5J, MU5M, MU5N, MU5O, MU5P, MU6B, MU6C, MU6D, MU6F, MU6G, MU6H, MU6J, MU6K, MU6L, MU6M, MU6N, MU6O, MU6P, MV9A, MV9B, MV9C, MW1A, MW1B, MW1C, MW1D, MW1E, MW1F, MW1G, MW1H, MW1I, MW1J, MW1K, MW1L, MW1M, MW1N, MW1O, MW2A, MW2B, MW2C, MW2D, MW2E, MW2F, MW2G, MW2H, MW2I, MW2J, MW2K, MW2L, MW2O, MW2P, MW3A, MW3E, MW3I, MW3M, MW3N, MW4A, MW4B, MW4C, MW4E, MW4F, MW4G, MW4I, MW4J, MW4K, MW4M, MW4N, MW4O, MW5C, MW5D, MW5G, MW5H, MW5K, MW5L, MW5O, MW5P, NT5A, NT5B, NT5C, NT5D, NT5E, NT5F, NT5G, NT5H, NT5I, NT5J, NT5K, NT5L, NT5M, NT5N, NT6A, NT6B, NT6C, NT6D, NT6E, NT6F, NT6G, NT6H, NT6I, NT6J, NT6K, NT6L, NT7A, NT7B, NT7C, NT7D, NT7E, NT7F, NT7I, NT7J, NT7M, NT7N, NT8A, NT8B, NU2A, NU2B, NU2E, NU2F, NU2G, NU2I, NU2J, NU2K, NU2L, NU2M, NU2N, NU2O, NU2P, NU3M, NU3N, NU3O, NU3P, NU7A, NU7B, NU7C, NU7D, NU7E, NU7F, NU7G, NU7H, NU7I, NU7J, NU7L, NU7M, NU7N, NU7O, NU7P, NV4A, NV4B, NV4C, NV4D, NV4E, NV4F, NV4G, NV4H, NV5A, NV5B, NV5C, NV5D, NV5E, NV5F, NV5G, NV5H, BV1E1, BV1E2, BV1E3, BV1E4, BV1E5, BV1E6, BV1F1, BV1F2, BV1F3, BV1F4, BV1F5, BV1F6, BV1G1, BV1G2, BV1G3, BV1G4, BV1G5, BV1G6, BV1H1, BV1H2, BV1H3, BV1H4, BV1H5, BV1H6, BV2E1, BV2E2, BV2E3, BV2E4, BV2E5, BV2E6, BV2F1, BV2F2, BV2F3, BV2F4, BV2F5, BV2F6, BV4M4, BV4M5, BV4M6, BV4M7, BV4M8, BV4M9, BV4N4, BV4N5, BV4N6, BV4N7, BV4N8, BV4N9, BV4O4, BV4O5, BV4O6, BV4O7, BV4O8, BV4O9, BV4P4, BV4P5, BV4P6, BV4P7, BV4P8, BV4P9, BV5M4, BV5M5, BV5M6, BV5M7, BV5M8, BV5M9, BV5N4, BV5N5, BV5N6, BV5N7, BV5N8, BV5N9, IW3E1, IW3E2, IW3E3, IW3E4, IW3E7, IW3F1, IW3F2, IW3F3, IW3G1, IW3G2, IW3G3, IW3H1, IW3H2, IW3H3, IW3I1, IW3I4, IW3I7, IW3M1, IW3M4, IW3M7, IW6A1, IW6A4, IW6A7, IW6E1, IW6E4, IW6E7, JW1E1, JW1E2, JW1E3, JW1E5, JW1E6, JW1E8, JW1E9, JW1I2, JW1I3, JW1I5, JW1I6, JW1I8, JW1I9, JW1M2, JW1M3, JW1M5, JW1M6, JW1M7, JW1M8, JW1M9, KW8H1, KW8H2, KW8H3, KW8H4, KW8H5, KW8H7, KW8H8, KW8L1, KW8L2, KW8L4, KW8L5, KW8L7, KW8L8, KW8P1, KW8P2, </w:t>
            </w:r>
            <w:r w:rsidRPr="00A619D0">
              <w:lastRenderedPageBreak/>
              <w:t xml:space="preserve">KW8P4, KW8P5, KW8P7, KW8P8, KW9E1, KW9E2, KW9E3, KW9F1, KW9F2, KW9F3, KW9G1, KW9G2, KW9G3, KW9G6, KW9G9, KW9K3, KW9K6, KW9K9, KW9O3, KW9O6, KW9O9, KX2C1, KX2C2, KX2C3, KX2C4, KX2C5, KX2C6, KX2D1, KX2D2, KX2D4, KX2D5, KX2O7, KX2O8, KX2O9, KX2P7, KX2P8, KX2P9, KX3C3, KX3C6, KX3C9, KX3G3, KX3H1, KX3H2, KX3H3, LQ1J1, LQ1J4, LQ1J7, LQ1N1, LQ1N4, LQ1N7, LQ4B1, LQ4B4, LQ4B7, LQ4B8, LQ4B9, LQ4C7, LQ4C8, LQ4C9, LQ4D7, LQ4D8, LQ4D9, LQ8N1, LQ8N2, LQ8N3, LQ8N4, LQ8N5, LQ8N6, LQ8N7, LQ8O1, LQ8O2, LQ8O3, LQ8O4, LQ8O5, LQ8O6, LQ8P1, LQ8P2, LQ8P3, LQ8P4, LQ8P5, LQ8P6, LR2B1, LR2B4, LR2B7, LR2F1, LR2F4, LR2F7, LR2J1, LR2J4, LR2J7, LR2J8, LR2J9, LR2K7, LR2K8, LR2K9, LR2L7, LR2L8, LR2L9, LR3A3, LR3A6, LR3A9, LR3E3, LR3E6, LR3E9, LR3I3, LR3I6, LR3I7, LR3I8, LR3I9, LW5O1, LW5O4, LW5O7, LW8C1, LW8C4, LW8C7, LW8G1, LW8G4, LW8G7, LX1E1, LX1E2, LX1E3, LX1E5, LX1E6, LX1J2, LX1J3, LX1K1, LX1K2, LX1K3, LX1K5, LX1K6, LX1K8, LX1K9, LX4F3, LX4F6, LX4F9, LX4J3, LX4J6, LX4J9, LY5K7, LY5K8, LY5K9, LY5L7, LY5L8, LY5L9, LY6I7, LY6I8, LY6I9, LY6J7, LY6J8, LY6J9, LY8H1, LY8H2, LY8H3, LY9E1, LY9E2, LY9E3, LY9F1, LY9F2, LY9F3, LY9G1, LY9G2, LY9G3, LY9H1, LY9H2, LY9H3, LZ2L4, LZ2L5, LZ2L6, LZ2L7, LZ2L8, LZ2L9, LZ3I4, LZ3I5, LZ3I6, LZ3I7, LZ3I8, LZ3I9, LZ3J4, LZ3J5, LZ3J6, LZ3J7, LZ3J8, LZ3J9, LZ3K4, LZ3K5, LZ3K6, LZ3K7, LZ3K8, LZ3K9, LZ3L4, LZ3L5, LZ3L6, LZ3L7, LZ3L8, LZ3L9, MT4F1, MT4F2, MT4F3, MT4F4, MT4F5, MT4F6, MT4F7, MT4F8, MT4G1, MT4J1, MT4J2, MT4J4, MT4J5, MT4J7, MT4J8, MT4J9, MT4O4, MT4O5, MT4O7, MT4O8, MT4O9, MT4P6, MT4P7, MT4P8, MT4P9, MT5E1, MT5E2, MT5E3, MT5E5, MT5E6, MT5E8, MT5E9, MT5I3, MT5I6, MT5I8, MT5I9, MT5M2, MT5M3, MT5M4, MT5M5, MT5M6, MT5M7, MT5M8, MT5M9, MU5C1, MU5C2, MU5C3, MU5C4, MU5C5, MU5C6, MU5C7, MU5D1, MU5D2, MU5D3, MU5D4, MU5D5, MU5D6, MU5K7, MU6A1, MU6A2, MU6A3, MU6A4, MU6A5, MU6A6, MU6A8, MU6A9, MU6E3, MU6E6, MU6E9, MU6I3, MU6I6, MU6I8, MU6I9, MV9D1, MV9D2, MV9D3, MV9D4, MV9D5, MV9D7, MV9D8, MV9E1, MV9E2, MV9E3, MV9F1, MV9F2, MV9F3, MV9G1, MV9G2, MV9G3, MV9H1, MV9H2, MW1P1, MW1P2, MW1P3, MW2M1, MW2M2, </w:t>
            </w:r>
            <w:r w:rsidRPr="00A619D0">
              <w:lastRenderedPageBreak/>
              <w:t>MW2M3, MW2N1, MW2N2, MW2N3, MW3B1, MW3B4, MW3B7, MW3F1, MW3F4, MW3F7, MW3J1, MW3J4, MW3J5, MW3J6, MW3J7, MW3J8, MW3J9, MW3O4, MW3O5, MW3O6, MW3O7, MW3O8, MW3O9, MW3P4, MW3P5, MW3P6, MW3P7, MW3P8, MW3P9, MW4P4, MW4P5, MW4P6, MW4P7, MW4P8, MW4P9, MW5M4, MW5M5, MW5M6, MW5M7, MW5M8, MW5M9, MW5N4, MW5N5, MW5N6, MW5N7, MW5N8, MW5N9, NT5O1, NT5O2, NT5O3, NT5P1, NT5P2, NT5P3, NT6M1, NT6M2, NT6M3, NT6N1, NT6N2, NT6N3, NT6O1, NT6O2, NT6O3, NT6P1, NT6P2, NT6P3, NT7G1, NT7G4, NT7G7, NT7K1, NT7K4, NT7K7, NT7O1, NT7O4, NT7O7, NT7O8, NT7O9, NT7P7, NT7P8, NT7P9, NT8M7, NT8M8, NT8M9, NT8N7, NT8N8, NT8N9, NU2C4, NU2C5, NU2C6, NU2C7, NU2C8, NU2C9, NU2D4, NU2D7, NU2H1, NU2H4, NU2H5, NU2H6, NU2H7, NU2H8, NU2H9, NU3E4, NU3E7, NU3I1, NU3I4, NU3I5, NU3I6, NU3I7, NU3I8, NU3I9, NU3J4, NU3J5, NU3J6, NU3J7, NU3J8, NU3J9, NU3K4, NU3K5, NU3K6, NU3K7, NU3K8, NU3K9, NU3L4, NU3L5, NU3L6, NU3L7, NU3L8, NU3L9, NU7K1, NU7K2, NU7K3, NU7K5, NU7K6, NU7K7, NU7K8, NU7K9, NV4I1, NV4I2, NV4I3, NV4I4, NV4I7, NV4J1, NV4J2, NV4J3, NV4K1, NV4K2, NV4K3, NV4L1, NV4L2, NV4L3, NV4M1, NV4M4, NV4M7, NV5I1, NV5I2, NV5I3, NV5J1, NV5J2, NV5J3, NV5K1, NV5K2, NV5K3, NV5L1, NV5L2, NV5L3, NV7A1, NW1M4, NW1M5, NW1M6, NW1M7, NW1M8, NW1M9, NW1N4, NW1N5, NW1N6, NW1N7, NW1N8, NW1N9, NW1O4, NW1O5, NW1O6, NW1O7, NW1O8, NW1O9, NW1P4, NW1P5, NW1P6, NW1P7, NW1P8, NW1P9</w:t>
            </w:r>
          </w:p>
        </w:tc>
      </w:tr>
      <w:tr w:rsidR="00517A68" w:rsidRPr="00B54D18" w:rsidTr="00517A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lastRenderedPageBreak/>
              <w:t>Regional B</w:t>
            </w:r>
          </w:p>
        </w:tc>
        <w:tc>
          <w:tcPr>
            <w:tcW w:w="7371" w:type="dxa"/>
          </w:tcPr>
          <w:p w:rsidR="00517A68" w:rsidRPr="00A619D0" w:rsidRDefault="00517A68" w:rsidP="00517A68">
            <w:pPr>
              <w:pStyle w:val="Tabletext"/>
              <w:cnfStyle w:val="000000100000" w:firstRow="0" w:lastRow="0" w:firstColumn="0" w:lastColumn="0" w:oddVBand="0" w:evenVBand="0" w:oddHBand="1" w:evenHBand="0" w:firstRowFirstColumn="0" w:firstRowLastColumn="0" w:lastRowFirstColumn="0" w:lastRowLastColumn="0"/>
            </w:pPr>
            <w:r w:rsidRPr="00A619D0">
              <w:t>AU6I, AU6J, AU6K, AU6L, AU6M, AU6N, AU6O, AU6P, AU9, BU4H, BU4I, BU4J, BU4K, BU4L, BU4M, BU4N, BU4O, BU4P, BU5E, BU5F, BU5G, BU5H, BU5I, BU5J, BU5K, BU5L, BU5M, BU5N, BU5O, BU5P, BU7, BU8, BU9A, BU9B, BU9E, BU9F, BU9I, BU9J, BU9M, BU9N</w:t>
            </w:r>
          </w:p>
        </w:tc>
      </w:tr>
      <w:tr w:rsidR="00517A68" w:rsidRPr="00B54D18" w:rsidTr="00517A68">
        <w:trPr>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Rockhampton</w:t>
            </w:r>
          </w:p>
        </w:tc>
        <w:tc>
          <w:tcPr>
            <w:tcW w:w="7371" w:type="dxa"/>
          </w:tcPr>
          <w:p w:rsidR="00517A68" w:rsidRPr="00A619D0" w:rsidRDefault="00517A68" w:rsidP="00517A68">
            <w:pPr>
              <w:pStyle w:val="Tabletext"/>
              <w:cnfStyle w:val="000000000000" w:firstRow="0" w:lastRow="0" w:firstColumn="0" w:lastColumn="0" w:oddVBand="0" w:evenVBand="0" w:oddHBand="0" w:evenHBand="0" w:firstRowFirstColumn="0" w:firstRowLastColumn="0" w:lastRowFirstColumn="0" w:lastRowLastColumn="0"/>
            </w:pPr>
            <w:r w:rsidRPr="00A619D0">
              <w:t>MS6A, MS6B, MS6C, MS6D, MS6E, MS6F, MS6G, MS6H, MS6I, MS6J, MS6K, MS6L</w:t>
            </w:r>
          </w:p>
        </w:tc>
      </w:tr>
      <w:tr w:rsidR="00517A68" w:rsidRPr="00B54D18" w:rsidTr="00517A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Sydney A</w:t>
            </w:r>
          </w:p>
        </w:tc>
        <w:tc>
          <w:tcPr>
            <w:tcW w:w="7371" w:type="dxa"/>
          </w:tcPr>
          <w:p w:rsidR="00517A68" w:rsidRPr="00A619D0" w:rsidRDefault="00517A68" w:rsidP="00517A68">
            <w:pPr>
              <w:pStyle w:val="Tabletext"/>
              <w:cnfStyle w:val="000000100000" w:firstRow="0" w:lastRow="0" w:firstColumn="0" w:lastColumn="0" w:oddVBand="0" w:evenVBand="0" w:oddHBand="1" w:evenHBand="0" w:firstRowFirstColumn="0" w:firstRowLastColumn="0" w:lastRowFirstColumn="0" w:lastRowLastColumn="0"/>
            </w:pPr>
            <w:r w:rsidRPr="00A619D0">
              <w:t xml:space="preserve">MV9I, MV9J, MV9K, MV9L, MV9M, MV9N, MV9O, MV9P, MW3C, MW3D, MW3G, MW3H, MW3K, MW3L, NV4N, NV4O, NV4P, NV5M, NV5N, NV5O, NV5P, NV7B, NV7C, NV7D, NV7E, NV7F, NV7G, NV7H, NV7I, NV7J, NV7K, NV7L, NV7M, NV7N, </w:t>
            </w:r>
            <w:r w:rsidRPr="00A619D0">
              <w:lastRenderedPageBreak/>
              <w:t>NV7O, NV7P, NW1A, NW1B, NW1C, NW1D, NW1E, NW1F, NW1G, NW1H, NW1I, NW1J, NW1K, NW1L, MV9D6, MV9D9, MV9E4, MV9E5, MV9E6, MV9E7, MV9E8, MV9E9, MV9F4, MV9F5, MV9F6, MV9F7, MV9F8, MV9F9, MV9G4, MV9G5, MV9G6, MV9G7, MV9G8, MV9G9, MV9H3, MV9H4, MV9H5, MV9H6, MV9H7, MV9H8, MV9H9, MW3B2, MW3B3, MW3B5, MW3B6, MW3B8, MW3B9, MW3F2, MW3F3, MW3F5, MW3F6, MW3F8, MW3F9, MW3J2, MW3J3, MW3O1, MW3O2, MW3O3, MW3P1, MW3P2, MW3P3, NV4I5, NV4I6, NV4I8, NV4I9, NV4J4, NV4J5, NV4J6, NV4J7, NV4J8, NV4J9, NV4K4, NV4K5, NV4K6, NV4K7, NV4K8, NV4K9, NV4L4, NV4L5, NV4L6, NV4L7, NV4L8, NV4L9, NV4M2, NV4M3, NV4M5, NV4M6, NV4M8, NV4M9, NV5I4, NV5I5, NV5I6, NV5I7, NV5I8, NV5I9, NV5J4, NV5J5, NV5J6, NV5J7, NV5J8, NV5J9, NV5K4, NV5K5, NV5K6, NV5K7, NV5K8, NV5K9, NV5L4, NV5L5, NV5L6, NV5L7, NV5L8, NV5L9, NV7A2, NV7A3, NV7A4, NV7A5, NV7A6, NV7A7, NV7A8, NV7A9, NW1M1, NW1M2, NW1M3, NW1N1, NW1N2, NW1N3, NW1O1, NW1O2, NW1O3, NW1P1, NW1P2, NW1P3</w:t>
            </w:r>
          </w:p>
        </w:tc>
      </w:tr>
      <w:tr w:rsidR="00517A68" w:rsidRPr="00B54D18" w:rsidTr="00517A68">
        <w:trPr>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lastRenderedPageBreak/>
              <w:t>Toowoomba</w:t>
            </w:r>
          </w:p>
        </w:tc>
        <w:tc>
          <w:tcPr>
            <w:tcW w:w="7371" w:type="dxa"/>
          </w:tcPr>
          <w:p w:rsidR="00517A68" w:rsidRPr="00A619D0" w:rsidRDefault="00517A68" w:rsidP="00517A68">
            <w:pPr>
              <w:pStyle w:val="Tabletext"/>
              <w:cnfStyle w:val="000000000000" w:firstRow="0" w:lastRow="0" w:firstColumn="0" w:lastColumn="0" w:oddVBand="0" w:evenVBand="0" w:oddHBand="0" w:evenHBand="0" w:firstRowFirstColumn="0" w:firstRowLastColumn="0" w:lastRowFirstColumn="0" w:lastRowLastColumn="0"/>
            </w:pPr>
            <w:r w:rsidRPr="00A619D0">
              <w:t>NT7H, NT7L, NT8E, NT8F, NT8I, NT8J, NT7G2, NT7G3, NT7G5, NT7G6, NT7G8, NT7G9, NT7K2, NT7K3, NT7K5, NT7K6, NT7K8, NT7K9, NT7O2, NT7O3, NT7O5, NT7O6, NT7P1, NT7P2, NT7P3, NT7P4, NT7P5, NT7P6, NT8M1, NT8M2, NT8M3, NT8M4, NT8M5, NT8M6, NT8N1, NT8N1, NT8N2, NT8N3, NT8N4, NT8N5, NT8N6</w:t>
            </w:r>
          </w:p>
        </w:tc>
      </w:tr>
      <w:tr w:rsidR="00517A68" w:rsidRPr="00B54D18" w:rsidTr="00517A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517A68" w:rsidRPr="00517A68" w:rsidRDefault="00517A68" w:rsidP="00517A68">
            <w:pPr>
              <w:pStyle w:val="Tabletext"/>
              <w:rPr>
                <w:b w:val="0"/>
              </w:rPr>
            </w:pPr>
            <w:r w:rsidRPr="00517A68">
              <w:rPr>
                <w:b w:val="0"/>
              </w:rPr>
              <w:t>Townsville</w:t>
            </w:r>
          </w:p>
        </w:tc>
        <w:tc>
          <w:tcPr>
            <w:tcW w:w="7371" w:type="dxa"/>
          </w:tcPr>
          <w:p w:rsidR="00517A68" w:rsidRPr="00A619D0" w:rsidRDefault="00517A68" w:rsidP="00517A68">
            <w:pPr>
              <w:pStyle w:val="Tabletext"/>
              <w:cnfStyle w:val="000000100000" w:firstRow="0" w:lastRow="0" w:firstColumn="0" w:lastColumn="0" w:oddVBand="0" w:evenVBand="0" w:oddHBand="1" w:evenHBand="0" w:firstRowFirstColumn="0" w:firstRowLastColumn="0" w:lastRowFirstColumn="0" w:lastRowLastColumn="0"/>
            </w:pPr>
            <w:r w:rsidRPr="00A619D0">
              <w:t>LR2C, LR2D, LR2G, LR2H, LQ8N8, LQ8N9, LQ8O7, LQ8O8, LQ8O9, LQ8P7, LQ8P8, LQ8P9, LR2B2, LR2B3, LR2B5, LR2B6, LR2B8, LR2B9, LR2F2, LR2F3, LR2F5, LR2F6, LR2F8, LR2F9, LR2J2, LR2J3, LR2J5, LR2J6, LR2K1, LR2K2, LR2K3, LR2K4, LR2K5, LR2K6, LR2L1, LR2L2, LR2L3, LR2L4, LR2L5, LR2L6, LR3A1, LR3A2, LR3A4, LR3A5, LR3A7, LR3A8, LR3E1, LR3E2, LR3E4, LR3E5, LR3E7, LR3E8, LR3I1, LR3I2, LR3I4, LR3I5</w:t>
            </w:r>
          </w:p>
        </w:tc>
      </w:tr>
    </w:tbl>
    <w:p w:rsidR="009466FA" w:rsidRDefault="009466FA" w:rsidP="009466FA">
      <w:pPr>
        <w:pStyle w:val="Tablefigureheading"/>
      </w:pPr>
      <w:bookmarkStart w:id="46" w:name="_Toc51682563"/>
      <w:r w:rsidRPr="00B319F0">
        <w:lastRenderedPageBreak/>
        <w:t>3400–3425 MHz</w:t>
      </w:r>
      <w:bookmarkEnd w:id="46"/>
    </w:p>
    <w:p w:rsidR="009466FA" w:rsidRPr="00B319F0" w:rsidRDefault="009466FA" w:rsidP="009466FA">
      <w:r>
        <w:rPr>
          <w:noProof/>
          <w:lang w:eastAsia="en-AU"/>
        </w:rPr>
        <w:drawing>
          <wp:inline distT="0" distB="0" distL="0" distR="0" wp14:anchorId="1C612035" wp14:editId="551D5C1B">
            <wp:extent cx="4355988" cy="4070350"/>
            <wp:effectExtent l="0" t="0" r="6985" b="6350"/>
            <wp:docPr id="77" name="Picture 77" descr="Map displaying HCIS areas to be designated for spectrum licensing in the frequency band 3400–3425 MHz." title="3400–3425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4369405" cy="4082887"/>
                    </a:xfrm>
                    <a:prstGeom prst="rect">
                      <a:avLst/>
                    </a:prstGeom>
                  </pic:spPr>
                </pic:pic>
              </a:graphicData>
            </a:graphic>
          </wp:inline>
        </w:drawing>
      </w:r>
    </w:p>
    <w:p w:rsidR="000244F7" w:rsidRDefault="009466FA" w:rsidP="009466FA">
      <w:pPr>
        <w:pStyle w:val="Tablefigureheading"/>
      </w:pPr>
      <w:bookmarkStart w:id="47" w:name="_Toc51682564"/>
      <w:r w:rsidRPr="00B319F0">
        <w:lastRenderedPageBreak/>
        <w:t>3425–3442.5 MHz</w:t>
      </w:r>
      <w:bookmarkEnd w:id="47"/>
    </w:p>
    <w:p w:rsidR="000244F7" w:rsidRDefault="009466FA" w:rsidP="00F61FA1">
      <w:r>
        <w:rPr>
          <w:noProof/>
          <w:lang w:eastAsia="en-AU"/>
        </w:rPr>
        <w:drawing>
          <wp:inline distT="0" distB="0" distL="0" distR="0" wp14:anchorId="491FE660" wp14:editId="67D5BD3A">
            <wp:extent cx="4387850" cy="3934097"/>
            <wp:effectExtent l="0" t="0" r="0" b="9525"/>
            <wp:docPr id="95" name="Picture 95" descr="Map displaying HCIS areas to be designated for spectrum licensing in the frequency band 3425–3442.5 MHz." title="3425–3442.5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4393730" cy="3939369"/>
                    </a:xfrm>
                    <a:prstGeom prst="rect">
                      <a:avLst/>
                    </a:prstGeom>
                  </pic:spPr>
                </pic:pic>
              </a:graphicData>
            </a:graphic>
          </wp:inline>
        </w:drawing>
      </w:r>
    </w:p>
    <w:p w:rsidR="009466FA" w:rsidRPr="00B319F0" w:rsidRDefault="009466FA" w:rsidP="009466FA">
      <w:pPr>
        <w:pStyle w:val="Tablefigureheading"/>
      </w:pPr>
      <w:bookmarkStart w:id="48" w:name="_Toc51682565"/>
      <w:r w:rsidRPr="00B319F0">
        <w:lastRenderedPageBreak/>
        <w:t>3442.5–3475 MHz</w:t>
      </w:r>
      <w:bookmarkEnd w:id="48"/>
    </w:p>
    <w:p w:rsidR="009466FA" w:rsidRDefault="009466FA" w:rsidP="009466FA">
      <w:r w:rsidRPr="00B319F0">
        <w:rPr>
          <w:noProof/>
          <w:lang w:eastAsia="en-AU"/>
        </w:rPr>
        <w:drawing>
          <wp:inline distT="0" distB="0" distL="0" distR="0" wp14:anchorId="20912457" wp14:editId="7B2BE7B5">
            <wp:extent cx="4349750" cy="4022859"/>
            <wp:effectExtent l="0" t="0" r="0" b="0"/>
            <wp:docPr id="62" name="Picture 62" descr="Map displaying HCIS areas to be designated for spectrum licensing in the frequency band 3442.5–3475 MHz." title="3442.5–3475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376386" cy="4047493"/>
                    </a:xfrm>
                    <a:prstGeom prst="rect">
                      <a:avLst/>
                    </a:prstGeom>
                  </pic:spPr>
                </pic:pic>
              </a:graphicData>
            </a:graphic>
          </wp:inline>
        </w:drawing>
      </w:r>
    </w:p>
    <w:p w:rsidR="009466FA" w:rsidRDefault="009466FA" w:rsidP="009466FA">
      <w:pPr>
        <w:pStyle w:val="Tablefigureheading"/>
      </w:pPr>
      <w:bookmarkStart w:id="49" w:name="_Toc51682566"/>
      <w:r w:rsidRPr="00B319F0">
        <w:lastRenderedPageBreak/>
        <w:t>3492.5–3510 MHz</w:t>
      </w:r>
      <w:bookmarkEnd w:id="49"/>
    </w:p>
    <w:p w:rsidR="009466FA" w:rsidRPr="00B319F0" w:rsidRDefault="009466FA" w:rsidP="009466FA">
      <w:r w:rsidRPr="00B319F0">
        <w:rPr>
          <w:noProof/>
          <w:lang w:eastAsia="en-AU"/>
        </w:rPr>
        <w:drawing>
          <wp:inline distT="0" distB="0" distL="0" distR="0" wp14:anchorId="5E64FD3E" wp14:editId="63542257">
            <wp:extent cx="4305300" cy="3875793"/>
            <wp:effectExtent l="0" t="0" r="0" b="0"/>
            <wp:docPr id="65" name="Picture 65" descr="Map displaying HCIS areas to be designated for spectrum licensing in the frequency band 3492.5–3510 MHz." title="3492.5–3510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324687" cy="3893246"/>
                    </a:xfrm>
                    <a:prstGeom prst="rect">
                      <a:avLst/>
                    </a:prstGeom>
                  </pic:spPr>
                </pic:pic>
              </a:graphicData>
            </a:graphic>
          </wp:inline>
        </w:drawing>
      </w:r>
    </w:p>
    <w:p w:rsidR="009466FA" w:rsidRDefault="00166093" w:rsidP="009466FA">
      <w:pPr>
        <w:pStyle w:val="Tablefigureheading"/>
      </w:pPr>
      <w:bookmarkStart w:id="50" w:name="_Toc51682567"/>
      <w:r w:rsidRPr="009466FA">
        <w:lastRenderedPageBreak/>
        <w:t>3510–35</w:t>
      </w:r>
      <w:r w:rsidR="009466FA">
        <w:t>42.5 MHz</w:t>
      </w:r>
      <w:bookmarkEnd w:id="50"/>
    </w:p>
    <w:p w:rsidR="009466FA" w:rsidRDefault="009466FA" w:rsidP="00F61FA1">
      <w:r w:rsidRPr="00B319F0">
        <w:rPr>
          <w:noProof/>
          <w:lang w:eastAsia="en-AU"/>
        </w:rPr>
        <w:drawing>
          <wp:inline distT="0" distB="0" distL="0" distR="0" wp14:anchorId="532B0F56" wp14:editId="35F82751">
            <wp:extent cx="4486940" cy="4152387"/>
            <wp:effectExtent l="0" t="0" r="8890" b="635"/>
            <wp:docPr id="66" name="Picture 66" descr="Map displaying HCIS areas to be designated for spectrum licensing in the frequency band 3510–3542.5 MHz." title="3510–3542.5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507935" cy="4171817"/>
                    </a:xfrm>
                    <a:prstGeom prst="rect">
                      <a:avLst/>
                    </a:prstGeom>
                  </pic:spPr>
                </pic:pic>
              </a:graphicData>
            </a:graphic>
          </wp:inline>
        </w:drawing>
      </w:r>
    </w:p>
    <w:p w:rsidR="003C0579" w:rsidRPr="00AB2EA6" w:rsidRDefault="003C0579" w:rsidP="003C0579">
      <w:pPr>
        <w:pStyle w:val="Heading2"/>
      </w:pPr>
      <w:bookmarkStart w:id="51" w:name="_Attachment_B:_NBN"/>
      <w:bookmarkStart w:id="52" w:name="_Toc50372361"/>
      <w:bookmarkStart w:id="53" w:name="_Toc51682560"/>
      <w:bookmarkEnd w:id="51"/>
      <w:r w:rsidRPr="00AB2EA6">
        <w:lastRenderedPageBreak/>
        <w:t xml:space="preserve">Attachment B: NBN </w:t>
      </w:r>
      <w:proofErr w:type="spellStart"/>
      <w:r w:rsidRPr="00AB2EA6">
        <w:t>Co’s</w:t>
      </w:r>
      <w:proofErr w:type="spellEnd"/>
      <w:r w:rsidRPr="00AB2EA6">
        <w:t xml:space="preserve"> PTS licence areas</w:t>
      </w:r>
      <w:bookmarkEnd w:id="52"/>
      <w:bookmarkEnd w:id="53"/>
    </w:p>
    <w:p w:rsidR="003C0579" w:rsidRDefault="00402A63" w:rsidP="003C0579">
      <w:pPr>
        <w:pStyle w:val="Tablefigureheading"/>
        <w:keepLines/>
      </w:pPr>
      <w:bookmarkStart w:id="54" w:name="_Toc51682568"/>
      <w:r w:rsidRPr="00AB2EA6">
        <w:t xml:space="preserve">NBN </w:t>
      </w:r>
      <w:proofErr w:type="spellStart"/>
      <w:r w:rsidRPr="00AB2EA6">
        <w:t>Co’s</w:t>
      </w:r>
      <w:proofErr w:type="spellEnd"/>
      <w:r w:rsidRPr="00AB2EA6">
        <w:t xml:space="preserve"> PTS licence areas</w:t>
      </w:r>
      <w:bookmarkEnd w:id="54"/>
    </w:p>
    <w:tbl>
      <w:tblPr>
        <w:tblStyle w:val="PlainTable1"/>
        <w:tblW w:w="9493" w:type="dxa"/>
        <w:tblLook w:val="04A0" w:firstRow="1" w:lastRow="0" w:firstColumn="1" w:lastColumn="0" w:noHBand="0" w:noVBand="1"/>
        <w:tblDescription w:val="NBN Co’s PTS licence areas"/>
      </w:tblPr>
      <w:tblGrid>
        <w:gridCol w:w="2122"/>
        <w:gridCol w:w="7371"/>
      </w:tblGrid>
      <w:tr w:rsidR="003C0579" w:rsidRPr="00B54D18" w:rsidTr="00CC0DB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2" w:type="dxa"/>
            <w:shd w:val="clear" w:color="auto" w:fill="D5DCE4"/>
          </w:tcPr>
          <w:p w:rsidR="003C0579" w:rsidRPr="00517A68" w:rsidRDefault="003C0579" w:rsidP="00CC0DB8">
            <w:pPr>
              <w:pStyle w:val="Tablerowcolumnheading"/>
              <w:rPr>
                <w:b/>
              </w:rPr>
            </w:pPr>
            <w:r w:rsidRPr="00517A68">
              <w:rPr>
                <w:b/>
              </w:rPr>
              <w:t>Area name</w:t>
            </w:r>
          </w:p>
        </w:tc>
        <w:tc>
          <w:tcPr>
            <w:tcW w:w="7371" w:type="dxa"/>
            <w:shd w:val="clear" w:color="auto" w:fill="D5DCE4"/>
          </w:tcPr>
          <w:p w:rsidR="003C0579" w:rsidRPr="00517A68" w:rsidRDefault="003C0579" w:rsidP="00CC0DB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517A68">
              <w:rPr>
                <w:b/>
              </w:rPr>
              <w:t>HCIS description</w:t>
            </w:r>
          </w:p>
        </w:tc>
      </w:tr>
      <w:tr w:rsidR="003C0579" w:rsidRPr="00B54D18" w:rsidTr="00CC0D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3C0579" w:rsidRPr="003C0579" w:rsidRDefault="003C0579" w:rsidP="003C0579">
            <w:pPr>
              <w:pStyle w:val="Tabletext"/>
              <w:rPr>
                <w:b w:val="0"/>
              </w:rPr>
            </w:pPr>
            <w:r w:rsidRPr="003C0579">
              <w:rPr>
                <w:b w:val="0"/>
              </w:rPr>
              <w:t>Adelaide</w:t>
            </w:r>
          </w:p>
        </w:tc>
        <w:tc>
          <w:tcPr>
            <w:tcW w:w="7371" w:type="dxa"/>
          </w:tcPr>
          <w:p w:rsidR="003C0579" w:rsidRPr="003C0579" w:rsidRDefault="003C0579" w:rsidP="003C0579">
            <w:pPr>
              <w:pStyle w:val="Tabletext"/>
              <w:cnfStyle w:val="000000100000" w:firstRow="0" w:lastRow="0" w:firstColumn="0" w:lastColumn="0" w:oddVBand="0" w:evenVBand="0" w:oddHBand="1" w:evenHBand="0" w:firstRowFirstColumn="0" w:firstRowLastColumn="0" w:lastRowFirstColumn="0" w:lastRowLastColumn="0"/>
            </w:pPr>
            <w:r w:rsidRPr="003C0579">
              <w:t>IV8K, IV8L, IV8N, IV8O, IV8P, IV9I, IV9J, IV9K, IV9L, IV9M, IV9N, IV9O, IV9P, IW1P, IW2, IW3, IW4D, IW4H, IW4K, IW4L, IW4N, IW4O, IW4P, IW5, IW6, IW7, IW8, IW9, JV7M, JV7N, JV7O, JV7P, JV8M, JW1, JW2A, JW2B, JW2E, JW2F, JW2G, JW2I, JW2J, JW2K, JW2M, JW2N, JW2O, JW4, JW5A, JW5B, JW5C, JW5E, JW5F, JW5I, JW5J, JW5M, JW7A, JW7B, JW7C, JW7D, JW7E, JW7F, JW7G, JW7I</w:t>
            </w:r>
          </w:p>
        </w:tc>
      </w:tr>
      <w:tr w:rsidR="003C0579" w:rsidRPr="00B54D18" w:rsidTr="00CC0DB8">
        <w:trPr>
          <w:cantSplit/>
        </w:trPr>
        <w:tc>
          <w:tcPr>
            <w:cnfStyle w:val="001000000000" w:firstRow="0" w:lastRow="0" w:firstColumn="1" w:lastColumn="0" w:oddVBand="0" w:evenVBand="0" w:oddHBand="0" w:evenHBand="0" w:firstRowFirstColumn="0" w:firstRowLastColumn="0" w:lastRowFirstColumn="0" w:lastRowLastColumn="0"/>
            <w:tcW w:w="2122" w:type="dxa"/>
          </w:tcPr>
          <w:p w:rsidR="003C0579" w:rsidRPr="003C0579" w:rsidRDefault="003C0579" w:rsidP="003C0579">
            <w:pPr>
              <w:pStyle w:val="Tabletext"/>
              <w:rPr>
                <w:b w:val="0"/>
              </w:rPr>
            </w:pPr>
            <w:r w:rsidRPr="003C0579">
              <w:rPr>
                <w:b w:val="0"/>
              </w:rPr>
              <w:t>Brisbane</w:t>
            </w:r>
          </w:p>
        </w:tc>
        <w:tc>
          <w:tcPr>
            <w:tcW w:w="7371" w:type="dxa"/>
          </w:tcPr>
          <w:p w:rsidR="003C0579" w:rsidRPr="003C0579" w:rsidRDefault="003C0579" w:rsidP="003C0579">
            <w:pPr>
              <w:pStyle w:val="Tabletext"/>
              <w:cnfStyle w:val="000000000000" w:firstRow="0" w:lastRow="0" w:firstColumn="0" w:lastColumn="0" w:oddVBand="0" w:evenVBand="0" w:oddHBand="0" w:evenHBand="0" w:firstRowFirstColumn="0" w:firstRowLastColumn="0" w:lastRowFirstColumn="0" w:lastRowLastColumn="0"/>
            </w:pPr>
            <w:r w:rsidRPr="003C0579">
              <w:t>NT4G, NT4H, NT4K, NT4L, NT4O, NT4P, NT5D, NT5E, NT5F, NT5G, NT5H, NT5I, NT5J, NT5K, NT5L, NT5M, NT5N, NT5O, NT5P, NT6, NT7C, NT7D, NT7G, NT7H, NT7K, NT7L, NT7O, NT7P, NT8, NT9, NU2B, NU2C, NU2D, NU2F, NU2G, NU2H, NU2L, NU3</w:t>
            </w:r>
          </w:p>
        </w:tc>
      </w:tr>
      <w:tr w:rsidR="003C0579" w:rsidRPr="00B54D18" w:rsidTr="00CC0D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3C0579" w:rsidRPr="003C0579" w:rsidRDefault="003C0579" w:rsidP="003C0579">
            <w:pPr>
              <w:pStyle w:val="Tabletext"/>
              <w:rPr>
                <w:b w:val="0"/>
              </w:rPr>
            </w:pPr>
            <w:r w:rsidRPr="003C0579">
              <w:rPr>
                <w:b w:val="0"/>
              </w:rPr>
              <w:t>Canberra/ Sydney</w:t>
            </w:r>
          </w:p>
        </w:tc>
        <w:tc>
          <w:tcPr>
            <w:tcW w:w="7371" w:type="dxa"/>
          </w:tcPr>
          <w:p w:rsidR="003C0579" w:rsidRPr="003C0579" w:rsidRDefault="003C0579" w:rsidP="003C0579">
            <w:pPr>
              <w:pStyle w:val="Tabletext"/>
              <w:cnfStyle w:val="000000100000" w:firstRow="0" w:lastRow="0" w:firstColumn="0" w:lastColumn="0" w:oddVBand="0" w:evenVBand="0" w:oddHBand="1" w:evenHBand="0" w:firstRowFirstColumn="0" w:firstRowLastColumn="0" w:lastRowFirstColumn="0" w:lastRowLastColumn="0"/>
            </w:pPr>
            <w:r w:rsidRPr="003C0579">
              <w:t>MV2P, MV3L, MV3M, MV3N, MV3O, MV3P, MV5D, MV5H, MV5L, MV5P, MV6, MV8D, MV8H, MV8J, MV8K, MV8L, MV8N, MV8O, MV8P, MV9, MW, MX1C, MX1D, MX1H, MX2A, MX2B, MX2C, MX2D, MX2E, MX2F, MX2G, MX2H, MX3A, MX3B, MX3C, MX3D, MX3E, MX3F, MX3G, MX3H, NV1I, NV1J, NV1K, NV1L, NV1M, NV1N, NV1O, NV1P, NV2I, NV2J, NV2K, NV2L, NV2M, NV2N, NV2O, NV2P, NV3I, NV3J, NV3K, NV3L, NV3M, NV3N, NV3O, NV3P, NV4, NV5, NV7, NW1</w:t>
            </w:r>
          </w:p>
        </w:tc>
      </w:tr>
      <w:tr w:rsidR="003C0579" w:rsidRPr="00B54D18" w:rsidTr="00CC0DB8">
        <w:trPr>
          <w:cantSplit/>
        </w:trPr>
        <w:tc>
          <w:tcPr>
            <w:cnfStyle w:val="001000000000" w:firstRow="0" w:lastRow="0" w:firstColumn="1" w:lastColumn="0" w:oddVBand="0" w:evenVBand="0" w:oddHBand="0" w:evenHBand="0" w:firstRowFirstColumn="0" w:firstRowLastColumn="0" w:lastRowFirstColumn="0" w:lastRowLastColumn="0"/>
            <w:tcW w:w="2122" w:type="dxa"/>
          </w:tcPr>
          <w:p w:rsidR="003C0579" w:rsidRPr="003C0579" w:rsidRDefault="003C0579" w:rsidP="003C0579">
            <w:pPr>
              <w:pStyle w:val="Tabletext"/>
              <w:rPr>
                <w:b w:val="0"/>
              </w:rPr>
            </w:pPr>
            <w:r w:rsidRPr="003C0579">
              <w:rPr>
                <w:b w:val="0"/>
              </w:rPr>
              <w:t>Melbourne</w:t>
            </w:r>
          </w:p>
        </w:tc>
        <w:tc>
          <w:tcPr>
            <w:tcW w:w="7371" w:type="dxa"/>
          </w:tcPr>
          <w:p w:rsidR="003C0579" w:rsidRPr="003C0579" w:rsidRDefault="003C0579" w:rsidP="003C0579">
            <w:pPr>
              <w:pStyle w:val="Tabletext"/>
              <w:cnfStyle w:val="000000000000" w:firstRow="0" w:lastRow="0" w:firstColumn="0" w:lastColumn="0" w:oddVBand="0" w:evenVBand="0" w:oddHBand="0" w:evenHBand="0" w:firstRowFirstColumn="0" w:firstRowLastColumn="0" w:lastRowFirstColumn="0" w:lastRowLastColumn="0"/>
            </w:pPr>
            <w:r w:rsidRPr="003C0579">
              <w:t>KW8H, KW8I, KW8J, KW8K, KW8L, KW8M, KW8N, KW8O, KW8P, KW9E, KW9F, KW9G, KW9H, KW9I, KW9J, KW9K, KW9L, KW9M, KW9N, KW9O, KW9P, KX1P, KX2, KX3, KX4D, KX4H, KX4L, KX4P, KX5, KX6, KX8, KX9, LW7I, LW7J, LW7M, LW7N, LW7O, LW7P, LX1, LX2E, LX2I, LX2M, LX2N, LX2O, LX4, LX5A, LX5B, LX5C, LX5D, LX5E, LX5F, LX5G, LX5H, LX5I, LX5J, LX5K, LX5L, LX5M, LX5N, LX5O, LX5P, LX7, LX8</w:t>
            </w:r>
          </w:p>
        </w:tc>
      </w:tr>
      <w:tr w:rsidR="003C0579" w:rsidRPr="00B54D18" w:rsidTr="00CC0D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3C0579" w:rsidRPr="003C0579" w:rsidRDefault="003C0579" w:rsidP="003C0579">
            <w:pPr>
              <w:pStyle w:val="Tabletext"/>
              <w:rPr>
                <w:b w:val="0"/>
              </w:rPr>
            </w:pPr>
            <w:r w:rsidRPr="003C0579">
              <w:rPr>
                <w:b w:val="0"/>
              </w:rPr>
              <w:lastRenderedPageBreak/>
              <w:t>Perth</w:t>
            </w:r>
          </w:p>
        </w:tc>
        <w:tc>
          <w:tcPr>
            <w:tcW w:w="7371" w:type="dxa"/>
          </w:tcPr>
          <w:p w:rsidR="003C0579" w:rsidRPr="003C0579" w:rsidRDefault="003C0579" w:rsidP="003C0579">
            <w:pPr>
              <w:pStyle w:val="Tabletext"/>
              <w:cnfStyle w:val="000000100000" w:firstRow="0" w:lastRow="0" w:firstColumn="0" w:lastColumn="0" w:oddVBand="0" w:evenVBand="0" w:oddHBand="1" w:evenHBand="0" w:firstRowFirstColumn="0" w:firstRowLastColumn="0" w:lastRowFirstColumn="0" w:lastRowLastColumn="0"/>
            </w:pPr>
            <w:r w:rsidRPr="003C0579">
              <w:t>AU6I, AU6J, AU6K, AU6L, AU6M, AU6N, AU6O, AU6P, AU9, AV9, AW3, BU4H, BU4I, BU4J, BU4K, BU4L, BU4M, BU4N, BU4O, BU4P, BU5E, BU5F, BU5G, BU5H, BU5I, BU5J, BU5K, BU5L, BU5M, BU5N, BU5O, BU5P, BU7, BU8, BU9A, BU9B, BU9E, BU9F, BU9I, BU9J, BU9M, BU9N, BV1, BV2, BV3A, BV3B, BV3E, BV3F, BV3I, BV3J, BV3M, BV3N, BV4, BV5, BV6A, BV6B, BV6E, BV6F, BV6I, BV6J, BV6M, BV6N, BV7, BV8, BV9A, BV9B, BV9E, BV9F, BV9I, BV9J, BV9M, BV9N, BW1, BW2, BW3A, BW5</w:t>
            </w:r>
          </w:p>
        </w:tc>
      </w:tr>
    </w:tbl>
    <w:p w:rsidR="00C372A2" w:rsidRDefault="00C372A2" w:rsidP="00C372A2">
      <w:pPr>
        <w:pStyle w:val="Tablefigureheading"/>
        <w:keepLines/>
      </w:pPr>
      <w:bookmarkStart w:id="55" w:name="_Toc51682569"/>
      <w:r w:rsidRPr="00AB2EA6">
        <w:lastRenderedPageBreak/>
        <w:t xml:space="preserve">NBN </w:t>
      </w:r>
      <w:proofErr w:type="spellStart"/>
      <w:r w:rsidRPr="00AB2EA6">
        <w:t>Co’s</w:t>
      </w:r>
      <w:proofErr w:type="spellEnd"/>
      <w:r w:rsidRPr="00AB2EA6">
        <w:t xml:space="preserve"> PTS licence areas</w:t>
      </w:r>
      <w:bookmarkEnd w:id="55"/>
    </w:p>
    <w:p w:rsidR="003C0579" w:rsidRDefault="003C0579" w:rsidP="00F61FA1">
      <w:r w:rsidRPr="001031D4">
        <w:rPr>
          <w:noProof/>
          <w:lang w:eastAsia="en-AU"/>
        </w:rPr>
        <w:lastRenderedPageBreak/>
        <w:drawing>
          <wp:inline distT="0" distB="0" distL="0" distR="0" wp14:anchorId="482CAB22" wp14:editId="74AE22DF">
            <wp:extent cx="5975498" cy="5543168"/>
            <wp:effectExtent l="0" t="0" r="6350" b="635"/>
            <wp:docPr id="7" name="Picture 7" descr="Map displaying HCIS areas where NBN Co holds PTS licences." title="NBN Co’s PTS licenc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9119" cy="5546527"/>
                    </a:xfrm>
                    <a:prstGeom prst="rect">
                      <a:avLst/>
                    </a:prstGeom>
                  </pic:spPr>
                </pic:pic>
              </a:graphicData>
            </a:graphic>
          </wp:inline>
        </w:drawing>
      </w:r>
    </w:p>
    <w:p w:rsidR="00402A63" w:rsidRPr="00AB2EA6" w:rsidRDefault="00402A63" w:rsidP="00402A63">
      <w:pPr>
        <w:pStyle w:val="Heading2"/>
      </w:pPr>
      <w:bookmarkStart w:id="56" w:name="_Attachment_C:_Proposed"/>
      <w:bookmarkStart w:id="57" w:name="_Toc50372362"/>
      <w:bookmarkStart w:id="58" w:name="_Toc51682561"/>
      <w:bookmarkEnd w:id="56"/>
      <w:r w:rsidRPr="00AB2EA6">
        <w:lastRenderedPageBreak/>
        <w:t>Attachment C: Proposed urban excise areas</w:t>
      </w:r>
      <w:bookmarkEnd w:id="57"/>
      <w:bookmarkEnd w:id="58"/>
    </w:p>
    <w:p w:rsidR="002371FF" w:rsidRDefault="002371FF" w:rsidP="002371FF">
      <w:pPr>
        <w:pStyle w:val="Tablefigureheading"/>
        <w:keepLines/>
      </w:pPr>
      <w:bookmarkStart w:id="59" w:name="_Toc51682570"/>
      <w:r w:rsidRPr="00AB2EA6">
        <w:t>Proposed urban excise areas</w:t>
      </w:r>
      <w:bookmarkEnd w:id="59"/>
    </w:p>
    <w:tbl>
      <w:tblPr>
        <w:tblStyle w:val="PlainTable1"/>
        <w:tblW w:w="9493" w:type="dxa"/>
        <w:tblLook w:val="04A0" w:firstRow="1" w:lastRow="0" w:firstColumn="1" w:lastColumn="0" w:noHBand="0" w:noVBand="1"/>
        <w:tblDescription w:val="Proposed urban excise areas"/>
      </w:tblPr>
      <w:tblGrid>
        <w:gridCol w:w="2122"/>
        <w:gridCol w:w="7371"/>
      </w:tblGrid>
      <w:tr w:rsidR="002371FF" w:rsidRPr="00B54D18" w:rsidTr="00CC0DB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2" w:type="dxa"/>
            <w:shd w:val="clear" w:color="auto" w:fill="D5DCE4"/>
          </w:tcPr>
          <w:p w:rsidR="002371FF" w:rsidRPr="00517A68" w:rsidRDefault="002371FF" w:rsidP="00CC0DB8">
            <w:pPr>
              <w:pStyle w:val="Tablerowcolumnheading"/>
              <w:rPr>
                <w:b/>
              </w:rPr>
            </w:pPr>
            <w:r w:rsidRPr="00517A68">
              <w:rPr>
                <w:b/>
              </w:rPr>
              <w:t>Area name</w:t>
            </w:r>
          </w:p>
        </w:tc>
        <w:tc>
          <w:tcPr>
            <w:tcW w:w="7371" w:type="dxa"/>
            <w:shd w:val="clear" w:color="auto" w:fill="D5DCE4"/>
          </w:tcPr>
          <w:p w:rsidR="002371FF" w:rsidRPr="00517A68" w:rsidRDefault="002371FF" w:rsidP="00CC0DB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517A68">
              <w:rPr>
                <w:b/>
              </w:rPr>
              <w:t>HCIS description</w:t>
            </w:r>
          </w:p>
        </w:tc>
      </w:tr>
      <w:tr w:rsidR="002371FF" w:rsidRPr="00B54D18" w:rsidTr="00CC0D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2371FF" w:rsidRPr="002371FF" w:rsidRDefault="002371FF" w:rsidP="002371FF">
            <w:pPr>
              <w:pStyle w:val="Tabletext"/>
              <w:rPr>
                <w:b w:val="0"/>
              </w:rPr>
            </w:pPr>
            <w:r w:rsidRPr="002371FF">
              <w:rPr>
                <w:b w:val="0"/>
              </w:rPr>
              <w:t>Adelaide</w:t>
            </w:r>
          </w:p>
        </w:tc>
        <w:tc>
          <w:tcPr>
            <w:tcW w:w="7371" w:type="dxa"/>
          </w:tcPr>
          <w:p w:rsidR="002371FF" w:rsidRPr="002371FF" w:rsidRDefault="002371FF" w:rsidP="002371FF">
            <w:pPr>
              <w:pStyle w:val="Tabletext"/>
              <w:cnfStyle w:val="000000100000" w:firstRow="0" w:lastRow="0" w:firstColumn="0" w:lastColumn="0" w:oddVBand="0" w:evenVBand="0" w:oddHBand="1" w:evenHBand="0" w:firstRowFirstColumn="0" w:firstRowLastColumn="0" w:lastRowFirstColumn="0" w:lastRowLastColumn="0"/>
            </w:pPr>
            <w:r w:rsidRPr="002371FF">
              <w:t>IW3N, IW3O4, IW3O5, IW3O7, IW3O8, IW6B1, IW6B2, IW6B3, IW6B5, IW6B6</w:t>
            </w:r>
          </w:p>
        </w:tc>
      </w:tr>
      <w:tr w:rsidR="002371FF" w:rsidRPr="00B54D18" w:rsidTr="00CC0DB8">
        <w:trPr>
          <w:cantSplit/>
        </w:trPr>
        <w:tc>
          <w:tcPr>
            <w:cnfStyle w:val="001000000000" w:firstRow="0" w:lastRow="0" w:firstColumn="1" w:lastColumn="0" w:oddVBand="0" w:evenVBand="0" w:oddHBand="0" w:evenHBand="0" w:firstRowFirstColumn="0" w:firstRowLastColumn="0" w:lastRowFirstColumn="0" w:lastRowLastColumn="0"/>
            <w:tcW w:w="2122" w:type="dxa"/>
          </w:tcPr>
          <w:p w:rsidR="002371FF" w:rsidRPr="002371FF" w:rsidRDefault="002371FF" w:rsidP="002371FF">
            <w:pPr>
              <w:pStyle w:val="Tabletext"/>
              <w:rPr>
                <w:b w:val="0"/>
              </w:rPr>
            </w:pPr>
            <w:r w:rsidRPr="002371FF">
              <w:rPr>
                <w:b w:val="0"/>
              </w:rPr>
              <w:t>Brisbane</w:t>
            </w:r>
          </w:p>
        </w:tc>
        <w:tc>
          <w:tcPr>
            <w:tcW w:w="7371" w:type="dxa"/>
          </w:tcPr>
          <w:p w:rsidR="002371FF" w:rsidRPr="002371FF" w:rsidRDefault="002371FF" w:rsidP="002371FF">
            <w:pPr>
              <w:pStyle w:val="Tabletext"/>
              <w:cnfStyle w:val="000000000000" w:firstRow="0" w:lastRow="0" w:firstColumn="0" w:lastColumn="0" w:oddVBand="0" w:evenVBand="0" w:oddHBand="0" w:evenHBand="0" w:firstRowFirstColumn="0" w:firstRowLastColumn="0" w:lastRowFirstColumn="0" w:lastRowLastColumn="0"/>
            </w:pPr>
            <w:r w:rsidRPr="002371FF">
              <w:t>NT9B, NT9C, NT9D, NT9E, NT9F, NT9G, NT9H, NT9K, NT9L, NT8H3, NT8L2, NT8L3, NT8L5, NT8L6, NT8L8, NT8L9, NT9A6, NT9A7, NT9A8, NT9A9, NT9I1, NT9I2, NT9I3, NT9I4, NT9I5, NT9I6, NT9J1, NT9J2, NT9J3, NT9J4, NT9J5, NT9J6, NT9J9, NT9N5, NT9N6, NT9N8, NT9N9, NT9O4, NT9O7, NU3B2, NU3B3, NU3C1, NU3C4</w:t>
            </w:r>
          </w:p>
        </w:tc>
      </w:tr>
      <w:tr w:rsidR="002371FF" w:rsidRPr="00B54D18" w:rsidTr="00CC0D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2371FF" w:rsidRPr="002371FF" w:rsidRDefault="002371FF" w:rsidP="002371FF">
            <w:pPr>
              <w:pStyle w:val="Tabletext"/>
              <w:rPr>
                <w:b w:val="0"/>
              </w:rPr>
            </w:pPr>
            <w:r w:rsidRPr="002371FF">
              <w:rPr>
                <w:b w:val="0"/>
              </w:rPr>
              <w:t>Canberra</w:t>
            </w:r>
          </w:p>
        </w:tc>
        <w:tc>
          <w:tcPr>
            <w:tcW w:w="7371" w:type="dxa"/>
          </w:tcPr>
          <w:p w:rsidR="002371FF" w:rsidRPr="002371FF" w:rsidRDefault="002371FF" w:rsidP="002371FF">
            <w:pPr>
              <w:pStyle w:val="Tabletext"/>
              <w:cnfStyle w:val="000000100000" w:firstRow="0" w:lastRow="0" w:firstColumn="0" w:lastColumn="0" w:oddVBand="0" w:evenVBand="0" w:oddHBand="1" w:evenHBand="0" w:firstRowFirstColumn="0" w:firstRowLastColumn="0" w:lastRowFirstColumn="0" w:lastRowLastColumn="0"/>
            </w:pPr>
            <w:r w:rsidRPr="002371FF">
              <w:t>MW4D, MW4H, MW5A, MW5B, MW5E, MW5F, MW2M5, MW2M6, MW2M7, MW2M8, MW2M9, MW2N4, MW2N5, MW2N7, MW2N8, MW2N9, MW4L1, MW4L2, MW4L3, MW4L5, MW4L6, MW5I1, MW5I2, MW5I3, MW5I4, MW5I5, MW5I6, MW5J1, MW5J2, MW5J4, MW5J5</w:t>
            </w:r>
          </w:p>
        </w:tc>
      </w:tr>
      <w:tr w:rsidR="002371FF" w:rsidRPr="00B54D18" w:rsidTr="00CC0DB8">
        <w:trPr>
          <w:cantSplit/>
        </w:trPr>
        <w:tc>
          <w:tcPr>
            <w:cnfStyle w:val="001000000000" w:firstRow="0" w:lastRow="0" w:firstColumn="1" w:lastColumn="0" w:oddVBand="0" w:evenVBand="0" w:oddHBand="0" w:evenHBand="0" w:firstRowFirstColumn="0" w:firstRowLastColumn="0" w:lastRowFirstColumn="0" w:lastRowLastColumn="0"/>
            <w:tcW w:w="2122" w:type="dxa"/>
          </w:tcPr>
          <w:p w:rsidR="002371FF" w:rsidRPr="002371FF" w:rsidRDefault="002371FF" w:rsidP="002371FF">
            <w:pPr>
              <w:pStyle w:val="Tabletext"/>
              <w:rPr>
                <w:b w:val="0"/>
              </w:rPr>
            </w:pPr>
            <w:r w:rsidRPr="002371FF">
              <w:rPr>
                <w:b w:val="0"/>
              </w:rPr>
              <w:t>Melbourne</w:t>
            </w:r>
          </w:p>
        </w:tc>
        <w:tc>
          <w:tcPr>
            <w:tcW w:w="7371" w:type="dxa"/>
          </w:tcPr>
          <w:p w:rsidR="002371FF" w:rsidRPr="002371FF" w:rsidRDefault="002371FF" w:rsidP="002371FF">
            <w:pPr>
              <w:pStyle w:val="Tabletext"/>
              <w:cnfStyle w:val="000000000000" w:firstRow="0" w:lastRow="0" w:firstColumn="0" w:lastColumn="0" w:oddVBand="0" w:evenVBand="0" w:oddHBand="0" w:evenHBand="0" w:firstRowFirstColumn="0" w:firstRowLastColumn="0" w:lastRowFirstColumn="0" w:lastRowLastColumn="0"/>
            </w:pPr>
            <w:r w:rsidRPr="002371FF">
              <w:t>KX3P, KX3L6, KX3L7, KX3L8, KX3L9, KX6D1, KX6D2, KX6D3, KX6D5, KX6D6, LX1M, LX1I7, LX1N4, LX4A1, LX4A2, LX4A3, LX4A4, LX4A5, LX4B1</w:t>
            </w:r>
          </w:p>
        </w:tc>
      </w:tr>
      <w:tr w:rsidR="002371FF" w:rsidRPr="00B54D18" w:rsidTr="00CC0D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rsidR="002371FF" w:rsidRPr="002371FF" w:rsidRDefault="002371FF" w:rsidP="002371FF">
            <w:pPr>
              <w:pStyle w:val="Tabletext"/>
              <w:rPr>
                <w:b w:val="0"/>
              </w:rPr>
            </w:pPr>
            <w:r w:rsidRPr="002371FF">
              <w:rPr>
                <w:b w:val="0"/>
              </w:rPr>
              <w:t>Perth</w:t>
            </w:r>
          </w:p>
        </w:tc>
        <w:tc>
          <w:tcPr>
            <w:tcW w:w="7371" w:type="dxa"/>
          </w:tcPr>
          <w:p w:rsidR="002371FF" w:rsidRPr="002371FF" w:rsidRDefault="002371FF" w:rsidP="002371FF">
            <w:pPr>
              <w:pStyle w:val="Tabletext"/>
              <w:cnfStyle w:val="000000100000" w:firstRow="0" w:lastRow="0" w:firstColumn="0" w:lastColumn="0" w:oddVBand="0" w:evenVBand="0" w:oddHBand="1" w:evenHBand="0" w:firstRowFirstColumn="0" w:firstRowLastColumn="0" w:lastRowFirstColumn="0" w:lastRowLastColumn="0"/>
            </w:pPr>
            <w:r w:rsidRPr="002371FF">
              <w:t>BV1M, BV1N, BV1O, BV4A, BV4B, BV4C, BV1L5, BV1L8, BV1P1, BV1P2, BV1P4, BV1P5, BV1P7, BV1P8, BV4D1, BV4D2, BV4E1, BV4E2, BV4E3, BV4F1, BV4F2, BV4F3, BV4G1, BV4G2, BV1P9, BV4D3, BV4D4, BV4G3</w:t>
            </w:r>
          </w:p>
        </w:tc>
      </w:tr>
      <w:tr w:rsidR="002371FF" w:rsidRPr="00B54D18" w:rsidTr="00CC0DB8">
        <w:trPr>
          <w:cantSplit/>
        </w:trPr>
        <w:tc>
          <w:tcPr>
            <w:cnfStyle w:val="001000000000" w:firstRow="0" w:lastRow="0" w:firstColumn="1" w:lastColumn="0" w:oddVBand="0" w:evenVBand="0" w:oddHBand="0" w:evenHBand="0" w:firstRowFirstColumn="0" w:firstRowLastColumn="0" w:lastRowFirstColumn="0" w:lastRowLastColumn="0"/>
            <w:tcW w:w="2122" w:type="dxa"/>
          </w:tcPr>
          <w:p w:rsidR="002371FF" w:rsidRPr="002371FF" w:rsidRDefault="002371FF" w:rsidP="002371FF">
            <w:pPr>
              <w:pStyle w:val="Tabletext"/>
              <w:rPr>
                <w:b w:val="0"/>
              </w:rPr>
            </w:pPr>
            <w:r w:rsidRPr="002371FF">
              <w:rPr>
                <w:b w:val="0"/>
              </w:rPr>
              <w:t>Sydney</w:t>
            </w:r>
          </w:p>
        </w:tc>
        <w:tc>
          <w:tcPr>
            <w:tcW w:w="7371" w:type="dxa"/>
          </w:tcPr>
          <w:p w:rsidR="002371FF" w:rsidRPr="002371FF" w:rsidRDefault="002371FF" w:rsidP="002371FF">
            <w:pPr>
              <w:pStyle w:val="Tabletext"/>
              <w:cnfStyle w:val="000000000000" w:firstRow="0" w:lastRow="0" w:firstColumn="0" w:lastColumn="0" w:oddVBand="0" w:evenVBand="0" w:oddHBand="0" w:evenHBand="0" w:firstRowFirstColumn="0" w:firstRowLastColumn="0" w:lastRowFirstColumn="0" w:lastRowLastColumn="0"/>
            </w:pPr>
            <w:r w:rsidRPr="002371FF">
              <w:t>NV7G, NV7H, NV7J, NV7K, NV7L, NV7M, NV7N, NV7O, NV7P, NW1A, NW1B, NW1C, NW1D, NW1E, NW1F, NW1G, NW1H, MV9P2, MV9P3, MV9P5, MV9P6, MV9P7, MV9P8, MV9P9, MW3D1, MW3D2, MW3D3, MW3D5, MW3D6, MW3D8, MW3D9, MW3H2, MW3H3, MW3H5, MW3H6, MW3H9, MW3L2, MW3L3, NV4O7, NV4O8, NV4O9, NV4P7, NV7F6, NV7F8, NV7F9, NV7I6, NV7I8, NV7I9, NW1I1, NW1I2, NW1I3, NW1J1, NW1J2, NW1J3, NW1K1, NW1K2, NW1K3, NW1L1, NW1L2, NW1L3</w:t>
            </w:r>
          </w:p>
        </w:tc>
      </w:tr>
    </w:tbl>
    <w:p w:rsidR="00E64757" w:rsidRDefault="00C372A2" w:rsidP="00E64757">
      <w:pPr>
        <w:pStyle w:val="Tablefigureheading"/>
        <w:spacing w:before="360"/>
      </w:pPr>
      <w:bookmarkStart w:id="60" w:name="_Toc51682571"/>
      <w:r>
        <w:lastRenderedPageBreak/>
        <w:t>Adelaide</w:t>
      </w:r>
      <w:bookmarkEnd w:id="60"/>
    </w:p>
    <w:p w:rsidR="00E64757" w:rsidRDefault="000848D7" w:rsidP="000848D7">
      <w:r w:rsidRPr="00065115">
        <w:rPr>
          <w:noProof/>
          <w:lang w:eastAsia="en-AU"/>
        </w:rPr>
        <w:drawing>
          <wp:inline distT="0" distB="0" distL="0" distR="0" wp14:anchorId="66EE076B" wp14:editId="549F798C">
            <wp:extent cx="2588400" cy="2700000"/>
            <wp:effectExtent l="0" t="0" r="2540" b="5715"/>
            <wp:docPr id="5" name="Picture 5" descr="Map displaying HCIS area to be excised from NBN Co’s licence in inner-metropolitan Adelaide." title="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268"/>
                    <a:stretch/>
                  </pic:blipFill>
                  <pic:spPr bwMode="auto">
                    <a:xfrm>
                      <a:off x="0" y="0"/>
                      <a:ext cx="2588400" cy="2700000"/>
                    </a:xfrm>
                    <a:prstGeom prst="rect">
                      <a:avLst/>
                    </a:prstGeom>
                    <a:ln>
                      <a:noFill/>
                    </a:ln>
                    <a:extLst>
                      <a:ext uri="{53640926-AAD7-44D8-BBD7-CCE9431645EC}">
                        <a14:shadowObscured xmlns:a14="http://schemas.microsoft.com/office/drawing/2010/main"/>
                      </a:ext>
                    </a:extLst>
                  </pic:spPr>
                </pic:pic>
              </a:graphicData>
            </a:graphic>
          </wp:inline>
        </w:drawing>
      </w:r>
    </w:p>
    <w:p w:rsidR="00E64757" w:rsidRDefault="00C372A2" w:rsidP="00E64757">
      <w:pPr>
        <w:pStyle w:val="Tablefigureheading"/>
        <w:spacing w:before="360"/>
      </w:pPr>
      <w:bookmarkStart w:id="61" w:name="_Toc51682572"/>
      <w:r>
        <w:lastRenderedPageBreak/>
        <w:t>Brisbane</w:t>
      </w:r>
      <w:bookmarkEnd w:id="61"/>
    </w:p>
    <w:p w:rsidR="00E64757" w:rsidRDefault="000848D7" w:rsidP="000848D7">
      <w:r w:rsidRPr="00065115">
        <w:rPr>
          <w:noProof/>
          <w:lang w:eastAsia="en-AU"/>
        </w:rPr>
        <w:drawing>
          <wp:inline distT="0" distB="0" distL="0" distR="0" wp14:anchorId="0506DC5C" wp14:editId="7340697F">
            <wp:extent cx="2286000" cy="2539999"/>
            <wp:effectExtent l="0" t="0" r="0" b="0"/>
            <wp:docPr id="3" name="Picture 3" descr="Map displaying HCIS area to be excised from NBN Co’s licence in inner-metropolitan Brisbane." title="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8939" cy="2543265"/>
                    </a:xfrm>
                    <a:prstGeom prst="rect">
                      <a:avLst/>
                    </a:prstGeom>
                  </pic:spPr>
                </pic:pic>
              </a:graphicData>
            </a:graphic>
          </wp:inline>
        </w:drawing>
      </w:r>
    </w:p>
    <w:p w:rsidR="00E64757" w:rsidRDefault="00C372A2" w:rsidP="00E64757">
      <w:pPr>
        <w:pStyle w:val="Tablefigureheading"/>
        <w:spacing w:before="360"/>
      </w:pPr>
      <w:bookmarkStart w:id="62" w:name="_Toc51682573"/>
      <w:r>
        <w:lastRenderedPageBreak/>
        <w:t>Canberra</w:t>
      </w:r>
      <w:bookmarkEnd w:id="62"/>
    </w:p>
    <w:p w:rsidR="00E64757" w:rsidRDefault="000848D7" w:rsidP="000848D7">
      <w:r w:rsidRPr="00065115">
        <w:rPr>
          <w:noProof/>
          <w:lang w:eastAsia="en-AU"/>
        </w:rPr>
        <w:drawing>
          <wp:inline distT="0" distB="0" distL="0" distR="0" wp14:anchorId="091C1032" wp14:editId="14A606BD">
            <wp:extent cx="2381250" cy="2420992"/>
            <wp:effectExtent l="0" t="0" r="0" b="0"/>
            <wp:docPr id="10" name="Picture 10" descr="Map displaying HCIS area to be excised from NBN Co’s licence in inner-metropolitan Canberra." title="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313"/>
                    <a:stretch/>
                  </pic:blipFill>
                  <pic:spPr bwMode="auto">
                    <a:xfrm>
                      <a:off x="0" y="0"/>
                      <a:ext cx="2385393" cy="2425204"/>
                    </a:xfrm>
                    <a:prstGeom prst="rect">
                      <a:avLst/>
                    </a:prstGeom>
                    <a:ln>
                      <a:noFill/>
                    </a:ln>
                    <a:extLst>
                      <a:ext uri="{53640926-AAD7-44D8-BBD7-CCE9431645EC}">
                        <a14:shadowObscured xmlns:a14="http://schemas.microsoft.com/office/drawing/2010/main"/>
                      </a:ext>
                    </a:extLst>
                  </pic:spPr>
                </pic:pic>
              </a:graphicData>
            </a:graphic>
          </wp:inline>
        </w:drawing>
      </w:r>
    </w:p>
    <w:p w:rsidR="00E64757" w:rsidRDefault="00C372A2" w:rsidP="00E64757">
      <w:pPr>
        <w:pStyle w:val="Tablefigureheading"/>
        <w:spacing w:before="360"/>
      </w:pPr>
      <w:bookmarkStart w:id="63" w:name="_Toc51682574"/>
      <w:r>
        <w:lastRenderedPageBreak/>
        <w:t>Melbourne</w:t>
      </w:r>
      <w:bookmarkEnd w:id="63"/>
    </w:p>
    <w:p w:rsidR="00E64757" w:rsidRDefault="000848D7" w:rsidP="000848D7">
      <w:r w:rsidRPr="00065115">
        <w:rPr>
          <w:noProof/>
          <w:lang w:eastAsia="en-AU"/>
        </w:rPr>
        <w:drawing>
          <wp:inline distT="0" distB="0" distL="0" distR="0" wp14:anchorId="405D3975" wp14:editId="53720B34">
            <wp:extent cx="2286000" cy="2468880"/>
            <wp:effectExtent l="0" t="0" r="0" b="7620"/>
            <wp:docPr id="8" name="Picture 8" descr="Map displaying HCIS area to be excised from NBN Co’s licence in inner-metropolitan Melbourne." title="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46" r="13707" b="6792"/>
                    <a:stretch/>
                  </pic:blipFill>
                  <pic:spPr bwMode="auto">
                    <a:xfrm>
                      <a:off x="0" y="0"/>
                      <a:ext cx="2287988" cy="2471027"/>
                    </a:xfrm>
                    <a:prstGeom prst="rect">
                      <a:avLst/>
                    </a:prstGeom>
                    <a:ln>
                      <a:noFill/>
                    </a:ln>
                    <a:extLst>
                      <a:ext uri="{53640926-AAD7-44D8-BBD7-CCE9431645EC}">
                        <a14:shadowObscured xmlns:a14="http://schemas.microsoft.com/office/drawing/2010/main"/>
                      </a:ext>
                    </a:extLst>
                  </pic:spPr>
                </pic:pic>
              </a:graphicData>
            </a:graphic>
          </wp:inline>
        </w:drawing>
      </w:r>
    </w:p>
    <w:p w:rsidR="00E64757" w:rsidRDefault="00C372A2" w:rsidP="00E64757">
      <w:pPr>
        <w:pStyle w:val="Tablefigureheading"/>
        <w:spacing w:before="360"/>
      </w:pPr>
      <w:bookmarkStart w:id="64" w:name="_Toc51682575"/>
      <w:r>
        <w:lastRenderedPageBreak/>
        <w:t>Sydney</w:t>
      </w:r>
      <w:bookmarkEnd w:id="64"/>
    </w:p>
    <w:p w:rsidR="00E64757" w:rsidRDefault="000848D7" w:rsidP="000848D7">
      <w:r w:rsidRPr="00065115">
        <w:rPr>
          <w:noProof/>
          <w:lang w:eastAsia="en-AU"/>
        </w:rPr>
        <w:drawing>
          <wp:inline distT="0" distB="0" distL="0" distR="0" wp14:anchorId="5924B197" wp14:editId="6FBDD6AD">
            <wp:extent cx="2588400" cy="3020400"/>
            <wp:effectExtent l="0" t="0" r="2540" b="8890"/>
            <wp:docPr id="9" name="Picture 9" descr="Map displaying HCIS area to be excised from NBN Co’s licence in inner-metropolitan Sydney." title="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88400" cy="3020400"/>
                    </a:xfrm>
                    <a:prstGeom prst="rect">
                      <a:avLst/>
                    </a:prstGeom>
                  </pic:spPr>
                </pic:pic>
              </a:graphicData>
            </a:graphic>
          </wp:inline>
        </w:drawing>
      </w:r>
    </w:p>
    <w:p w:rsidR="00E64757" w:rsidRDefault="00C372A2" w:rsidP="00E64757">
      <w:pPr>
        <w:pStyle w:val="Tablefigureheading"/>
        <w:spacing w:before="360"/>
      </w:pPr>
      <w:bookmarkStart w:id="65" w:name="_Toc51682576"/>
      <w:r>
        <w:lastRenderedPageBreak/>
        <w:t>Perth</w:t>
      </w:r>
      <w:bookmarkEnd w:id="65"/>
    </w:p>
    <w:p w:rsidR="000848D7" w:rsidRDefault="000848D7" w:rsidP="000848D7">
      <w:r w:rsidRPr="00065115">
        <w:rPr>
          <w:noProof/>
          <w:lang w:eastAsia="en-AU"/>
        </w:rPr>
        <w:drawing>
          <wp:inline distT="0" distB="0" distL="0" distR="0" wp14:anchorId="60E1AF78" wp14:editId="4D157BEA">
            <wp:extent cx="2421566" cy="3028315"/>
            <wp:effectExtent l="0" t="0" r="0" b="635"/>
            <wp:docPr id="11" name="Picture 11" descr="Map displaying HCIS area to be excised from NBN Co’s licence in inner-metropolitan Perth." title="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556" r="1"/>
                    <a:stretch/>
                  </pic:blipFill>
                  <pic:spPr bwMode="auto">
                    <a:xfrm>
                      <a:off x="0" y="0"/>
                      <a:ext cx="2439935" cy="3051286"/>
                    </a:xfrm>
                    <a:prstGeom prst="rect">
                      <a:avLst/>
                    </a:prstGeom>
                    <a:ln>
                      <a:noFill/>
                    </a:ln>
                    <a:extLst>
                      <a:ext uri="{53640926-AAD7-44D8-BBD7-CCE9431645EC}">
                        <a14:shadowObscured xmlns:a14="http://schemas.microsoft.com/office/drawing/2010/main"/>
                      </a:ext>
                    </a:extLst>
                  </pic:spPr>
                </pic:pic>
              </a:graphicData>
            </a:graphic>
          </wp:inline>
        </w:drawing>
      </w:r>
    </w:p>
    <w:sectPr w:rsidR="000848D7" w:rsidSect="00BB5375">
      <w:headerReference w:type="default" r:id="rId33"/>
      <w:pgSz w:w="11906" w:h="16838"/>
      <w:pgMar w:top="2268" w:right="991" w:bottom="1134"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4F7" w:rsidRDefault="000244F7" w:rsidP="00FC413F">
      <w:pPr>
        <w:spacing w:after="0"/>
      </w:pPr>
      <w:r>
        <w:separator/>
      </w:r>
    </w:p>
  </w:endnote>
  <w:endnote w:type="continuationSeparator" w:id="0">
    <w:p w:rsidR="000244F7" w:rsidRDefault="000244F7"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DAF" w:rsidRPr="00FC413F" w:rsidRDefault="00A82DAF"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rsidR="00A82DAF" w:rsidRPr="00FC413F" w:rsidRDefault="00E80E04"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EC386A">
      <w:rPr>
        <w:rFonts w:cs="Segoe UI"/>
        <w:noProof/>
        <w:szCs w:val="18"/>
      </w:rPr>
      <w:t>16</w:t>
    </w:r>
    <w:r>
      <w:rPr>
        <w:rFonts w:cs="Segoe UI"/>
        <w:szCs w:val="18"/>
      </w:rPr>
      <w:fldChar w:fldCharType="end"/>
    </w:r>
    <w:r w:rsidR="00A82DAF" w:rsidRPr="00FC413F">
      <w:rPr>
        <w:rFonts w:cs="Segoe UI"/>
        <w:noProof/>
        <w:szCs w:val="18"/>
      </w:rPr>
      <w:t>.</w:t>
    </w:r>
    <w:r w:rsidR="00A82DAF" w:rsidRPr="00FC413F">
      <w:rPr>
        <w:rFonts w:cs="Segoe UI"/>
        <w:noProof/>
        <w:szCs w:val="18"/>
      </w:rPr>
      <w:tab/>
    </w:r>
    <w:r w:rsidR="000244F7" w:rsidRPr="000244F7">
      <w:rPr>
        <w:rFonts w:cs="Segoe UI"/>
        <w:noProof/>
        <w:szCs w:val="18"/>
      </w:rPr>
      <w:t>Designation of spectrum in the 3.4 GHz band for spectrum licensing—Consultation Paper</w:t>
    </w:r>
  </w:p>
  <w:p w:rsidR="00A82DAF" w:rsidRPr="00FC413F" w:rsidRDefault="00EC386A" w:rsidP="00A82DAF">
    <w:pPr>
      <w:pStyle w:val="Footer"/>
      <w:tabs>
        <w:tab w:val="clear" w:pos="4513"/>
        <w:tab w:val="clear" w:pos="9026"/>
      </w:tabs>
      <w:ind w:left="-567"/>
      <w:jc w:val="center"/>
      <w:rPr>
        <w:rFonts w:cs="Segoe UI"/>
        <w:szCs w:val="18"/>
      </w:rPr>
    </w:pPr>
    <w:hyperlink r:id="rId1" w:history="1">
      <w:r w:rsidR="00A82DAF" w:rsidRPr="00FC413F">
        <w:rPr>
          <w:rStyle w:val="Hyperlink"/>
          <w:rFonts w:cs="Segoe UI"/>
          <w:szCs w:val="18"/>
        </w:rPr>
        <w:t>infrastructure.gov.au</w:t>
      </w:r>
    </w:hyperlink>
    <w:r w:rsidR="00A82DAF" w:rsidRPr="00FC413F">
      <w:rPr>
        <w:rFonts w:cs="Segoe UI"/>
        <w:noProof/>
        <w:szCs w:val="18"/>
      </w:rPr>
      <w:t xml:space="preserve"> | </w:t>
    </w:r>
    <w:hyperlink r:id="rId2" w:history="1">
      <w:r w:rsidR="00A82DAF" w:rsidRPr="00FC413F">
        <w:rPr>
          <w:rStyle w:val="Hyperlink"/>
          <w:rFonts w:cs="Segoe UI"/>
          <w:szCs w:val="18"/>
        </w:rPr>
        <w:t>communications.gov.au</w:t>
      </w:r>
    </w:hyperlink>
    <w:r w:rsidR="003768DA">
      <w:t xml:space="preserve"> | </w:t>
    </w:r>
    <w:hyperlink r:id="rId3" w:history="1">
      <w:r w:rsidR="003768DA" w:rsidRPr="00FC413F">
        <w:rPr>
          <w:rStyle w:val="Hyperlink"/>
          <w:rFonts w:cs="Segoe UI"/>
          <w:szCs w:val="18"/>
        </w:rPr>
        <w:t>arts.gov.au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4F7" w:rsidRDefault="000244F7" w:rsidP="00FC413F">
      <w:pPr>
        <w:spacing w:after="0"/>
      </w:pPr>
      <w:r>
        <w:separator/>
      </w:r>
    </w:p>
  </w:footnote>
  <w:footnote w:type="continuationSeparator" w:id="0">
    <w:p w:rsidR="000244F7" w:rsidRDefault="000244F7" w:rsidP="00FC41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DAF" w:rsidRDefault="00A82DAF" w:rsidP="00FC413F">
    <w:pPr>
      <w:pStyle w:val="Header"/>
      <w:tabs>
        <w:tab w:val="right" w:pos="9475"/>
      </w:tabs>
      <w:ind w:left="-1418"/>
    </w:pPr>
    <w:r>
      <w:rPr>
        <w:noProof/>
        <w:lang w:eastAsia="en-AU"/>
      </w:rPr>
      <w:drawing>
        <wp:inline distT="0" distB="0" distL="0" distR="0" wp14:anchorId="0C3305A6" wp14:editId="1C6C7903">
          <wp:extent cx="7570707" cy="1080198"/>
          <wp:effectExtent l="0" t="0" r="0" b="5715"/>
          <wp:docPr id="4" name="Picture 4"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rsidR="00A82DAF" w:rsidRPr="000244F7" w:rsidRDefault="000244F7" w:rsidP="00D47BFD">
    <w:pPr>
      <w:pStyle w:val="Header"/>
      <w:tabs>
        <w:tab w:val="clear" w:pos="4678"/>
      </w:tabs>
      <w:rPr>
        <w:rFonts w:cs="Segoe UI Light"/>
        <w:color w:val="001C40"/>
        <w:szCs w:val="18"/>
      </w:rPr>
    </w:pPr>
    <w:r>
      <w:rPr>
        <w:rFonts w:cs="Segoe UI Light"/>
        <w:szCs w:val="18"/>
      </w:rPr>
      <w:t>September 2020</w:t>
    </w:r>
    <w:r w:rsidR="00A82DAF" w:rsidRPr="00261FFA">
      <w:rPr>
        <w:rFonts w:cs="Segoe UI Light"/>
        <w:szCs w:val="18"/>
      </w:rPr>
      <w:tab/>
    </w:r>
    <w:r w:rsidR="00A82DAF" w:rsidRPr="000244F7">
      <w:rPr>
        <w:rFonts w:cs="Segoe UI Light"/>
        <w:color w:val="001C40"/>
        <w:szCs w:val="18"/>
      </w:rPr>
      <w:fldChar w:fldCharType="begin"/>
    </w:r>
    <w:r w:rsidR="00A82DAF" w:rsidRPr="000244F7">
      <w:rPr>
        <w:rFonts w:cs="Segoe UI Light"/>
        <w:color w:val="001C40"/>
        <w:szCs w:val="18"/>
      </w:rPr>
      <w:instrText xml:space="preserve"> STYLEREF  "Heading 2—not showing"  \* MERGEFORMAT </w:instrText>
    </w:r>
    <w:r w:rsidR="00A82DAF" w:rsidRPr="000244F7">
      <w:rPr>
        <w:rFonts w:cs="Segoe UI Light"/>
        <w:color w:val="001C40"/>
        <w:szCs w:val="18"/>
      </w:rPr>
      <w:fldChar w:fldCharType="separate"/>
    </w:r>
    <w:r w:rsidR="00EC386A" w:rsidRPr="00EC386A">
      <w:rPr>
        <w:rFonts w:cs="Segoe UI Light"/>
        <w:bCs/>
        <w:noProof/>
        <w:color w:val="001C40"/>
        <w:szCs w:val="18"/>
        <w:lang w:val="en-US"/>
      </w:rPr>
      <w:t>Contents</w:t>
    </w:r>
    <w:r w:rsidR="00A82DAF" w:rsidRPr="000244F7">
      <w:rPr>
        <w:rFonts w:cs="Segoe UI Light"/>
        <w:color w:val="001C4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E04" w:rsidRDefault="00E80E04" w:rsidP="00FC413F">
    <w:pPr>
      <w:pStyle w:val="Header"/>
      <w:tabs>
        <w:tab w:val="right" w:pos="9475"/>
      </w:tabs>
      <w:ind w:left="-1418"/>
    </w:pPr>
    <w:r>
      <w:rPr>
        <w:noProof/>
        <w:lang w:eastAsia="en-AU"/>
      </w:rPr>
      <w:drawing>
        <wp:inline distT="0" distB="0" distL="0" distR="0" wp14:anchorId="54113138" wp14:editId="329A1320">
          <wp:extent cx="7570707" cy="1080198"/>
          <wp:effectExtent l="0" t="0" r="0" b="5715"/>
          <wp:docPr id="2" name="Picture 2"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rsidR="00E80E04" w:rsidRPr="00261FFA" w:rsidRDefault="000244F7" w:rsidP="00D47BFD">
    <w:pPr>
      <w:pStyle w:val="Header"/>
      <w:tabs>
        <w:tab w:val="clear" w:pos="4678"/>
      </w:tabs>
      <w:rPr>
        <w:rFonts w:cs="Segoe UI Light"/>
        <w:color w:val="001C40"/>
        <w:szCs w:val="18"/>
      </w:rPr>
    </w:pPr>
    <w:r>
      <w:rPr>
        <w:rFonts w:cs="Segoe UI Light"/>
        <w:szCs w:val="18"/>
      </w:rPr>
      <w:t>September 2020</w:t>
    </w:r>
    <w:r w:rsidR="00E80E04" w:rsidRPr="00261FFA">
      <w:rPr>
        <w:rFonts w:cs="Segoe UI Light"/>
        <w:szCs w:val="18"/>
      </w:rPr>
      <w:tab/>
    </w:r>
    <w:r w:rsidR="00E80E04">
      <w:rPr>
        <w:rFonts w:cs="Segoe UI Light"/>
        <w:color w:val="001C40"/>
        <w:szCs w:val="18"/>
      </w:rPr>
      <w:fldChar w:fldCharType="begin"/>
    </w:r>
    <w:r w:rsidR="00E80E04">
      <w:rPr>
        <w:rFonts w:cs="Segoe UI Light"/>
        <w:color w:val="001C40"/>
        <w:szCs w:val="18"/>
      </w:rPr>
      <w:instrText xml:space="preserve"> STYLEREF  "Heading 2"  \* MERGEFORMAT </w:instrText>
    </w:r>
    <w:r w:rsidR="00E80E04">
      <w:rPr>
        <w:rFonts w:cs="Segoe UI Light"/>
        <w:color w:val="001C40"/>
        <w:szCs w:val="18"/>
      </w:rPr>
      <w:fldChar w:fldCharType="separate"/>
    </w:r>
    <w:r w:rsidR="00EC386A">
      <w:rPr>
        <w:rFonts w:cs="Segoe UI Light"/>
        <w:noProof/>
        <w:color w:val="001C40"/>
        <w:szCs w:val="18"/>
      </w:rPr>
      <w:t>Attachment A: HCIS description and images of designated areas</w:t>
    </w:r>
    <w:r w:rsidR="00E80E04">
      <w:rPr>
        <w:rFonts w:cs="Segoe UI Light"/>
        <w:color w:val="001C4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92756"/>
    <w:multiLevelType w:val="hybridMultilevel"/>
    <w:tmpl w:val="7AACB4D4"/>
    <w:lvl w:ilvl="0" w:tplc="BB0C39E4">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8827E7D"/>
    <w:multiLevelType w:val="hybridMultilevel"/>
    <w:tmpl w:val="AA168EC0"/>
    <w:lvl w:ilvl="0" w:tplc="E96A464C">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4F7"/>
    <w:rsid w:val="000244F7"/>
    <w:rsid w:val="000740FB"/>
    <w:rsid w:val="000848D7"/>
    <w:rsid w:val="00090E62"/>
    <w:rsid w:val="000A20A7"/>
    <w:rsid w:val="000A2893"/>
    <w:rsid w:val="000C0244"/>
    <w:rsid w:val="000C7DDA"/>
    <w:rsid w:val="00105DA4"/>
    <w:rsid w:val="00166093"/>
    <w:rsid w:val="00204A64"/>
    <w:rsid w:val="00217C11"/>
    <w:rsid w:val="00236F1B"/>
    <w:rsid w:val="002371FF"/>
    <w:rsid w:val="00261FFA"/>
    <w:rsid w:val="00272982"/>
    <w:rsid w:val="00287C7E"/>
    <w:rsid w:val="002A5AB5"/>
    <w:rsid w:val="002F1A23"/>
    <w:rsid w:val="00300077"/>
    <w:rsid w:val="00310148"/>
    <w:rsid w:val="00323710"/>
    <w:rsid w:val="00342348"/>
    <w:rsid w:val="003768DA"/>
    <w:rsid w:val="003B6D01"/>
    <w:rsid w:val="003C0579"/>
    <w:rsid w:val="003D71C5"/>
    <w:rsid w:val="00402A63"/>
    <w:rsid w:val="00517A68"/>
    <w:rsid w:val="005D038B"/>
    <w:rsid w:val="005D0667"/>
    <w:rsid w:val="00630D43"/>
    <w:rsid w:val="006452B1"/>
    <w:rsid w:val="006542FA"/>
    <w:rsid w:val="00691FA2"/>
    <w:rsid w:val="006D43C7"/>
    <w:rsid w:val="00772C27"/>
    <w:rsid w:val="00790F25"/>
    <w:rsid w:val="00793843"/>
    <w:rsid w:val="0079788A"/>
    <w:rsid w:val="007B68AB"/>
    <w:rsid w:val="00822DBF"/>
    <w:rsid w:val="008818FD"/>
    <w:rsid w:val="008A7B93"/>
    <w:rsid w:val="008F24DE"/>
    <w:rsid w:val="00912D17"/>
    <w:rsid w:val="009276A3"/>
    <w:rsid w:val="009279AE"/>
    <w:rsid w:val="009466FA"/>
    <w:rsid w:val="00985DD5"/>
    <w:rsid w:val="00A4759C"/>
    <w:rsid w:val="00A5600C"/>
    <w:rsid w:val="00A82DAF"/>
    <w:rsid w:val="00B5393D"/>
    <w:rsid w:val="00B719B7"/>
    <w:rsid w:val="00BB5375"/>
    <w:rsid w:val="00BC0598"/>
    <w:rsid w:val="00C36E40"/>
    <w:rsid w:val="00C372A2"/>
    <w:rsid w:val="00C62177"/>
    <w:rsid w:val="00D47BFD"/>
    <w:rsid w:val="00D64922"/>
    <w:rsid w:val="00E64757"/>
    <w:rsid w:val="00E7227D"/>
    <w:rsid w:val="00E76BC6"/>
    <w:rsid w:val="00E80E04"/>
    <w:rsid w:val="00EA251A"/>
    <w:rsid w:val="00EC386A"/>
    <w:rsid w:val="00F61FA1"/>
    <w:rsid w:val="00F814AD"/>
    <w:rsid w:val="00FC413F"/>
    <w:rsid w:val="00FC7932"/>
    <w:rsid w:val="00FD3D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5A9491"/>
  <w15:chartTrackingRefBased/>
  <w15:docId w15:val="{91B1373A-323D-419D-B956-3D010784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1FF"/>
    <w:pPr>
      <w:spacing w:line="240" w:lineRule="auto"/>
    </w:pPr>
    <w:rPr>
      <w:rFonts w:ascii="Segoe UI" w:hAnsi="Segoe UI"/>
      <w:sz w:val="21"/>
    </w:rPr>
  </w:style>
  <w:style w:type="paragraph" w:styleId="Heading1">
    <w:name w:val="heading 1"/>
    <w:basedOn w:val="Normal"/>
    <w:next w:val="Normal"/>
    <w:link w:val="Heading1Char"/>
    <w:uiPriority w:val="9"/>
    <w:qFormat/>
    <w:rsid w:val="002A5AB5"/>
    <w:pPr>
      <w:keepNext/>
      <w:keepLines/>
      <w:shd w:val="clear" w:color="auto" w:fill="002D72"/>
      <w:spacing w:before="1200" w:after="240"/>
      <w:outlineLvl w:val="0"/>
    </w:pPr>
    <w:rPr>
      <w:rFonts w:ascii="Segoe UI Semibold" w:eastAsiaTheme="majorEastAsia" w:hAnsi="Segoe UI Semibold" w:cs="Segoe UI Semibold"/>
      <w:color w:val="FFFFFF" w:themeColor="background1"/>
      <w:sz w:val="48"/>
      <w:szCs w:val="48"/>
    </w:rPr>
  </w:style>
  <w:style w:type="paragraph" w:styleId="Heading2">
    <w:name w:val="heading 2"/>
    <w:basedOn w:val="Normal"/>
    <w:next w:val="Normal"/>
    <w:link w:val="Heading2Char"/>
    <w:uiPriority w:val="9"/>
    <w:unhideWhenUsed/>
    <w:qFormat/>
    <w:rsid w:val="000A2893"/>
    <w:pPr>
      <w:keepNext/>
      <w:pageBreakBefore/>
      <w:spacing w:after="120"/>
      <w:outlineLvl w:val="1"/>
    </w:pPr>
    <w:rPr>
      <w:rFonts w:ascii="Segoe UI Semibold" w:eastAsia="MingLiU" w:hAnsi="Segoe UI Semibold" w:cs="Segoe UI Semibold"/>
      <w:color w:val="002D72"/>
      <w:sz w:val="34"/>
      <w:szCs w:val="26"/>
    </w:rPr>
  </w:style>
  <w:style w:type="paragraph" w:styleId="Heading3">
    <w:name w:val="heading 3"/>
    <w:basedOn w:val="Normal"/>
    <w:next w:val="Normal"/>
    <w:link w:val="Heading3Char"/>
    <w:uiPriority w:val="9"/>
    <w:unhideWhenUsed/>
    <w:qFormat/>
    <w:rsid w:val="000A2893"/>
    <w:pPr>
      <w:keepNext/>
      <w:spacing w:after="120"/>
      <w:outlineLvl w:val="2"/>
    </w:pPr>
    <w:rPr>
      <w:rFonts w:ascii="Segoe UI Semibold" w:eastAsia="MingLiU" w:hAnsi="Segoe UI Semibold" w:cs="Segoe UI Semibold"/>
      <w:color w:val="002D72"/>
      <w:sz w:val="28"/>
      <w:szCs w:val="30"/>
    </w:rPr>
  </w:style>
  <w:style w:type="paragraph" w:styleId="Heading4">
    <w:name w:val="heading 4"/>
    <w:basedOn w:val="Normal"/>
    <w:next w:val="Normal"/>
    <w:link w:val="Heading4Char"/>
    <w:uiPriority w:val="9"/>
    <w:unhideWhenUsed/>
    <w:qFormat/>
    <w:rsid w:val="00C36E40"/>
    <w:pPr>
      <w:keepNext/>
      <w:spacing w:before="120" w:after="120"/>
      <w:outlineLvl w:val="3"/>
    </w:pPr>
    <w:rPr>
      <w:rFonts w:ascii="Segoe UI Semibold" w:eastAsia="MingLiU" w:hAnsi="Segoe UI Semibold" w:cs="Segoe UI Semibold"/>
      <w:color w:val="4C5564"/>
      <w:sz w:val="26"/>
      <w:szCs w:val="26"/>
    </w:rPr>
  </w:style>
  <w:style w:type="paragraph" w:styleId="Heading5">
    <w:name w:val="heading 5"/>
    <w:basedOn w:val="Normal"/>
    <w:next w:val="Normal"/>
    <w:link w:val="Heading5Char"/>
    <w:uiPriority w:val="9"/>
    <w:unhideWhenUsed/>
    <w:qFormat/>
    <w:rsid w:val="00C36E40"/>
    <w:pPr>
      <w:keepNext/>
      <w:spacing w:before="120" w:after="120"/>
      <w:outlineLvl w:val="4"/>
    </w:pPr>
    <w:rPr>
      <w:rFonts w:ascii="Segoe UI Semibold" w:eastAsia="MingLiU" w:hAnsi="Segoe UI Semibold" w:cs="Segoe UI Semibold"/>
      <w:color w:val="4C5564"/>
    </w:rPr>
  </w:style>
  <w:style w:type="paragraph" w:styleId="Heading6">
    <w:name w:val="heading 6"/>
    <w:basedOn w:val="Normal"/>
    <w:next w:val="Normal"/>
    <w:link w:val="Heading6Char"/>
    <w:uiPriority w:val="9"/>
    <w:unhideWhenUsed/>
    <w:qFormat/>
    <w:rsid w:val="00C36E40"/>
    <w:pPr>
      <w:keepNext/>
      <w:spacing w:before="120" w:after="120"/>
      <w:outlineLvl w:val="5"/>
    </w:pPr>
    <w:rPr>
      <w:rFonts w:ascii="Segoe UI Semibold" w:eastAsia="MingLiU" w:hAnsi="Segoe UI Semibold" w:cs="Segoe UI Semibold"/>
      <w:color w:val="4C5564"/>
      <w:sz w:val="20"/>
      <w:szCs w:val="20"/>
    </w:rPr>
  </w:style>
  <w:style w:type="paragraph" w:styleId="Heading7">
    <w:name w:val="heading 7"/>
    <w:basedOn w:val="Normal"/>
    <w:next w:val="Normal"/>
    <w:link w:val="Heading7Char"/>
    <w:uiPriority w:val="9"/>
    <w:unhideWhenUsed/>
    <w:qFormat/>
    <w:rsid w:val="00C36E40"/>
    <w:pPr>
      <w:keepNext/>
      <w:keepLines/>
      <w:spacing w:before="40" w:after="0"/>
      <w:outlineLvl w:val="6"/>
    </w:pPr>
    <w:rPr>
      <w:rFonts w:ascii="Segoe UI Semibold" w:eastAsiaTheme="majorEastAsia" w:hAnsi="Segoe UI Semibold" w:cs="Segoe UI Semibold"/>
      <w:iCs/>
      <w:color w:val="4C5564"/>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85DD5"/>
    <w:pPr>
      <w:numPr>
        <w:numId w:val="1"/>
      </w:numPr>
      <w:ind w:left="1134" w:hanging="567"/>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2A5AB5"/>
    <w:rPr>
      <w:rFonts w:ascii="Segoe UI Semibold" w:eastAsiaTheme="majorEastAsia" w:hAnsi="Segoe UI Semibold" w:cs="Segoe UI Semibold"/>
      <w:color w:val="FFFFFF" w:themeColor="background1"/>
      <w:sz w:val="48"/>
      <w:szCs w:val="48"/>
      <w:shd w:val="clear" w:color="auto" w:fill="002D72"/>
    </w:rPr>
  </w:style>
  <w:style w:type="character" w:customStyle="1" w:styleId="Heading2Char">
    <w:name w:val="Heading 2 Char"/>
    <w:basedOn w:val="DefaultParagraphFont"/>
    <w:link w:val="Heading2"/>
    <w:uiPriority w:val="9"/>
    <w:rsid w:val="000A2893"/>
    <w:rPr>
      <w:rFonts w:ascii="Segoe UI Semibold" w:eastAsia="MingLiU" w:hAnsi="Segoe UI Semibold" w:cs="Segoe UI Semibold"/>
      <w:color w:val="002D72"/>
      <w:sz w:val="34"/>
      <w:szCs w:val="26"/>
    </w:rPr>
  </w:style>
  <w:style w:type="character" w:customStyle="1" w:styleId="Heading3Char">
    <w:name w:val="Heading 3 Char"/>
    <w:basedOn w:val="DefaultParagraphFont"/>
    <w:link w:val="Heading3"/>
    <w:uiPriority w:val="9"/>
    <w:rsid w:val="000A2893"/>
    <w:rPr>
      <w:rFonts w:ascii="Segoe UI Semibold" w:eastAsia="MingLiU" w:hAnsi="Segoe UI Semibold" w:cs="Segoe UI Semibold"/>
      <w:color w:val="002D72"/>
      <w:sz w:val="28"/>
      <w:szCs w:val="30"/>
    </w:rPr>
  </w:style>
  <w:style w:type="character" w:customStyle="1" w:styleId="Heading4Char">
    <w:name w:val="Heading 4 Char"/>
    <w:basedOn w:val="DefaultParagraphFont"/>
    <w:link w:val="Heading4"/>
    <w:uiPriority w:val="9"/>
    <w:rsid w:val="00C36E40"/>
    <w:rPr>
      <w:rFonts w:ascii="Segoe UI Semibold" w:eastAsia="MingLiU" w:hAnsi="Segoe UI Semibold" w:cs="Segoe UI Semibold"/>
      <w:color w:val="4C5564"/>
      <w:sz w:val="26"/>
      <w:szCs w:val="26"/>
    </w:rPr>
  </w:style>
  <w:style w:type="character" w:customStyle="1" w:styleId="Heading5Char">
    <w:name w:val="Heading 5 Char"/>
    <w:basedOn w:val="DefaultParagraphFont"/>
    <w:link w:val="Heading5"/>
    <w:uiPriority w:val="9"/>
    <w:rsid w:val="00C36E40"/>
    <w:rPr>
      <w:rFonts w:ascii="Segoe UI Semibold" w:eastAsia="MingLiU" w:hAnsi="Segoe UI Semibold" w:cs="Segoe UI Semibold"/>
      <w:color w:val="4C5564"/>
      <w:sz w:val="21"/>
    </w:rPr>
  </w:style>
  <w:style w:type="character" w:customStyle="1" w:styleId="Heading6Char">
    <w:name w:val="Heading 6 Char"/>
    <w:basedOn w:val="DefaultParagraphFont"/>
    <w:link w:val="Heading6"/>
    <w:uiPriority w:val="9"/>
    <w:rsid w:val="00C36E40"/>
    <w:rPr>
      <w:rFonts w:ascii="Segoe UI Semibold" w:eastAsia="MingLiU" w:hAnsi="Segoe UI Semibold" w:cs="Segoe UI Semibold"/>
      <w:color w:val="4C5564"/>
      <w:sz w:val="20"/>
      <w:szCs w:val="20"/>
    </w:rPr>
  </w:style>
  <w:style w:type="character" w:customStyle="1" w:styleId="Heading7Char">
    <w:name w:val="Heading 7 Char"/>
    <w:basedOn w:val="DefaultParagraphFont"/>
    <w:link w:val="Heading7"/>
    <w:uiPriority w:val="9"/>
    <w:rsid w:val="00C36E40"/>
    <w:rPr>
      <w:rFonts w:ascii="Segoe UI Semibold" w:eastAsiaTheme="majorEastAsia" w:hAnsi="Segoe UI Semibold" w:cs="Segoe UI Semibold"/>
      <w:iCs/>
      <w:color w:val="4C5564"/>
      <w:sz w:val="18"/>
      <w:szCs w:val="18"/>
    </w:rPr>
  </w:style>
  <w:style w:type="paragraph" w:customStyle="1" w:styleId="Heading2notshowing">
    <w:name w:val="Heading 2—not showing"/>
    <w:basedOn w:val="Normal"/>
    <w:next w:val="Normal"/>
    <w:qFormat/>
    <w:rsid w:val="003D71C5"/>
    <w:pPr>
      <w:keepNext/>
      <w:spacing w:after="120"/>
      <w:outlineLvl w:val="1"/>
    </w:pPr>
    <w:rPr>
      <w:rFonts w:ascii="Segoe UI Semibold" w:eastAsia="MingLiU" w:hAnsi="Segoe UI Semibold" w:cs="Segoe UI Semibold"/>
      <w:color w:val="4C5564"/>
      <w:sz w:val="28"/>
      <w:szCs w:val="26"/>
    </w:rPr>
  </w:style>
  <w:style w:type="paragraph" w:customStyle="1" w:styleId="Heading3notshowing">
    <w:name w:val="Heading 3—not showing"/>
    <w:basedOn w:val="Normal"/>
    <w:next w:val="Normal"/>
    <w:qFormat/>
    <w:rsid w:val="00C36E40"/>
    <w:pPr>
      <w:keepNext/>
      <w:spacing w:after="120"/>
      <w:outlineLvl w:val="2"/>
    </w:pPr>
    <w:rPr>
      <w:rFonts w:ascii="Segoe UI Semibold" w:eastAsia="MingLiU" w:hAnsi="Segoe UI Semibold" w:cs="Segoe UI Semibold"/>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0A20A7"/>
    <w:pPr>
      <w:numPr>
        <w:numId w:val="2"/>
      </w:numPr>
      <w:ind w:left="567" w:hanging="567"/>
      <w:contextualSpacing/>
    </w:pPr>
    <w:rPr>
      <w:lang w:eastAsia="zh-TW"/>
    </w:rPr>
  </w:style>
  <w:style w:type="paragraph" w:styleId="ListParagraph">
    <w:name w:val="List Paragraph"/>
    <w:basedOn w:val="Normal"/>
    <w:uiPriority w:val="34"/>
    <w:qFormat/>
    <w:rsid w:val="000A2893"/>
    <w:pPr>
      <w:numPr>
        <w:numId w:val="3"/>
      </w:numPr>
      <w:ind w:left="567" w:hanging="567"/>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323710"/>
    <w:pPr>
      <w:spacing w:after="0"/>
    </w:pPr>
    <w:rPr>
      <w:rFonts w:eastAsia="Times New Roman" w:cs="Times New Roman"/>
      <w:b/>
      <w:bCs/>
      <w:color w:val="002D72"/>
      <w:sz w:val="20"/>
      <w:szCs w:val="20"/>
    </w:rPr>
  </w:style>
  <w:style w:type="paragraph" w:styleId="FootnoteText">
    <w:name w:val="footnote text"/>
    <w:basedOn w:val="Normal"/>
    <w:link w:val="FootnoteTextChar"/>
    <w:uiPriority w:val="99"/>
    <w:semiHidden/>
    <w:unhideWhenUsed/>
    <w:rsid w:val="00217C11"/>
    <w:pPr>
      <w:spacing w:after="0"/>
    </w:pPr>
    <w:rPr>
      <w:sz w:val="20"/>
      <w:szCs w:val="20"/>
    </w:rPr>
  </w:style>
  <w:style w:type="character" w:customStyle="1" w:styleId="FootnoteTextChar">
    <w:name w:val="Footnote Text Char"/>
    <w:basedOn w:val="DefaultParagraphFont"/>
    <w:link w:val="FootnoteText"/>
    <w:uiPriority w:val="99"/>
    <w:semiHidden/>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C36E40"/>
    <w:rPr>
      <w:rFonts w:eastAsia="PMingLiU" w:cs="Mangal"/>
      <w:color w:val="4C5564"/>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frastructure.gov.au" TargetMode="External"/><Relationship Id="rId18" Type="http://schemas.openxmlformats.org/officeDocument/2006/relationships/hyperlink" Target="https://www.acma.gov.au/publication-submissions"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ublishing@communications.gov.au" TargetMode="External"/><Relationship Id="rId17" Type="http://schemas.openxmlformats.org/officeDocument/2006/relationships/hyperlink" Target="mailto:spectrumaccessandmanagement@communications.gov.au" TargetMode="External"/><Relationship Id="rId25" Type="http://schemas.openxmlformats.org/officeDocument/2006/relationships/image" Target="media/image7.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acma.gov.au/convert-hcis-area-description-placemark"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mc.gov.au" TargetMode="External"/><Relationship Id="rId24" Type="http://schemas.openxmlformats.org/officeDocument/2006/relationships/image" Target="media/image6.jpe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arts.gov.au" TargetMode="Externa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hyperlink" Target="https://creativecommons.org/licenses/by/4.0/" TargetMode="External"/><Relationship Id="rId19" Type="http://schemas.openxmlformats.org/officeDocument/2006/relationships/hyperlink" Target="https://www.acma.gov.au/privacy-policy"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mmunications.gov.au"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83405-9FBB-4F26-8483-14B800384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8356</Words>
  <Characters>44789</Characters>
  <Application>Microsoft Office Word</Application>
  <DocSecurity>0</DocSecurity>
  <Lines>1399</Lines>
  <Paragraphs>359</Paragraphs>
  <ScaleCrop>false</ScaleCrop>
  <HeadingPairs>
    <vt:vector size="2" baseType="variant">
      <vt:variant>
        <vt:lpstr>Title</vt:lpstr>
      </vt:variant>
      <vt:variant>
        <vt:i4>1</vt:i4>
      </vt:variant>
    </vt:vector>
  </HeadingPairs>
  <TitlesOfParts>
    <vt:vector size="1" baseType="lpstr">
      <vt:lpstr>Designation of spectrum in the 3.4 GHz band for spectrum licensing—Consultation Paper</vt:lpstr>
    </vt:vector>
  </TitlesOfParts>
  <Company>Department of Infrastructure, Transport, Regional Development and Communications</Company>
  <LinksUpToDate>false</LinksUpToDate>
  <CharactersWithSpaces>52786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Designation of spectrum in the 3.4 GHz band for spectrum licensing—Consultation Paper</dc:title>
  <dc:subject/>
  <dc:creator>Department of Infrastructure, Transport, Regional Development and Communications</dc:creator>
  <cp:keywords/>
  <dc:description>6 May 2020</dc:description>
  <cp:lastModifiedBy>Hall, Theresa</cp:lastModifiedBy>
  <cp:revision>3</cp:revision>
  <dcterms:created xsi:type="dcterms:W3CDTF">2020-09-22T05:51:00Z</dcterms:created>
  <dcterms:modified xsi:type="dcterms:W3CDTF">2020-09-22T05:56:00Z</dcterms:modified>
</cp:coreProperties>
</file>