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8942573"/>
    <w:bookmarkStart w:id="1" w:name="_Hlk148942357"/>
    <w:bookmarkStart w:id="2" w:name="_Hlk150152067"/>
    <w:bookmarkStart w:id="3" w:name="_GoBack"/>
    <w:bookmarkEnd w:id="3"/>
    <w:p w14:paraId="0F0AA2C5" w14:textId="77777777" w:rsidR="001D659E" w:rsidRPr="0069753D" w:rsidRDefault="009B7F60" w:rsidP="00140888">
      <w:pPr>
        <w:pStyle w:val="SecurityMarker"/>
        <w:framePr w:w="11873" w:h="465" w:hRule="exact" w:hSpace="181" w:wrap="around" w:vAnchor="page" w:hAnchor="page" w:x="29" w:y="353" w:anchorLock="1"/>
        <w:tabs>
          <w:tab w:val="center" w:pos="4932"/>
          <w:tab w:val="left" w:pos="7290"/>
        </w:tabs>
        <w:rPr>
          <w:color w:val="FF0000"/>
        </w:rPr>
      </w:pPr>
      <w:sdt>
        <w:sdtPr>
          <w:rPr>
            <w:shd w:val="clear" w:color="auto" w:fill="auto"/>
          </w:rPr>
          <w:alias w:val="SecClass"/>
          <w:tag w:val="SecClass"/>
          <w:id w:val="-1644493544"/>
          <w:placeholder>
            <w:docPart w:val="A791EA8DBD1548CFA4DDD28E3CB8DCC3"/>
          </w:placeholder>
          <w:comboBox>
            <w:listItem w:displayText="Select security classification" w:value="Select security classification"/>
            <w:listItem w:displayText="OFFICIAL" w:value="1"/>
            <w:listItem w:displayText="OFFICIAL: SENSITIVE" w:value="2"/>
            <w:listItem w:displayText="PROTECTED" w:value="3"/>
          </w:comboBox>
        </w:sdtPr>
        <w:sdtEndPr/>
        <w:sdtContent>
          <w:r w:rsidR="000F0F89">
            <w:rPr>
              <w:shd w:val="clear" w:color="auto" w:fill="auto"/>
            </w:rPr>
            <w:t>OFFICIAL</w:t>
          </w:r>
        </w:sdtContent>
      </w:sdt>
      <w:bookmarkEnd w:id="0"/>
    </w:p>
    <w:bookmarkEnd w:id="1"/>
    <w:p w14:paraId="261317B1" w14:textId="165FBE94" w:rsidR="00E7049C" w:rsidRPr="004868DF" w:rsidRDefault="00E7049C" w:rsidP="004868DF">
      <w:pPr>
        <w:pStyle w:val="Title"/>
        <w:spacing w:before="0"/>
        <w:rPr>
          <w:sz w:val="56"/>
          <w:szCs w:val="60"/>
        </w:rPr>
      </w:pPr>
      <w:r w:rsidRPr="004868DF">
        <w:rPr>
          <w:sz w:val="56"/>
          <w:szCs w:val="60"/>
        </w:rPr>
        <w:t xml:space="preserve">Diversity, Equity and Inclusion </w:t>
      </w:r>
      <w:r w:rsidR="00F86FA6">
        <w:rPr>
          <w:sz w:val="56"/>
          <w:szCs w:val="60"/>
        </w:rPr>
        <w:t xml:space="preserve">Strategy </w:t>
      </w:r>
      <w:r w:rsidRPr="004868DF">
        <w:rPr>
          <w:sz w:val="56"/>
          <w:szCs w:val="60"/>
        </w:rPr>
        <w:t>Roadmap</w:t>
      </w:r>
    </w:p>
    <w:p w14:paraId="458096A6" w14:textId="77777777" w:rsidR="00DE4FE2" w:rsidRPr="00226525" w:rsidRDefault="00E7049C" w:rsidP="00226525">
      <w:pPr>
        <w:pStyle w:val="Subtitle"/>
      </w:pPr>
      <w:r w:rsidRPr="00226525">
        <w:t>2025-26</w:t>
      </w:r>
    </w:p>
    <w:p w14:paraId="712044BB" w14:textId="4785C49E" w:rsidR="00DE4FE2" w:rsidRDefault="00E00BF8" w:rsidP="002773D1">
      <w:pPr>
        <w:pStyle w:val="CoverDate"/>
      </w:pPr>
      <w:r>
        <w:t>Released: July</w:t>
      </w:r>
      <w:r w:rsidR="00A832F0">
        <w:t xml:space="preserve"> </w:t>
      </w:r>
      <w:r w:rsidR="008E5BFD">
        <w:t>2025</w:t>
      </w:r>
    </w:p>
    <w:p w14:paraId="2FA63B2B" w14:textId="77777777" w:rsidR="00781140" w:rsidRDefault="00781140" w:rsidP="00226525">
      <w:pPr>
        <w:pBdr>
          <w:bottom w:val="single" w:sz="4" w:space="1" w:color="C0D48F" w:themeColor="accent5"/>
        </w:pBdr>
        <w:spacing w:before="0" w:after="0"/>
      </w:pPr>
    </w:p>
    <w:p w14:paraId="3DF1F81B" w14:textId="2B32D43C" w:rsidR="00B46F7D" w:rsidRDefault="00B46F7D" w:rsidP="00B46F7D">
      <w:pPr>
        <w:rPr>
          <w:color w:val="347C7E" w:themeColor="accent2"/>
          <w:sz w:val="26"/>
          <w:lang w:val="x-none"/>
        </w:rPr>
      </w:pPr>
      <w:bookmarkStart w:id="4" w:name="_Hlk201576392"/>
      <w:r w:rsidRPr="00B46F7D">
        <w:rPr>
          <w:color w:val="347C7E" w:themeColor="accent2"/>
          <w:sz w:val="26"/>
          <w:lang w:val="x-none"/>
        </w:rPr>
        <w:t>The Diversity, Equity and Inclusion (DEI) Strategy 2025</w:t>
      </w:r>
      <w:r w:rsidR="008F397C">
        <w:rPr>
          <w:color w:val="347C7E" w:themeColor="accent2"/>
          <w:sz w:val="26"/>
          <w:lang w:val="x-none"/>
        </w:rPr>
        <w:t>-</w:t>
      </w:r>
      <w:r w:rsidRPr="00B46F7D">
        <w:rPr>
          <w:color w:val="347C7E" w:themeColor="accent2"/>
          <w:sz w:val="26"/>
          <w:lang w:val="x-none"/>
        </w:rPr>
        <w:t xml:space="preserve">28 outlines our department’s commitment to embedding </w:t>
      </w:r>
      <w:r w:rsidR="001619FA">
        <w:rPr>
          <w:color w:val="347C7E" w:themeColor="accent2"/>
          <w:sz w:val="26"/>
        </w:rPr>
        <w:t xml:space="preserve">diversity and </w:t>
      </w:r>
      <w:r w:rsidRPr="00B46F7D">
        <w:rPr>
          <w:color w:val="347C7E" w:themeColor="accent2"/>
          <w:sz w:val="26"/>
          <w:lang w:val="x-none"/>
        </w:rPr>
        <w:t xml:space="preserve">inclusion in all aspects of our work. A key mechanism to drive and track progress is the development of annual </w:t>
      </w:r>
      <w:r w:rsidR="003F5523">
        <w:rPr>
          <w:color w:val="347C7E" w:themeColor="accent2"/>
          <w:sz w:val="26"/>
        </w:rPr>
        <w:t>roadmaps.</w:t>
      </w:r>
      <w:r w:rsidRPr="00B46F7D">
        <w:rPr>
          <w:color w:val="347C7E" w:themeColor="accent2"/>
          <w:sz w:val="26"/>
          <w:lang w:val="x-none"/>
        </w:rPr>
        <w:t xml:space="preserve"> </w:t>
      </w:r>
    </w:p>
    <w:p w14:paraId="0A8FBC48" w14:textId="24E8C3DB" w:rsidR="00B46F7D" w:rsidRPr="00B46F7D" w:rsidRDefault="00B46F7D" w:rsidP="00B46F7D">
      <w:r w:rsidRPr="00B46F7D">
        <w:t>This 2025</w:t>
      </w:r>
      <w:r w:rsidR="008F397C">
        <w:t>-</w:t>
      </w:r>
      <w:r w:rsidRPr="00B46F7D">
        <w:t xml:space="preserve">26 Roadmap sets out the practical actions we will take over the next 12 months to deliver on the goals of the </w:t>
      </w:r>
      <w:r w:rsidR="008F397C">
        <w:t>DEI S</w:t>
      </w:r>
      <w:r w:rsidRPr="00B46F7D">
        <w:t>trategy.</w:t>
      </w:r>
    </w:p>
    <w:p w14:paraId="1B1606B5" w14:textId="18367A24" w:rsidR="00B46F7D" w:rsidRPr="00B46F7D" w:rsidRDefault="00B46F7D" w:rsidP="00B46F7D">
      <w:r w:rsidRPr="00B46F7D">
        <w:t>We are taking a phased and deliberate approach over the four years of the strategy. As we complete actions each year, we expect our maturity to increase, with future roadmaps reflecting this growth. The phases are:</w:t>
      </w:r>
    </w:p>
    <w:p w14:paraId="66217D5E" w14:textId="0C1F2E76" w:rsidR="00B46F7D" w:rsidRPr="00B46F7D" w:rsidRDefault="00B46F7D" w:rsidP="00B46F7D">
      <w:pPr>
        <w:pStyle w:val="Bullet1"/>
      </w:pPr>
      <w:r w:rsidRPr="00B46F7D">
        <w:t>Building (2025</w:t>
      </w:r>
      <w:r w:rsidR="008F397C">
        <w:t>-</w:t>
      </w:r>
      <w:r w:rsidRPr="00B46F7D">
        <w:t xml:space="preserve">26) </w:t>
      </w:r>
    </w:p>
    <w:p w14:paraId="20E709A0" w14:textId="527FC0E2" w:rsidR="00B46F7D" w:rsidRPr="00B46F7D" w:rsidRDefault="00B46F7D" w:rsidP="00B46F7D">
      <w:pPr>
        <w:pStyle w:val="Bullet1"/>
      </w:pPr>
      <w:r w:rsidRPr="00B46F7D">
        <w:t>Embedding (2026</w:t>
      </w:r>
      <w:r w:rsidR="008F397C">
        <w:t>-</w:t>
      </w:r>
      <w:r w:rsidRPr="00B46F7D">
        <w:t>27)</w:t>
      </w:r>
    </w:p>
    <w:p w14:paraId="0B4EC028" w14:textId="4166E9F7" w:rsidR="00B46F7D" w:rsidRPr="00B46F7D" w:rsidRDefault="00B46F7D" w:rsidP="00B46F7D">
      <w:pPr>
        <w:pStyle w:val="Bullet1"/>
      </w:pPr>
      <w:r w:rsidRPr="00B46F7D">
        <w:t>Consolidating (2027</w:t>
      </w:r>
      <w:r w:rsidR="008F397C">
        <w:t>-</w:t>
      </w:r>
      <w:r w:rsidRPr="00B46F7D">
        <w:t>28)</w:t>
      </w:r>
    </w:p>
    <w:p w14:paraId="7F174305" w14:textId="77777777" w:rsidR="00B46F7D" w:rsidRPr="00B46F7D" w:rsidRDefault="00B46F7D" w:rsidP="00B46F7D">
      <w:pPr>
        <w:pStyle w:val="Bullet1"/>
      </w:pPr>
      <w:r w:rsidRPr="00B46F7D">
        <w:t>Improving (2028 and beyond)</w:t>
      </w:r>
    </w:p>
    <w:p w14:paraId="6BF39063" w14:textId="67BF50DA" w:rsidR="00B46F7D" w:rsidRPr="00B46F7D" w:rsidRDefault="00B46F7D" w:rsidP="00B46F7D">
      <w:r w:rsidRPr="00B46F7D">
        <w:t>Th</w:t>
      </w:r>
      <w:r w:rsidR="008F397C">
        <w:t>ese</w:t>
      </w:r>
      <w:r w:rsidRPr="00B46F7D">
        <w:t xml:space="preserve"> annual roadmap</w:t>
      </w:r>
      <w:r w:rsidR="008F397C">
        <w:t>s</w:t>
      </w:r>
      <w:r w:rsidRPr="00B46F7D">
        <w:t xml:space="preserve"> </w:t>
      </w:r>
      <w:r w:rsidR="008F397C">
        <w:t xml:space="preserve">allow </w:t>
      </w:r>
      <w:r w:rsidRPr="00B46F7D">
        <w:t>us to build on our progress, assess our impact and adjust course where needed.</w:t>
      </w:r>
    </w:p>
    <w:p w14:paraId="166F54C0" w14:textId="7E481DC0" w:rsidR="00B46F7D" w:rsidRPr="00B46F7D" w:rsidRDefault="00B46F7D" w:rsidP="00B46F7D">
      <w:bookmarkStart w:id="5" w:name="_Hlk201576129"/>
      <w:r w:rsidRPr="00B46F7D">
        <w:t xml:space="preserve">The </w:t>
      </w:r>
      <w:r w:rsidR="003F5523" w:rsidRPr="00B46F7D">
        <w:t>2025</w:t>
      </w:r>
      <w:r w:rsidR="003F5523">
        <w:t>-</w:t>
      </w:r>
      <w:r w:rsidR="003F5523" w:rsidRPr="00B46F7D">
        <w:t xml:space="preserve">26 Roadmap </w:t>
      </w:r>
      <w:r w:rsidRPr="00B46F7D">
        <w:t xml:space="preserve">has been co-designed with our Diversity Networks, Diversity Champions, the </w:t>
      </w:r>
      <w:r w:rsidR="00D92F6A">
        <w:t>DEI</w:t>
      </w:r>
      <w:r w:rsidR="006C01FB">
        <w:t xml:space="preserve"> </w:t>
      </w:r>
      <w:r w:rsidRPr="00B46F7D">
        <w:t>Committee</w:t>
      </w:r>
      <w:r w:rsidR="003F5523">
        <w:t xml:space="preserve"> and </w:t>
      </w:r>
      <w:r w:rsidRPr="00B46F7D">
        <w:t xml:space="preserve">representatives from Corporate Group. It reflects our shared commitment to embedding </w:t>
      </w:r>
      <w:r w:rsidR="0082273C">
        <w:t xml:space="preserve">diversity and </w:t>
      </w:r>
      <w:r w:rsidRPr="00B46F7D">
        <w:t>inclusion into the department’s systems, strategies, leadership and culture.</w:t>
      </w:r>
    </w:p>
    <w:bookmarkEnd w:id="5"/>
    <w:p w14:paraId="1F71BEBD" w14:textId="45844899" w:rsidR="00B46F7D" w:rsidRPr="00B46F7D" w:rsidRDefault="00B46F7D" w:rsidP="00B46F7D">
      <w:r w:rsidRPr="00B46F7D">
        <w:t>All actions included in this roadmap are practical, measurable and provide clear line of sight from strategy to implementation.</w:t>
      </w:r>
    </w:p>
    <w:p w14:paraId="7EEC844B" w14:textId="5BEBEE68" w:rsidR="00B46F7D" w:rsidRPr="00B46F7D" w:rsidRDefault="00B46F7D" w:rsidP="00B46F7D">
      <w:r w:rsidRPr="00B46F7D">
        <w:t>Importantly, this roadmap captures the full scope of DEI actions being progressed under the strategy. If an initiative is not listed in the roadmap, it will not be tracked, reported on, or progressed through formal governance and reporting structures. This ensures focus, transparency and accountability.</w:t>
      </w:r>
    </w:p>
    <w:p w14:paraId="7E39544A" w14:textId="1EC968FA" w:rsidR="00B46F7D" w:rsidRDefault="00B46F7D" w:rsidP="00B46F7D">
      <w:r w:rsidRPr="00B46F7D">
        <w:t xml:space="preserve">Success will be measured annually, with a target of delivering at least 90 per cent of roadmap actions. </w:t>
      </w:r>
      <w:r w:rsidR="00DF350D">
        <w:t>T</w:t>
      </w:r>
      <w:r w:rsidRPr="00B46F7D">
        <w:t xml:space="preserve">his roadmap will </w:t>
      </w:r>
      <w:r w:rsidR="00DF350D">
        <w:t xml:space="preserve">also </w:t>
      </w:r>
      <w:r w:rsidRPr="00B46F7D">
        <w:t>be publicly available on our website</w:t>
      </w:r>
      <w:r w:rsidR="00DF350D">
        <w:t xml:space="preserve"> with the DEI Strategy</w:t>
      </w:r>
      <w:r w:rsidRPr="00B46F7D">
        <w:t>.</w:t>
      </w:r>
    </w:p>
    <w:p w14:paraId="0E9F39E8" w14:textId="1782F4EA" w:rsidR="00BF7454" w:rsidRPr="00B46F7D" w:rsidRDefault="003F5523" w:rsidP="002C656B">
      <w:pPr>
        <w:pStyle w:val="Heading2"/>
      </w:pPr>
      <w:r>
        <w:br w:type="column"/>
      </w:r>
      <w:r w:rsidR="00BF7454" w:rsidRPr="00B46F7D">
        <w:lastRenderedPageBreak/>
        <w:t>Scope and Exclusions</w:t>
      </w:r>
    </w:p>
    <w:p w14:paraId="0D7D2CD6" w14:textId="0AFDF58A" w:rsidR="00BF7454" w:rsidRPr="00B46F7D" w:rsidRDefault="00BF7454" w:rsidP="00BF7454">
      <w:bookmarkStart w:id="6" w:name="_Hlk202951393"/>
      <w:r w:rsidRPr="00B46F7D">
        <w:t>This roadmap sets out all formal actions being tracked, governed and reported under the DEI Strategy.</w:t>
      </w:r>
    </w:p>
    <w:p w14:paraId="162DC006" w14:textId="77777777" w:rsidR="00BF7454" w:rsidRPr="00B46F7D" w:rsidRDefault="00BF7454" w:rsidP="00BF7454">
      <w:r w:rsidRPr="00B46F7D">
        <w:t>Other key initiatives that support an inclusive workplace but sit outside the scope of this roadmap include</w:t>
      </w:r>
      <w:r>
        <w:t>:</w:t>
      </w:r>
    </w:p>
    <w:p w14:paraId="742C5515" w14:textId="77777777" w:rsidR="00BF7454" w:rsidRPr="00B46F7D" w:rsidRDefault="00BF7454" w:rsidP="00BF7454">
      <w:pPr>
        <w:pStyle w:val="Bullet1"/>
      </w:pPr>
      <w:r w:rsidRPr="00B46F7D">
        <w:t xml:space="preserve">The </w:t>
      </w:r>
      <w:r w:rsidRPr="008F397C">
        <w:rPr>
          <w:i/>
        </w:rPr>
        <w:t>Our Stories on Country Agreement</w:t>
      </w:r>
      <w:r w:rsidRPr="00B46F7D">
        <w:t xml:space="preserve">, governed and reported separately </w:t>
      </w:r>
      <w:r>
        <w:rPr>
          <w:lang w:val="en-AU"/>
        </w:rPr>
        <w:t xml:space="preserve">to the </w:t>
      </w:r>
      <w:r w:rsidRPr="00B46F7D">
        <w:t>First Nations Steering Committee.</w:t>
      </w:r>
    </w:p>
    <w:p w14:paraId="4C27C00D" w14:textId="77777777" w:rsidR="003F5523" w:rsidRDefault="00BF7454" w:rsidP="00BF7454">
      <w:pPr>
        <w:pStyle w:val="Bullet1"/>
      </w:pPr>
      <w:r w:rsidRPr="00B46F7D">
        <w:t xml:space="preserve">The </w:t>
      </w:r>
      <w:r w:rsidRPr="008F397C">
        <w:rPr>
          <w:i/>
        </w:rPr>
        <w:t>2024 Accessibility Report</w:t>
      </w:r>
      <w:r w:rsidRPr="00B46F7D">
        <w:t xml:space="preserve"> recommendations, which are tracked by the Transformation Project Steering Committee and </w:t>
      </w:r>
      <w:r>
        <w:rPr>
          <w:lang w:val="en-AU"/>
        </w:rPr>
        <w:t xml:space="preserve">escalated to the </w:t>
      </w:r>
      <w:r w:rsidRPr="00B46F7D">
        <w:t>Operations Committee</w:t>
      </w:r>
      <w:r>
        <w:rPr>
          <w:lang w:val="en-AU"/>
        </w:rPr>
        <w:t xml:space="preserve"> as required</w:t>
      </w:r>
      <w:r w:rsidRPr="00B46F7D">
        <w:t>.</w:t>
      </w:r>
    </w:p>
    <w:p w14:paraId="2AD734F0" w14:textId="2C598B6D" w:rsidR="003F5523" w:rsidRDefault="003F5523" w:rsidP="00BF7454">
      <w:pPr>
        <w:pStyle w:val="Bullet1"/>
      </w:pPr>
      <w:r>
        <w:t>N</w:t>
      </w:r>
      <w:r w:rsidRPr="00BF7454">
        <w:t>etwork-specific action plans</w:t>
      </w:r>
      <w:r>
        <w:rPr>
          <w:lang w:val="en-AU"/>
        </w:rPr>
        <w:t>, which are owned and managed by each diversity network</w:t>
      </w:r>
      <w:r w:rsidRPr="00BF7454">
        <w:t>.</w:t>
      </w:r>
    </w:p>
    <w:p w14:paraId="3068BE87" w14:textId="3CE4A693" w:rsidR="00BF7454" w:rsidRDefault="00BF7454" w:rsidP="00BF7454">
      <w:r w:rsidRPr="00B46F7D">
        <w:t>These initiatives are essential and complementary, but are governed through distinct processes to reflect their specific focus and accountability structures.</w:t>
      </w:r>
    </w:p>
    <w:bookmarkEnd w:id="4"/>
    <w:bookmarkEnd w:id="6"/>
    <w:p w14:paraId="222736CF" w14:textId="77777777" w:rsidR="00B46F7D" w:rsidRPr="002C656B" w:rsidRDefault="00B46F7D" w:rsidP="002C656B">
      <w:pPr>
        <w:pStyle w:val="Heading1"/>
      </w:pPr>
      <w:r w:rsidRPr="002C656B">
        <w:t>Our Strategic Context</w:t>
      </w:r>
    </w:p>
    <w:p w14:paraId="556E76BE" w14:textId="77777777" w:rsidR="00B46F7D" w:rsidRPr="00B46F7D" w:rsidRDefault="00B46F7D" w:rsidP="00B46F7D">
      <w:r w:rsidRPr="00B46F7D">
        <w:t>Our DEI vision is:</w:t>
      </w:r>
    </w:p>
    <w:p w14:paraId="49405CE9" w14:textId="730640F2" w:rsidR="00B46F7D" w:rsidRPr="00B46F7D" w:rsidRDefault="00B46F7D" w:rsidP="00B46F7D">
      <w:pPr>
        <w:pStyle w:val="Box2Heading"/>
      </w:pPr>
      <w:r w:rsidRPr="00B46F7D">
        <w:t>A workplace where equity and inclusion are fundamental to everything we do because a workforce that reflects the diversity of the communities we serve enriches our decisions and strengthens our impact.</w:t>
      </w:r>
    </w:p>
    <w:p w14:paraId="3D50BEDE" w14:textId="77777777" w:rsidR="00B46F7D" w:rsidRPr="00B46F7D" w:rsidRDefault="00B46F7D" w:rsidP="00B46F7D">
      <w:r w:rsidRPr="00B46F7D">
        <w:t>The DEI Strategy is structured around four strategic pillars:</w:t>
      </w:r>
    </w:p>
    <w:p w14:paraId="5498513F" w14:textId="28904961" w:rsidR="00B46F7D" w:rsidRPr="00B46F7D" w:rsidRDefault="00B46F7D" w:rsidP="00B46F7D">
      <w:pPr>
        <w:pStyle w:val="Bullet1"/>
      </w:pPr>
      <w:r w:rsidRPr="008F397C">
        <w:rPr>
          <w:b/>
        </w:rPr>
        <w:t>Respected</w:t>
      </w:r>
      <w:r w:rsidRPr="00B46F7D">
        <w:t xml:space="preserve"> </w:t>
      </w:r>
      <w:r w:rsidR="00D2530C">
        <w:t>-</w:t>
      </w:r>
      <w:r w:rsidRPr="00B46F7D">
        <w:t xml:space="preserve"> Our</w:t>
      </w:r>
      <w:r w:rsidR="008F397C">
        <w:rPr>
          <w:lang w:val="en-AU"/>
        </w:rPr>
        <w:t xml:space="preserve"> </w:t>
      </w:r>
      <w:r w:rsidRPr="00B46F7D">
        <w:t>people feel respected for who they are and are able to be themselves.</w:t>
      </w:r>
    </w:p>
    <w:p w14:paraId="6E1FB698" w14:textId="425BE1C9" w:rsidR="008F397C" w:rsidRDefault="00B46F7D" w:rsidP="006C01FB">
      <w:pPr>
        <w:pStyle w:val="Bullet1"/>
      </w:pPr>
      <w:r w:rsidRPr="008F397C">
        <w:rPr>
          <w:b/>
        </w:rPr>
        <w:t>Connected</w:t>
      </w:r>
      <w:r w:rsidRPr="00B46F7D">
        <w:t xml:space="preserve"> </w:t>
      </w:r>
      <w:r w:rsidR="00D2530C">
        <w:t>-</w:t>
      </w:r>
      <w:r w:rsidRPr="00B46F7D">
        <w:t xml:space="preserve"> </w:t>
      </w:r>
      <w:r w:rsidR="008F397C">
        <w:t>Our people feel connected to their colleagues and that they belong</w:t>
      </w:r>
    </w:p>
    <w:p w14:paraId="4EBEBD4B" w14:textId="59F1A3CD" w:rsidR="00B46F7D" w:rsidRPr="00B46F7D" w:rsidRDefault="00B46F7D" w:rsidP="006C01FB">
      <w:pPr>
        <w:pStyle w:val="Bullet1"/>
      </w:pPr>
      <w:r w:rsidRPr="008F397C">
        <w:rPr>
          <w:b/>
        </w:rPr>
        <w:t>Contributing</w:t>
      </w:r>
      <w:r w:rsidRPr="00B46F7D">
        <w:t xml:space="preserve"> </w:t>
      </w:r>
      <w:r w:rsidR="00D2530C">
        <w:t>-</w:t>
      </w:r>
      <w:r w:rsidRPr="00B46F7D">
        <w:t xml:space="preserve"> </w:t>
      </w:r>
      <w:r w:rsidR="008F397C">
        <w:t>Our</w:t>
      </w:r>
      <w:r w:rsidR="008F397C">
        <w:rPr>
          <w:lang w:val="en-AU"/>
        </w:rPr>
        <w:t xml:space="preserve"> </w:t>
      </w:r>
      <w:r w:rsidR="008F397C">
        <w:t>people feel that they can contribute their perspectives and talents to the department</w:t>
      </w:r>
    </w:p>
    <w:p w14:paraId="668EEE65" w14:textId="2625C9C3" w:rsidR="008F397C" w:rsidRPr="008F397C" w:rsidRDefault="00B46F7D" w:rsidP="008F397C">
      <w:pPr>
        <w:pStyle w:val="Bullet1"/>
      </w:pPr>
      <w:r w:rsidRPr="008F397C">
        <w:rPr>
          <w:b/>
        </w:rPr>
        <w:t>Progressing</w:t>
      </w:r>
      <w:r w:rsidRPr="00B46F7D">
        <w:t xml:space="preserve"> </w:t>
      </w:r>
      <w:r w:rsidR="00D2530C">
        <w:t>-</w:t>
      </w:r>
      <w:r w:rsidR="008F397C" w:rsidRPr="00B46F7D">
        <w:t xml:space="preserve"> </w:t>
      </w:r>
      <w:r w:rsidR="008F397C">
        <w:t>Our</w:t>
      </w:r>
      <w:r w:rsidR="008F397C" w:rsidRPr="008F397C">
        <w:t xml:space="preserve"> </w:t>
      </w:r>
      <w:r w:rsidR="008F397C">
        <w:t>people feel they are progressing their careers with equitable access to opportunities and resources</w:t>
      </w:r>
      <w:r w:rsidR="008F397C" w:rsidRPr="008F397C">
        <w:t>.</w:t>
      </w:r>
    </w:p>
    <w:p w14:paraId="3867C931" w14:textId="1B293CE4" w:rsidR="00B46F7D" w:rsidRPr="00B46F7D" w:rsidRDefault="00B46F7D" w:rsidP="008F397C">
      <w:pPr>
        <w:pStyle w:val="Bullet1"/>
        <w:numPr>
          <w:ilvl w:val="0"/>
          <w:numId w:val="0"/>
        </w:numPr>
      </w:pPr>
      <w:r w:rsidRPr="00B46F7D">
        <w:t>The staged delivery of roadmap actions recognises the need to build capability and momentum over time. In this first year, the department will focus on the first three pillars</w:t>
      </w:r>
      <w:r w:rsidR="008F397C">
        <w:rPr>
          <w:lang w:val="en-AU"/>
        </w:rPr>
        <w:t xml:space="preserve">, </w:t>
      </w:r>
      <w:r w:rsidRPr="008F397C">
        <w:rPr>
          <w:i/>
        </w:rPr>
        <w:t>Respected</w:t>
      </w:r>
      <w:r w:rsidRPr="00B46F7D">
        <w:t xml:space="preserve">, </w:t>
      </w:r>
      <w:r w:rsidRPr="008F397C">
        <w:rPr>
          <w:i/>
        </w:rPr>
        <w:t>Connected</w:t>
      </w:r>
      <w:r w:rsidRPr="00B46F7D">
        <w:t xml:space="preserve"> and </w:t>
      </w:r>
      <w:r w:rsidRPr="008F397C">
        <w:rPr>
          <w:i/>
        </w:rPr>
        <w:t>Contributing</w:t>
      </w:r>
      <w:r w:rsidRPr="00B46F7D">
        <w:t xml:space="preserve"> as key enablers of an inclusive workplace. The </w:t>
      </w:r>
      <w:r w:rsidRPr="008F397C">
        <w:rPr>
          <w:i/>
        </w:rPr>
        <w:t>Progressing</w:t>
      </w:r>
      <w:r w:rsidRPr="00B46F7D">
        <w:t xml:space="preserve"> pillar will be more fully implemented in future years as foundational work is completed.</w:t>
      </w:r>
    </w:p>
    <w:p w14:paraId="502A48AE" w14:textId="77777777" w:rsidR="00B46F7D" w:rsidRPr="00BF7454" w:rsidRDefault="00B46F7D" w:rsidP="002C656B">
      <w:pPr>
        <w:pStyle w:val="Heading1"/>
      </w:pPr>
      <w:r w:rsidRPr="00BF7454">
        <w:t>Implementation and Accountability</w:t>
      </w:r>
    </w:p>
    <w:p w14:paraId="7CC17947" w14:textId="77777777" w:rsidR="008F397C" w:rsidRPr="00BF7454" w:rsidRDefault="008F397C" w:rsidP="002C656B">
      <w:pPr>
        <w:pStyle w:val="Heading2"/>
      </w:pPr>
      <w:r w:rsidRPr="00BF7454">
        <w:t>Delivery Model</w:t>
      </w:r>
    </w:p>
    <w:p w14:paraId="114D63CE" w14:textId="19218BE4" w:rsidR="00BF7454" w:rsidRPr="00BF7454" w:rsidRDefault="00BF7454" w:rsidP="00BF7454">
      <w:r w:rsidRPr="00BF7454">
        <w:t>Everyone in the department has a responsibility to deliver on the DEI Strategy</w:t>
      </w:r>
      <w:r>
        <w:t xml:space="preserve"> and roadmap</w:t>
      </w:r>
      <w:r w:rsidRPr="00BF7454">
        <w:t>.</w:t>
      </w:r>
    </w:p>
    <w:p w14:paraId="60FA9FF0" w14:textId="77777777" w:rsidR="00BF7454" w:rsidRPr="00BF7454" w:rsidRDefault="00BF7454" w:rsidP="00BF7454">
      <w:r w:rsidRPr="00BF7454">
        <w:t xml:space="preserve">All staff members can: </w:t>
      </w:r>
    </w:p>
    <w:p w14:paraId="09D6ACAE" w14:textId="04AE7DF1" w:rsidR="00BF7454" w:rsidRPr="00BF7454" w:rsidRDefault="00BF7454" w:rsidP="00BF7454">
      <w:pPr>
        <w:pStyle w:val="Bullet1"/>
      </w:pPr>
      <w:r w:rsidRPr="00BF7454">
        <w:t xml:space="preserve">visibly demonstrate inclusive behaviours </w:t>
      </w:r>
    </w:p>
    <w:p w14:paraId="0BAB57AC" w14:textId="726CD5E1" w:rsidR="00BF7454" w:rsidRPr="00BF7454" w:rsidRDefault="00BF7454" w:rsidP="00BF7454">
      <w:pPr>
        <w:pStyle w:val="Bullet1"/>
      </w:pPr>
      <w:r w:rsidRPr="00BF7454">
        <w:t xml:space="preserve">attend diversity, equity and inclusion-related training sessions, workshops or discussions </w:t>
      </w:r>
    </w:p>
    <w:p w14:paraId="474F0766" w14:textId="320BC17A" w:rsidR="00BF7454" w:rsidRPr="00BF7454" w:rsidRDefault="00BF7454" w:rsidP="00BF7454">
      <w:pPr>
        <w:pStyle w:val="Bullet1"/>
      </w:pPr>
      <w:r w:rsidRPr="00BF7454">
        <w:t xml:space="preserve">listen to colleague’s perspectives, especially those from under-represented groups </w:t>
      </w:r>
    </w:p>
    <w:p w14:paraId="3DDBAA73" w14:textId="104FFE36" w:rsidR="00BF7454" w:rsidRPr="00BF7454" w:rsidRDefault="00BF7454" w:rsidP="00BF7454">
      <w:pPr>
        <w:pStyle w:val="Bullet1"/>
      </w:pPr>
      <w:r w:rsidRPr="00BF7454">
        <w:t xml:space="preserve">use inclusive language and respect cultural practices and pronouns. </w:t>
      </w:r>
    </w:p>
    <w:p w14:paraId="2F26C1D0" w14:textId="47E571B6" w:rsidR="00BF7454" w:rsidRPr="00BF7454" w:rsidRDefault="00BF7454" w:rsidP="00BF7454">
      <w:pPr>
        <w:pStyle w:val="Bullet1"/>
      </w:pPr>
      <w:r w:rsidRPr="00BF7454">
        <w:t xml:space="preserve">share ideas and best practices that align with diversity, equity and inclusion initiatives </w:t>
      </w:r>
    </w:p>
    <w:p w14:paraId="7CE61FB3" w14:textId="4FAE498E" w:rsidR="00BF7454" w:rsidRPr="00BF7454" w:rsidRDefault="00BF7454" w:rsidP="00BF7454">
      <w:pPr>
        <w:pStyle w:val="Bullet1"/>
      </w:pPr>
      <w:r w:rsidRPr="00BF7454">
        <w:t xml:space="preserve">attend events organised by our staff-led diversity networks </w:t>
      </w:r>
    </w:p>
    <w:p w14:paraId="235B1FBF" w14:textId="333FD7B9" w:rsidR="00BF7454" w:rsidRPr="00BF7454" w:rsidRDefault="00BF7454" w:rsidP="00BF7454">
      <w:pPr>
        <w:pStyle w:val="Bullet1"/>
      </w:pPr>
      <w:r w:rsidRPr="00BF7454">
        <w:t xml:space="preserve">build relationships with colleagues from diverse backgrounds </w:t>
      </w:r>
    </w:p>
    <w:p w14:paraId="79DDB6D4" w14:textId="35BCD4C1" w:rsidR="00BF7454" w:rsidRPr="00BF7454" w:rsidRDefault="00BF7454" w:rsidP="00BF7454">
      <w:pPr>
        <w:pStyle w:val="Bullet1"/>
      </w:pPr>
      <w:r w:rsidRPr="00BF7454">
        <w:lastRenderedPageBreak/>
        <w:t xml:space="preserve">join staff-led Diversity Networks </w:t>
      </w:r>
    </w:p>
    <w:p w14:paraId="49BBD80E" w14:textId="26918B6F" w:rsidR="00BF7454" w:rsidRPr="00BF7454" w:rsidRDefault="00BF7454" w:rsidP="00BF7454">
      <w:pPr>
        <w:pStyle w:val="Bullet1"/>
      </w:pPr>
      <w:r w:rsidRPr="00BF7454">
        <w:t xml:space="preserve">celebrate success and address challenges openly and constructively. </w:t>
      </w:r>
    </w:p>
    <w:p w14:paraId="465C606F" w14:textId="2AC6D751" w:rsidR="00BF7454" w:rsidRPr="00BF7454" w:rsidRDefault="00BF7454" w:rsidP="00BF7454">
      <w:r w:rsidRPr="00BF7454">
        <w:t xml:space="preserve">Our leaders will also: </w:t>
      </w:r>
    </w:p>
    <w:p w14:paraId="60EC69E0" w14:textId="5B22DD0E" w:rsidR="00BF7454" w:rsidRPr="00BF7454" w:rsidRDefault="00BF7454" w:rsidP="00BF7454">
      <w:pPr>
        <w:pStyle w:val="Bullet1"/>
      </w:pPr>
      <w:r w:rsidRPr="00BF7454">
        <w:t xml:space="preserve">support flexible work practices to accommodate diverse needs </w:t>
      </w:r>
    </w:p>
    <w:p w14:paraId="68A69143" w14:textId="4A1F73C8" w:rsidR="00BF7454" w:rsidRPr="00BF7454" w:rsidRDefault="00BF7454" w:rsidP="00BF7454">
      <w:pPr>
        <w:pStyle w:val="Bullet1"/>
      </w:pPr>
      <w:r w:rsidRPr="00BF7454">
        <w:t xml:space="preserve">avoid bias in decision making, hiring, promotions and daily interactions </w:t>
      </w:r>
    </w:p>
    <w:p w14:paraId="591F9DD7" w14:textId="4E4E377A" w:rsidR="00BF7454" w:rsidRPr="00BF7454" w:rsidRDefault="00BF7454" w:rsidP="00BF7454">
      <w:pPr>
        <w:pStyle w:val="Bullet1"/>
      </w:pPr>
      <w:r w:rsidRPr="00BF7454">
        <w:t xml:space="preserve">embed diversity, equity and inclusion principles into project planning, program delivery and client interactions </w:t>
      </w:r>
    </w:p>
    <w:p w14:paraId="2CF72D87" w14:textId="5D989E2D" w:rsidR="00BF7454" w:rsidRPr="00BF7454" w:rsidRDefault="00BF7454" w:rsidP="00BF7454">
      <w:pPr>
        <w:pStyle w:val="Bullet1"/>
      </w:pPr>
      <w:r w:rsidRPr="00BF7454">
        <w:t xml:space="preserve">participate and encourage others to participate in diversity, equity and inclusion training and events </w:t>
      </w:r>
    </w:p>
    <w:p w14:paraId="219A6784" w14:textId="6D8F3FAF" w:rsidR="00BF7454" w:rsidRPr="00BF7454" w:rsidRDefault="00BF7454" w:rsidP="00BF7454">
      <w:pPr>
        <w:pStyle w:val="Bullet1"/>
      </w:pPr>
      <w:r w:rsidRPr="00BF7454">
        <w:t>consider affirmative measures when filling vacancies.</w:t>
      </w:r>
    </w:p>
    <w:p w14:paraId="3B81F3C4" w14:textId="0BB51212" w:rsidR="00BF7454" w:rsidRPr="00BF7454" w:rsidRDefault="00BF7454" w:rsidP="00BF7454">
      <w:r w:rsidRPr="00BF7454">
        <w:t xml:space="preserve">Meaningful and lasting change requires shared ownership across the department. </w:t>
      </w:r>
      <w:r w:rsidR="00DF350D">
        <w:t>The strategy’s</w:t>
      </w:r>
      <w:r w:rsidR="006C01FB">
        <w:t xml:space="preserve"> success depends on active contribution from all business areas</w:t>
      </w:r>
      <w:r w:rsidRPr="00BF7454">
        <w:t>.</w:t>
      </w:r>
    </w:p>
    <w:p w14:paraId="6FC0C1BA" w14:textId="48A03374" w:rsidR="003F5523" w:rsidRPr="00BF7454" w:rsidRDefault="003F5523" w:rsidP="003F5523">
      <w:r w:rsidRPr="00BF7454">
        <w:t xml:space="preserve">Business areas are expected to lead or support actions aligned to their functions. </w:t>
      </w:r>
    </w:p>
    <w:p w14:paraId="50D4F97A" w14:textId="5524E899" w:rsidR="003F5523" w:rsidRDefault="003F5523" w:rsidP="003F5523">
      <w:r w:rsidRPr="00BF7454">
        <w:t xml:space="preserve">Our </w:t>
      </w:r>
      <w:r w:rsidR="006C01FB">
        <w:t xml:space="preserve">staff-led </w:t>
      </w:r>
      <w:r w:rsidRPr="00BF7454">
        <w:t>Diversity Networks</w:t>
      </w:r>
      <w:r w:rsidR="00DF350D">
        <w:t xml:space="preserve">, Diversity Champions and </w:t>
      </w:r>
      <w:r w:rsidR="00D92F6A">
        <w:t>DEI</w:t>
      </w:r>
      <w:r w:rsidR="00DF350D">
        <w:t xml:space="preserve"> Committee</w:t>
      </w:r>
      <w:r w:rsidRPr="00BF7454">
        <w:t xml:space="preserve"> play a central role in co-design</w:t>
      </w:r>
      <w:r>
        <w:t xml:space="preserve">ing </w:t>
      </w:r>
      <w:r w:rsidRPr="00BF7454">
        <w:t>the road</w:t>
      </w:r>
      <w:r>
        <w:t xml:space="preserve">map and </w:t>
      </w:r>
      <w:r w:rsidR="006C01FB">
        <w:t>contributing to delivery of selected actions.</w:t>
      </w:r>
    </w:p>
    <w:p w14:paraId="2F05D506" w14:textId="07762809" w:rsidR="006C01FB" w:rsidRPr="00BF7454" w:rsidRDefault="006C01FB" w:rsidP="003F5523">
      <w:r>
        <w:t>The D</w:t>
      </w:r>
      <w:r w:rsidR="00DF350D">
        <w:t>E</w:t>
      </w:r>
      <w:r>
        <w:t>I Section is responsible for coordinating roadmap development, supporting implementation, tracking progress and reporting to governance bodies.</w:t>
      </w:r>
    </w:p>
    <w:p w14:paraId="05DDEDDE" w14:textId="77777777" w:rsidR="003F5523" w:rsidRPr="0023777A" w:rsidRDefault="003F5523" w:rsidP="002C656B">
      <w:pPr>
        <w:pStyle w:val="Heading2"/>
      </w:pPr>
      <w:r w:rsidRPr="0023777A">
        <w:t>Governance</w:t>
      </w:r>
    </w:p>
    <w:p w14:paraId="24827121" w14:textId="57C6E6E3" w:rsidR="003F5523" w:rsidRPr="00BF7454" w:rsidRDefault="003F5523" w:rsidP="003F5523">
      <w:r w:rsidRPr="00BF7454">
        <w:t xml:space="preserve">Oversight is provided by the Diversity and Inclusion Committee, a Tier 1 </w:t>
      </w:r>
      <w:r w:rsidR="00E00BF8">
        <w:t>c</w:t>
      </w:r>
      <w:r w:rsidRPr="00BF7454">
        <w:t xml:space="preserve">ommittee under our governance arrangements. The </w:t>
      </w:r>
      <w:r w:rsidR="006C01FB">
        <w:t>c</w:t>
      </w:r>
      <w:r w:rsidRPr="00BF7454">
        <w:t>ommittee oversees progress, provides advice</w:t>
      </w:r>
      <w:r>
        <w:t xml:space="preserve">, </w:t>
      </w:r>
      <w:r w:rsidRPr="00BF7454">
        <w:t>supports prioritisation</w:t>
      </w:r>
      <w:r>
        <w:t xml:space="preserve"> and leads delivery</w:t>
      </w:r>
      <w:r w:rsidR="006C01FB">
        <w:t xml:space="preserve"> of select </w:t>
      </w:r>
      <w:r>
        <w:t>actions.</w:t>
      </w:r>
    </w:p>
    <w:p w14:paraId="3B3AC01A" w14:textId="5AEA8B61" w:rsidR="003F5523" w:rsidRPr="00BF7454" w:rsidRDefault="003F5523" w:rsidP="003F5523">
      <w:r w:rsidRPr="00BF7454">
        <w:t xml:space="preserve">The </w:t>
      </w:r>
      <w:r w:rsidR="006C01FB">
        <w:t>c</w:t>
      </w:r>
      <w:r w:rsidRPr="00BF7454">
        <w:t>ommittee reports directly to the Executive Leadership Team (ELT)</w:t>
      </w:r>
      <w:r w:rsidR="006C01FB">
        <w:t>, which is responsible for setting and overseeing the department’s strategic direction, including delivery of the DEI Strategy and this roadmap.</w:t>
      </w:r>
    </w:p>
    <w:p w14:paraId="0A37A80D" w14:textId="77777777" w:rsidR="0052128B" w:rsidRPr="0023777A" w:rsidRDefault="0052128B" w:rsidP="002C656B">
      <w:pPr>
        <w:pStyle w:val="Heading1"/>
      </w:pPr>
      <w:r w:rsidRPr="0023777A">
        <w:t xml:space="preserve">Mandatory APS Reporting </w:t>
      </w:r>
    </w:p>
    <w:p w14:paraId="1436BC23" w14:textId="72F1E539" w:rsidR="0052128B" w:rsidRPr="00226525" w:rsidRDefault="0052128B" w:rsidP="0052128B">
      <w:pPr>
        <w:rPr>
          <w:lang w:val="x-none"/>
        </w:rPr>
      </w:pPr>
      <w:r w:rsidRPr="00226525">
        <w:rPr>
          <w:lang w:val="x-none"/>
        </w:rPr>
        <w:t xml:space="preserve">We will meet all mandatory reporting obligations within </w:t>
      </w:r>
      <w:r>
        <w:t>reporting timeframes</w:t>
      </w:r>
      <w:r w:rsidRPr="00226525">
        <w:rPr>
          <w:lang w:val="x-none"/>
        </w:rPr>
        <w:t>.</w:t>
      </w:r>
      <w:r w:rsidR="00FA55DA">
        <w:t xml:space="preserve"> </w:t>
      </w:r>
      <w:r w:rsidRPr="00226525">
        <w:rPr>
          <w:lang w:val="x-none"/>
        </w:rPr>
        <w:t>Our external reporting obligations include:</w:t>
      </w:r>
    </w:p>
    <w:p w14:paraId="2994E995" w14:textId="44F3A581" w:rsidR="0052128B" w:rsidRPr="000D29FC" w:rsidRDefault="0052128B" w:rsidP="00D12F0F">
      <w:pPr>
        <w:pStyle w:val="Bullet1"/>
      </w:pPr>
      <w:r w:rsidRPr="00664FF7">
        <w:rPr>
          <w:b/>
        </w:rPr>
        <w:t>APS Gender Equality Strategy 20</w:t>
      </w:r>
      <w:r w:rsidR="00787C46">
        <w:rPr>
          <w:b/>
          <w:lang w:val="en-AU"/>
        </w:rPr>
        <w:t>21</w:t>
      </w:r>
      <w:r w:rsidR="00D2530C">
        <w:rPr>
          <w:b/>
        </w:rPr>
        <w:t>-</w:t>
      </w:r>
      <w:r w:rsidRPr="00664FF7">
        <w:rPr>
          <w:b/>
        </w:rPr>
        <w:t>26</w:t>
      </w:r>
      <w:r w:rsidR="00664FF7" w:rsidRPr="00664FF7">
        <w:rPr>
          <w:b/>
          <w:lang w:val="en-AU"/>
        </w:rPr>
        <w:t xml:space="preserve">. </w:t>
      </w:r>
      <w:r>
        <w:t>Reporting l</w:t>
      </w:r>
      <w:r w:rsidRPr="000D29FC">
        <w:t>e</w:t>
      </w:r>
      <w:r>
        <w:t>a</w:t>
      </w:r>
      <w:r w:rsidRPr="000D29FC">
        <w:t xml:space="preserve">d: </w:t>
      </w:r>
      <w:r w:rsidRPr="00677942">
        <w:t xml:space="preserve">People Branch - </w:t>
      </w:r>
      <w:r w:rsidRPr="000D29FC">
        <w:t xml:space="preserve">DEI Section </w:t>
      </w:r>
    </w:p>
    <w:p w14:paraId="19CB85F8" w14:textId="294E2FF8" w:rsidR="0052128B" w:rsidRPr="000D29FC" w:rsidRDefault="0052128B" w:rsidP="00D12F0F">
      <w:pPr>
        <w:pStyle w:val="Bullet1"/>
      </w:pPr>
      <w:r w:rsidRPr="00664FF7">
        <w:rPr>
          <w:b/>
        </w:rPr>
        <w:t>Workplace Gender Equality Act 2012</w:t>
      </w:r>
      <w:r w:rsidR="00DF350D" w:rsidRPr="00664FF7">
        <w:rPr>
          <w:b/>
          <w:lang w:val="en-AU"/>
        </w:rPr>
        <w:t xml:space="preserve"> Reporting</w:t>
      </w:r>
      <w:r w:rsidR="00664FF7" w:rsidRPr="00664FF7">
        <w:rPr>
          <w:b/>
          <w:lang w:val="en-AU"/>
        </w:rPr>
        <w:t xml:space="preserve">. </w:t>
      </w:r>
      <w:r>
        <w:t>Reporting l</w:t>
      </w:r>
      <w:r w:rsidRPr="000D29FC">
        <w:t>e</w:t>
      </w:r>
      <w:r>
        <w:t>a</w:t>
      </w:r>
      <w:r w:rsidRPr="000D29FC">
        <w:t xml:space="preserve">d: </w:t>
      </w:r>
      <w:r w:rsidRPr="00677942">
        <w:t xml:space="preserve">People Branch - </w:t>
      </w:r>
      <w:r w:rsidRPr="000D29FC">
        <w:t xml:space="preserve">DEI Section </w:t>
      </w:r>
    </w:p>
    <w:p w14:paraId="2FDF4AD2" w14:textId="039E2C63" w:rsidR="0052128B" w:rsidRPr="00C81DC4" w:rsidRDefault="0052128B" w:rsidP="00D12F0F">
      <w:pPr>
        <w:pStyle w:val="Bullet1"/>
      </w:pPr>
      <w:r w:rsidRPr="00664FF7">
        <w:rPr>
          <w:b/>
        </w:rPr>
        <w:t>National Autism Strategy</w:t>
      </w:r>
      <w:r w:rsidR="00664FF7">
        <w:rPr>
          <w:b/>
          <w:lang w:val="en-AU"/>
        </w:rPr>
        <w:t xml:space="preserve">. </w:t>
      </w:r>
      <w:r w:rsidRPr="00C81DC4">
        <w:t xml:space="preserve">Reporting lead: People Branch - DEI Section </w:t>
      </w:r>
    </w:p>
    <w:p w14:paraId="3011D84A" w14:textId="7C742D67" w:rsidR="0052128B" w:rsidRPr="000D29FC" w:rsidRDefault="0052128B" w:rsidP="00D12F0F">
      <w:pPr>
        <w:pStyle w:val="Bullet1"/>
      </w:pPr>
      <w:r w:rsidRPr="00664FF7">
        <w:rPr>
          <w:b/>
        </w:rPr>
        <w:t xml:space="preserve">APS Culturally and Linguistically Diverse </w:t>
      </w:r>
      <w:r w:rsidR="00DF10A1">
        <w:rPr>
          <w:b/>
          <w:lang w:val="en-AU"/>
        </w:rPr>
        <w:t xml:space="preserve">Employment </w:t>
      </w:r>
      <w:r w:rsidRPr="00664FF7">
        <w:rPr>
          <w:b/>
        </w:rPr>
        <w:t>Strategy</w:t>
      </w:r>
      <w:r w:rsidR="00DF10A1">
        <w:rPr>
          <w:b/>
          <w:lang w:val="en-AU"/>
        </w:rPr>
        <w:t xml:space="preserve"> and Action Plan</w:t>
      </w:r>
      <w:r w:rsidR="00664FF7" w:rsidRPr="00664FF7">
        <w:rPr>
          <w:b/>
          <w:lang w:val="en-AU"/>
        </w:rPr>
        <w:t xml:space="preserve">. </w:t>
      </w:r>
      <w:r>
        <w:t>Reporting l</w:t>
      </w:r>
      <w:r w:rsidRPr="000D29FC">
        <w:t>e</w:t>
      </w:r>
      <w:r>
        <w:t>a</w:t>
      </w:r>
      <w:r w:rsidRPr="000D29FC">
        <w:t xml:space="preserve">d: </w:t>
      </w:r>
      <w:r w:rsidRPr="00677942">
        <w:t xml:space="preserve">People Branch - </w:t>
      </w:r>
      <w:r w:rsidRPr="000D29FC">
        <w:t xml:space="preserve">DEI Section </w:t>
      </w:r>
    </w:p>
    <w:p w14:paraId="0F633C02" w14:textId="08613B6A" w:rsidR="0052128B" w:rsidRPr="00B461D8" w:rsidRDefault="00822DA7" w:rsidP="00D12F0F">
      <w:pPr>
        <w:pStyle w:val="Bullet1"/>
      </w:pPr>
      <w:r>
        <w:rPr>
          <w:b/>
          <w:lang w:val="en-US"/>
        </w:rPr>
        <w:t>National Agreement on Closing the Gap (</w:t>
      </w:r>
      <w:r w:rsidR="00CE49EF">
        <w:rPr>
          <w:b/>
          <w:lang w:val="en-US"/>
        </w:rPr>
        <w:t>a</w:t>
      </w:r>
      <w:r>
        <w:rPr>
          <w:b/>
          <w:lang w:val="en-US"/>
        </w:rPr>
        <w:t xml:space="preserve">gency </w:t>
      </w:r>
      <w:r w:rsidR="004A3D0A">
        <w:rPr>
          <w:b/>
          <w:lang w:val="en-US"/>
        </w:rPr>
        <w:t>level</w:t>
      </w:r>
      <w:r>
        <w:rPr>
          <w:b/>
          <w:lang w:val="en-US"/>
        </w:rPr>
        <w:t xml:space="preserve"> Priority Reforms</w:t>
      </w:r>
      <w:r w:rsidR="004A3D0A">
        <w:rPr>
          <w:b/>
          <w:lang w:val="en-US"/>
        </w:rPr>
        <w:t xml:space="preserve"> implementation</w:t>
      </w:r>
      <w:r w:rsidR="009F7328">
        <w:rPr>
          <w:b/>
          <w:lang w:val="en-US"/>
        </w:rPr>
        <w:t>)</w:t>
      </w:r>
      <w:r w:rsidR="00664FF7" w:rsidRPr="00664FF7">
        <w:rPr>
          <w:b/>
          <w:lang w:val="en-AU"/>
        </w:rPr>
        <w:t xml:space="preserve"> </w:t>
      </w:r>
      <w:r w:rsidR="0052128B">
        <w:t>Reporting l</w:t>
      </w:r>
      <w:r w:rsidR="0052128B" w:rsidRPr="000D29FC">
        <w:t>e</w:t>
      </w:r>
      <w:r w:rsidR="0052128B">
        <w:t>a</w:t>
      </w:r>
      <w:r w:rsidR="0052128B" w:rsidRPr="000D29FC">
        <w:t>d: First Nations Partnership Division</w:t>
      </w:r>
      <w:r w:rsidR="0052128B">
        <w:t xml:space="preserve"> </w:t>
      </w:r>
    </w:p>
    <w:p w14:paraId="79DE2EBB" w14:textId="15311399" w:rsidR="0052128B" w:rsidRPr="000D29FC" w:rsidRDefault="0052128B" w:rsidP="00D12F0F">
      <w:pPr>
        <w:pStyle w:val="Bullet1"/>
      </w:pPr>
      <w:r w:rsidRPr="00664FF7">
        <w:rPr>
          <w:b/>
        </w:rPr>
        <w:t>APS Disability Employment Strategy 2020</w:t>
      </w:r>
      <w:r w:rsidR="00D2530C">
        <w:rPr>
          <w:b/>
        </w:rPr>
        <w:t>-</w:t>
      </w:r>
      <w:r w:rsidRPr="00664FF7">
        <w:rPr>
          <w:b/>
        </w:rPr>
        <w:t>25</w:t>
      </w:r>
      <w:r w:rsidR="00664FF7" w:rsidRPr="00664FF7">
        <w:rPr>
          <w:b/>
          <w:lang w:val="en-AU"/>
        </w:rPr>
        <w:t xml:space="preserve">. </w:t>
      </w:r>
      <w:r>
        <w:t>Reporting l</w:t>
      </w:r>
      <w:r w:rsidRPr="000D29FC">
        <w:t>e</w:t>
      </w:r>
      <w:r>
        <w:t>a</w:t>
      </w:r>
      <w:r w:rsidRPr="000D29FC">
        <w:t xml:space="preserve">d: </w:t>
      </w:r>
      <w:r w:rsidRPr="00677942">
        <w:t xml:space="preserve">People Branch - </w:t>
      </w:r>
      <w:r w:rsidRPr="000D29FC">
        <w:t xml:space="preserve">DEI Section </w:t>
      </w:r>
    </w:p>
    <w:p w14:paraId="184867D8" w14:textId="4DA62B69" w:rsidR="0052128B" w:rsidRPr="000D29FC" w:rsidRDefault="0052128B" w:rsidP="00D12F0F">
      <w:pPr>
        <w:pStyle w:val="Bullet1"/>
      </w:pPr>
      <w:r w:rsidRPr="00664FF7">
        <w:rPr>
          <w:b/>
        </w:rPr>
        <w:t xml:space="preserve">Work Health and Safety Act </w:t>
      </w:r>
      <w:r w:rsidR="00D2530C">
        <w:rPr>
          <w:b/>
        </w:rPr>
        <w:t>-</w:t>
      </w:r>
      <w:r w:rsidRPr="00664FF7">
        <w:rPr>
          <w:b/>
        </w:rPr>
        <w:t xml:space="preserve"> psychosocial hazards provisions. </w:t>
      </w:r>
      <w:r>
        <w:t>Reporting l</w:t>
      </w:r>
      <w:r w:rsidRPr="000D29FC">
        <w:t>e</w:t>
      </w:r>
      <w:r>
        <w:t>a</w:t>
      </w:r>
      <w:r w:rsidRPr="000D29FC">
        <w:t xml:space="preserve">d: </w:t>
      </w:r>
      <w:r w:rsidRPr="00677942">
        <w:t xml:space="preserve">People Branch </w:t>
      </w:r>
      <w:r w:rsidR="00D2530C">
        <w:t>-</w:t>
      </w:r>
      <w:r w:rsidRPr="00677942">
        <w:t xml:space="preserve"> </w:t>
      </w:r>
      <w:r w:rsidR="00DD0523">
        <w:rPr>
          <w:lang w:val="en-AU"/>
        </w:rPr>
        <w:t xml:space="preserve">Safety, </w:t>
      </w:r>
      <w:r w:rsidR="00DF350D">
        <w:t>Wellbeing</w:t>
      </w:r>
      <w:r w:rsidR="00DD0523">
        <w:rPr>
          <w:lang w:val="en-AU"/>
        </w:rPr>
        <w:t xml:space="preserve"> </w:t>
      </w:r>
      <w:r w:rsidR="00DF350D">
        <w:t>&amp; Performance Section</w:t>
      </w:r>
    </w:p>
    <w:p w14:paraId="0C8F1856" w14:textId="7ADC4C0F" w:rsidR="0052128B" w:rsidRDefault="0052128B" w:rsidP="00D12F0F">
      <w:pPr>
        <w:pStyle w:val="Bullet1"/>
      </w:pPr>
      <w:r w:rsidRPr="00664FF7">
        <w:rPr>
          <w:b/>
        </w:rPr>
        <w:t>Multicultural Access and Equity Report 2025</w:t>
      </w:r>
      <w:r w:rsidR="00C2057E">
        <w:rPr>
          <w:b/>
          <w:lang w:val="en-AU"/>
        </w:rPr>
        <w:t>-26</w:t>
      </w:r>
      <w:r w:rsidRPr="00664FF7">
        <w:rPr>
          <w:b/>
        </w:rPr>
        <w:t xml:space="preserve">. </w:t>
      </w:r>
      <w:r>
        <w:t>Reporting l</w:t>
      </w:r>
      <w:r w:rsidRPr="000D29FC">
        <w:t>e</w:t>
      </w:r>
      <w:r>
        <w:t>a</w:t>
      </w:r>
      <w:r w:rsidRPr="000D29FC">
        <w:t xml:space="preserve">d: </w:t>
      </w:r>
      <w:r w:rsidRPr="00677942">
        <w:t xml:space="preserve">People Branch - </w:t>
      </w:r>
      <w:r w:rsidRPr="000D29FC">
        <w:t xml:space="preserve">DEI Section </w:t>
      </w:r>
    </w:p>
    <w:p w14:paraId="5336C88C" w14:textId="38DC8242" w:rsidR="00D2530C" w:rsidRPr="000D29FC" w:rsidRDefault="00D2530C" w:rsidP="00D12F0F">
      <w:pPr>
        <w:pStyle w:val="Bullet1"/>
      </w:pPr>
      <w:r>
        <w:rPr>
          <w:b/>
          <w:lang w:val="en-AU"/>
        </w:rPr>
        <w:t>APS Agency Survey.</w:t>
      </w:r>
      <w:r>
        <w:rPr>
          <w:lang w:val="en-AU"/>
        </w:rPr>
        <w:t xml:space="preserve"> Reporting </w:t>
      </w:r>
      <w:r>
        <w:t xml:space="preserve">Lead: People Branch - </w:t>
      </w:r>
      <w:r w:rsidRPr="003427D3">
        <w:t xml:space="preserve">Workforce Analytics, Capability &amp; Strategy </w:t>
      </w:r>
      <w:r>
        <w:t>Section</w:t>
      </w:r>
    </w:p>
    <w:p w14:paraId="7FF1FBFA" w14:textId="22039E34" w:rsidR="0015257E" w:rsidRPr="0023777A" w:rsidRDefault="0015257E" w:rsidP="002C656B">
      <w:pPr>
        <w:pStyle w:val="Heading1"/>
      </w:pPr>
      <w:r w:rsidRPr="0023777A">
        <w:t>Diversity Targets</w:t>
      </w:r>
    </w:p>
    <w:p w14:paraId="015CA354" w14:textId="60941ED1" w:rsidR="0015257E" w:rsidRPr="00B46F7D" w:rsidRDefault="0015257E" w:rsidP="0015257E">
      <w:r w:rsidRPr="00B46F7D">
        <w:t>We set ambitious diversity targets for 2025</w:t>
      </w:r>
      <w:r w:rsidR="008F397C">
        <w:t>-</w:t>
      </w:r>
      <w:r w:rsidRPr="00B46F7D">
        <w:t>26, aligned with APS strategies and national benchmarks. These are not ceilings but reflect our commitment to removing barriers and building a workforce that reflects Australia’s diversity.</w:t>
      </w:r>
    </w:p>
    <w:p w14:paraId="48BB5164" w14:textId="77777777" w:rsidR="0015257E" w:rsidRPr="00B46F7D" w:rsidRDefault="0015257E" w:rsidP="0015257E">
      <w:r w:rsidRPr="00B46F7D">
        <w:t>We use the APS Employee Census as our primary data source. With a 91% response rate in 2024, it offers reliable, confidential insights.</w:t>
      </w:r>
    </w:p>
    <w:p w14:paraId="6DEA16BA" w14:textId="79838169" w:rsidR="0015257E" w:rsidRDefault="0015257E" w:rsidP="0015257E">
      <w:r w:rsidRPr="00B46F7D">
        <w:t xml:space="preserve">The DEI Section will report annually to the </w:t>
      </w:r>
      <w:r w:rsidR="00D92F6A">
        <w:t>DEI</w:t>
      </w:r>
      <w:r w:rsidRPr="00B46F7D">
        <w:t xml:space="preserve"> Committee on progress against these targets.</w:t>
      </w:r>
    </w:p>
    <w:p w14:paraId="0FF94B34" w14:textId="77777777" w:rsidR="0015257E" w:rsidRPr="002C656B" w:rsidRDefault="0015257E" w:rsidP="002C656B">
      <w:pPr>
        <w:pStyle w:val="Heading2"/>
      </w:pPr>
      <w:r w:rsidRPr="002C656B">
        <w:t>Aboriginal and Torres Strait Islander Representation</w:t>
      </w:r>
    </w:p>
    <w:p w14:paraId="4E71134F" w14:textId="77711573" w:rsidR="00AB5341" w:rsidRPr="00AB5341" w:rsidRDefault="00AB5341" w:rsidP="00AB5341">
      <w:pPr>
        <w:pStyle w:val="Bullet1"/>
        <w:rPr>
          <w:b/>
        </w:rPr>
      </w:pPr>
      <w:r>
        <w:rPr>
          <w:b/>
          <w:lang w:val="en-AU"/>
        </w:rPr>
        <w:t xml:space="preserve">Australian Population: </w:t>
      </w:r>
      <w:r w:rsidR="00BF32AB" w:rsidRPr="00E30CA7">
        <w:rPr>
          <w:lang w:val="en-AU"/>
        </w:rPr>
        <w:t>3.8</w:t>
      </w:r>
      <w:r w:rsidRPr="00E30CA7">
        <w:rPr>
          <w:lang w:val="en-AU"/>
        </w:rPr>
        <w:t>%</w:t>
      </w:r>
      <w:r w:rsidR="004D06F0" w:rsidRPr="00E30CA7">
        <w:rPr>
          <w:rStyle w:val="FootnoteReference"/>
          <w:lang w:val="en-AU"/>
        </w:rPr>
        <w:footnoteReference w:id="2"/>
      </w:r>
    </w:p>
    <w:p w14:paraId="1DAF996B" w14:textId="1B7C5687" w:rsidR="00AB5341" w:rsidRPr="00AB5341" w:rsidRDefault="00AB5341" w:rsidP="00AB5341">
      <w:pPr>
        <w:pStyle w:val="Bullet1"/>
        <w:rPr>
          <w:b/>
          <w:lang w:val="en-AU"/>
        </w:rPr>
      </w:pPr>
      <w:r>
        <w:rPr>
          <w:b/>
          <w:lang w:val="en-AU"/>
        </w:rPr>
        <w:t>APS Target</w:t>
      </w:r>
      <w:r w:rsidRPr="00AB5341">
        <w:rPr>
          <w:b/>
          <w:lang w:val="en-AU"/>
        </w:rPr>
        <w:t xml:space="preserve">: </w:t>
      </w:r>
      <w:r w:rsidRPr="00E30CA7">
        <w:rPr>
          <w:lang w:val="en-AU"/>
        </w:rPr>
        <w:t>5% by 2030</w:t>
      </w:r>
      <w:r w:rsidR="004D06F0" w:rsidRPr="00E30CA7">
        <w:rPr>
          <w:rStyle w:val="FootnoteReference"/>
          <w:lang w:val="en-AU"/>
        </w:rPr>
        <w:footnoteReference w:id="3"/>
      </w:r>
    </w:p>
    <w:p w14:paraId="69C6CC46" w14:textId="774CB8A0" w:rsidR="0015257E" w:rsidRPr="00AB5341" w:rsidRDefault="00AB5341" w:rsidP="00AB5341">
      <w:pPr>
        <w:pStyle w:val="Bullet1"/>
        <w:rPr>
          <w:b/>
        </w:rPr>
      </w:pPr>
      <w:r>
        <w:rPr>
          <w:b/>
          <w:lang w:val="en-AU"/>
        </w:rPr>
        <w:t xml:space="preserve">2025-26 </w:t>
      </w:r>
      <w:r w:rsidRPr="00AB5341">
        <w:rPr>
          <w:b/>
        </w:rPr>
        <w:t xml:space="preserve">Department </w:t>
      </w:r>
      <w:r w:rsidR="0015257E" w:rsidRPr="00AB5341">
        <w:rPr>
          <w:b/>
        </w:rPr>
        <w:t xml:space="preserve">Target: </w:t>
      </w:r>
      <w:r w:rsidR="0015257E" w:rsidRPr="00E30CA7">
        <w:t>5%</w:t>
      </w:r>
    </w:p>
    <w:p w14:paraId="61E9C660" w14:textId="05D04A60" w:rsidR="00AB5341" w:rsidRPr="00AB5341" w:rsidRDefault="00AB5341" w:rsidP="00AB5341">
      <w:pPr>
        <w:pStyle w:val="Bullet2"/>
      </w:pPr>
      <w:r w:rsidRPr="00E30CA7">
        <w:rPr>
          <w:b/>
        </w:rPr>
        <w:t>Graduates:</w:t>
      </w:r>
      <w:r w:rsidRPr="00AB5341">
        <w:t xml:space="preserve"> </w:t>
      </w:r>
      <w:r w:rsidR="00BF32AB" w:rsidRPr="00E30CA7">
        <w:t>5</w:t>
      </w:r>
      <w:r w:rsidRPr="00AB5341">
        <w:t>%</w:t>
      </w:r>
    </w:p>
    <w:p w14:paraId="210AC63B" w14:textId="54E1C9C8" w:rsidR="00AB5341" w:rsidRPr="00E30CA7" w:rsidRDefault="00AB5341" w:rsidP="00AB5341">
      <w:pPr>
        <w:pStyle w:val="Bullet2"/>
      </w:pPr>
      <w:r w:rsidRPr="00E30CA7">
        <w:rPr>
          <w:b/>
        </w:rPr>
        <w:t>APS 1-6:</w:t>
      </w:r>
      <w:r w:rsidRPr="00E30CA7">
        <w:t xml:space="preserve"> </w:t>
      </w:r>
      <w:r w:rsidR="00E30CA7" w:rsidRPr="00E30CA7">
        <w:t>5</w:t>
      </w:r>
      <w:r w:rsidRPr="00E30CA7">
        <w:t>%</w:t>
      </w:r>
    </w:p>
    <w:p w14:paraId="253C2962" w14:textId="4D5947A9" w:rsidR="00AB5341" w:rsidRPr="00E30CA7" w:rsidRDefault="00AB5341" w:rsidP="00AB5341">
      <w:pPr>
        <w:pStyle w:val="Bullet2"/>
      </w:pPr>
      <w:r w:rsidRPr="00E30CA7">
        <w:rPr>
          <w:b/>
        </w:rPr>
        <w:t>EL1-2:</w:t>
      </w:r>
      <w:r w:rsidRPr="00E30CA7">
        <w:t xml:space="preserve"> </w:t>
      </w:r>
      <w:r w:rsidR="00E30CA7" w:rsidRPr="00E30CA7">
        <w:t>5</w:t>
      </w:r>
      <w:r w:rsidRPr="00E30CA7">
        <w:t>%</w:t>
      </w:r>
    </w:p>
    <w:p w14:paraId="415F58CA" w14:textId="6151A73E" w:rsidR="00AB5341" w:rsidRPr="00E30CA7" w:rsidRDefault="00AB5341" w:rsidP="00B27339">
      <w:pPr>
        <w:pStyle w:val="Bullet2"/>
      </w:pPr>
      <w:r w:rsidRPr="00C81DC4">
        <w:rPr>
          <w:b/>
        </w:rPr>
        <w:t>SES:</w:t>
      </w:r>
      <w:r w:rsidRPr="00E30CA7">
        <w:t xml:space="preserve"> </w:t>
      </w:r>
      <w:r w:rsidR="00E30CA7" w:rsidRPr="00E30CA7">
        <w:t>5</w:t>
      </w:r>
      <w:r w:rsidRPr="00E30CA7">
        <w:t>%</w:t>
      </w:r>
      <w:r w:rsidR="00E73047">
        <w:rPr>
          <w:lang w:val="en-AU"/>
        </w:rPr>
        <w:t xml:space="preserve"> (</w:t>
      </w:r>
      <w:r w:rsidR="00FA7CDE">
        <w:rPr>
          <w:lang w:val="en-AU"/>
        </w:rPr>
        <w:t xml:space="preserve">Noting that we cannot measure this target reliably, as a 5% threshold in a 100-person cohort equates to fewer than the 10 responses required for reporting) </w:t>
      </w:r>
    </w:p>
    <w:p w14:paraId="5254A5AD" w14:textId="6534FC03" w:rsidR="0015257E" w:rsidRDefault="0015257E" w:rsidP="002C656B">
      <w:pPr>
        <w:pStyle w:val="Heading2"/>
      </w:pPr>
      <w:r w:rsidRPr="00AB5341">
        <w:t>People with Disability</w:t>
      </w:r>
    </w:p>
    <w:p w14:paraId="555A23CA" w14:textId="2C2E24AC" w:rsidR="00AB5341" w:rsidRPr="00252323" w:rsidRDefault="00AB5341" w:rsidP="00AB5341">
      <w:pPr>
        <w:pStyle w:val="Bullet1"/>
        <w:rPr>
          <w:b/>
        </w:rPr>
      </w:pPr>
      <w:r w:rsidRPr="00252323">
        <w:rPr>
          <w:b/>
          <w:lang w:val="en-AU"/>
        </w:rPr>
        <w:t>Australia</w:t>
      </w:r>
      <w:r w:rsidR="00C2057E">
        <w:rPr>
          <w:b/>
          <w:lang w:val="en-AU"/>
        </w:rPr>
        <w:t>n</w:t>
      </w:r>
      <w:r w:rsidRPr="00252323">
        <w:rPr>
          <w:b/>
          <w:lang w:val="en-AU"/>
        </w:rPr>
        <w:t xml:space="preserve"> Population: </w:t>
      </w:r>
      <w:r w:rsidR="00BB1F16" w:rsidRPr="00252323">
        <w:rPr>
          <w:lang w:val="en-AU"/>
        </w:rPr>
        <w:t>21.4</w:t>
      </w:r>
      <w:r w:rsidRPr="00252323">
        <w:rPr>
          <w:lang w:val="en-AU"/>
        </w:rPr>
        <w:t>%</w:t>
      </w:r>
      <w:r w:rsidR="004D06F0" w:rsidRPr="00252323">
        <w:rPr>
          <w:rStyle w:val="FootnoteReference"/>
          <w:lang w:val="en-AU"/>
        </w:rPr>
        <w:footnoteReference w:id="4"/>
      </w:r>
    </w:p>
    <w:p w14:paraId="3DED8D4A" w14:textId="179F743F" w:rsidR="000F3AF6" w:rsidRPr="00252323" w:rsidRDefault="000F3AF6" w:rsidP="000F3AF6">
      <w:pPr>
        <w:pStyle w:val="Bullet1"/>
        <w:rPr>
          <w:b/>
          <w:lang w:val="en-AU"/>
        </w:rPr>
      </w:pPr>
      <w:r w:rsidRPr="00252323">
        <w:rPr>
          <w:b/>
          <w:lang w:val="en-AU"/>
        </w:rPr>
        <w:t xml:space="preserve">APS Target: </w:t>
      </w:r>
      <w:r w:rsidRPr="00252323">
        <w:rPr>
          <w:lang w:val="en-AU"/>
        </w:rPr>
        <w:t>7%</w:t>
      </w:r>
      <w:r w:rsidR="004D06F0" w:rsidRPr="00252323">
        <w:rPr>
          <w:rStyle w:val="FootnoteReference"/>
          <w:lang w:val="en-AU"/>
        </w:rPr>
        <w:footnoteReference w:id="5"/>
      </w:r>
    </w:p>
    <w:p w14:paraId="0507038B" w14:textId="7A6E9C66" w:rsidR="000F3AF6" w:rsidRPr="00252323" w:rsidRDefault="000F3AF6" w:rsidP="000F3AF6">
      <w:pPr>
        <w:pStyle w:val="Bullet1"/>
        <w:rPr>
          <w:b/>
        </w:rPr>
      </w:pPr>
      <w:r w:rsidRPr="00252323">
        <w:rPr>
          <w:b/>
          <w:lang w:val="en-AU"/>
        </w:rPr>
        <w:t xml:space="preserve">2025-26 </w:t>
      </w:r>
      <w:r w:rsidRPr="00252323">
        <w:rPr>
          <w:b/>
        </w:rPr>
        <w:t xml:space="preserve">Department Target: </w:t>
      </w:r>
      <w:r w:rsidR="007D0446" w:rsidRPr="00E30CA7">
        <w:rPr>
          <w:lang w:val="en-AU"/>
        </w:rPr>
        <w:t>1</w:t>
      </w:r>
      <w:r w:rsidR="00A338A7">
        <w:rPr>
          <w:lang w:val="en-AU"/>
        </w:rPr>
        <w:t>5</w:t>
      </w:r>
      <w:r w:rsidRPr="00E30CA7">
        <w:t>%</w:t>
      </w:r>
      <w:r w:rsidRPr="00252323">
        <w:rPr>
          <w:b/>
        </w:rPr>
        <w:t xml:space="preserve"> </w:t>
      </w:r>
    </w:p>
    <w:p w14:paraId="3B06F091" w14:textId="77E42A7D" w:rsidR="000F3AF6" w:rsidRPr="00252323" w:rsidRDefault="000F3AF6" w:rsidP="000F3AF6">
      <w:pPr>
        <w:pStyle w:val="Bullet2"/>
      </w:pPr>
      <w:r w:rsidRPr="00E30CA7">
        <w:rPr>
          <w:b/>
        </w:rPr>
        <w:t>Graduates:</w:t>
      </w:r>
      <w:r w:rsidRPr="00252323">
        <w:t xml:space="preserve"> </w:t>
      </w:r>
      <w:r w:rsidR="00204755" w:rsidRPr="00252323">
        <w:rPr>
          <w:lang w:val="en-AU"/>
        </w:rPr>
        <w:t>7%</w:t>
      </w:r>
    </w:p>
    <w:p w14:paraId="1447BB00" w14:textId="20323F00" w:rsidR="000F3AF6" w:rsidRPr="00252323" w:rsidRDefault="000F3AF6" w:rsidP="000F3AF6">
      <w:pPr>
        <w:pStyle w:val="Bullet2"/>
      </w:pPr>
      <w:r w:rsidRPr="00E30CA7">
        <w:rPr>
          <w:b/>
        </w:rPr>
        <w:t>APS 1-6:</w:t>
      </w:r>
      <w:r w:rsidRPr="00252323">
        <w:t xml:space="preserve"> </w:t>
      </w:r>
      <w:r w:rsidR="00252323" w:rsidRPr="00252323">
        <w:rPr>
          <w:lang w:val="en-AU"/>
        </w:rPr>
        <w:t>19</w:t>
      </w:r>
      <w:r w:rsidRPr="00252323">
        <w:t>%</w:t>
      </w:r>
    </w:p>
    <w:p w14:paraId="1EDDBE0D" w14:textId="45533A4F" w:rsidR="000F3AF6" w:rsidRPr="00252323" w:rsidRDefault="000F3AF6" w:rsidP="00B27339">
      <w:pPr>
        <w:pStyle w:val="Bullet2"/>
      </w:pPr>
      <w:r w:rsidRPr="00E30CA7">
        <w:rPr>
          <w:b/>
        </w:rPr>
        <w:t>EL1-2:</w:t>
      </w:r>
      <w:r w:rsidRPr="00252323">
        <w:t xml:space="preserve"> </w:t>
      </w:r>
      <w:r w:rsidR="00252323" w:rsidRPr="00252323">
        <w:rPr>
          <w:lang w:val="en-AU"/>
        </w:rPr>
        <w:t>11</w:t>
      </w:r>
      <w:r w:rsidRPr="00252323">
        <w:t>%</w:t>
      </w:r>
    </w:p>
    <w:p w14:paraId="3BD0C467" w14:textId="24FF13AB" w:rsidR="000F3AF6" w:rsidRPr="00252323" w:rsidRDefault="000F3AF6" w:rsidP="000F3AF6">
      <w:pPr>
        <w:pStyle w:val="Bullet2"/>
      </w:pPr>
      <w:r w:rsidRPr="00E30CA7">
        <w:rPr>
          <w:b/>
        </w:rPr>
        <w:t>SES:</w:t>
      </w:r>
      <w:r w:rsidRPr="00252323">
        <w:t xml:space="preserve"> </w:t>
      </w:r>
      <w:r w:rsidR="00252323" w:rsidRPr="00252323">
        <w:rPr>
          <w:lang w:val="en-AU"/>
        </w:rPr>
        <w:t>7</w:t>
      </w:r>
      <w:r w:rsidRPr="00252323">
        <w:t>%</w:t>
      </w:r>
    </w:p>
    <w:p w14:paraId="0C564049" w14:textId="23030F87" w:rsidR="0015257E" w:rsidRDefault="0015257E" w:rsidP="002C656B">
      <w:pPr>
        <w:pStyle w:val="Heading2"/>
      </w:pPr>
      <w:r w:rsidRPr="000F3AF6">
        <w:t>Neurodivergent Employee</w:t>
      </w:r>
    </w:p>
    <w:p w14:paraId="2DC32D2E" w14:textId="2E54CB0E" w:rsidR="000F3AF6" w:rsidRPr="000F3AF6" w:rsidRDefault="000F3AF6" w:rsidP="000F3AF6">
      <w:pPr>
        <w:pStyle w:val="Bullet1"/>
        <w:rPr>
          <w:b/>
        </w:rPr>
      </w:pPr>
      <w:r>
        <w:rPr>
          <w:b/>
          <w:lang w:val="en-AU"/>
        </w:rPr>
        <w:t>Australia</w:t>
      </w:r>
      <w:r w:rsidR="00C2057E">
        <w:rPr>
          <w:b/>
          <w:lang w:val="en-AU"/>
        </w:rPr>
        <w:t>n</w:t>
      </w:r>
      <w:r>
        <w:rPr>
          <w:b/>
          <w:lang w:val="en-AU"/>
        </w:rPr>
        <w:t xml:space="preserve"> Population: </w:t>
      </w:r>
      <w:r w:rsidR="009A315F" w:rsidRPr="00E30CA7">
        <w:rPr>
          <w:lang w:val="en-AU"/>
        </w:rPr>
        <w:t>15-20%</w:t>
      </w:r>
      <w:r w:rsidR="004D06F0" w:rsidRPr="00E30CA7">
        <w:rPr>
          <w:rStyle w:val="FootnoteReference"/>
          <w:lang w:val="en-AU"/>
        </w:rPr>
        <w:footnoteReference w:id="6"/>
      </w:r>
    </w:p>
    <w:p w14:paraId="33A8F89B" w14:textId="19A30EF1" w:rsidR="000F3AF6" w:rsidRPr="00C81DC4" w:rsidRDefault="000F3AF6" w:rsidP="000F3AF6">
      <w:pPr>
        <w:pStyle w:val="Bullet1"/>
        <w:rPr>
          <w:b/>
          <w:lang w:val="en-AU"/>
        </w:rPr>
      </w:pPr>
      <w:r w:rsidRPr="00C81DC4">
        <w:rPr>
          <w:b/>
          <w:lang w:val="en-AU"/>
        </w:rPr>
        <w:t xml:space="preserve">APS Target: </w:t>
      </w:r>
      <w:r w:rsidR="009A315F" w:rsidRPr="00C81DC4">
        <w:rPr>
          <w:lang w:val="en-AU"/>
        </w:rPr>
        <w:t>No target set.</w:t>
      </w:r>
    </w:p>
    <w:p w14:paraId="74562ECE" w14:textId="309338FF" w:rsidR="000F3AF6" w:rsidRPr="00C81DC4" w:rsidRDefault="000F3AF6" w:rsidP="000F3AF6">
      <w:pPr>
        <w:pStyle w:val="Bullet1"/>
        <w:rPr>
          <w:b/>
        </w:rPr>
      </w:pPr>
      <w:r w:rsidRPr="00C81DC4">
        <w:rPr>
          <w:b/>
          <w:lang w:val="en-AU"/>
        </w:rPr>
        <w:t xml:space="preserve">2025-26 </w:t>
      </w:r>
      <w:r w:rsidRPr="00C81DC4">
        <w:rPr>
          <w:b/>
        </w:rPr>
        <w:t xml:space="preserve">Department Target: </w:t>
      </w:r>
      <w:r w:rsidR="000F0130" w:rsidRPr="00C81DC4">
        <w:rPr>
          <w:lang w:val="en-AU"/>
        </w:rPr>
        <w:t>11.5</w:t>
      </w:r>
      <w:r w:rsidRPr="00C81DC4">
        <w:t>%</w:t>
      </w:r>
      <w:r w:rsidRPr="00C81DC4">
        <w:rPr>
          <w:b/>
        </w:rPr>
        <w:t xml:space="preserve"> </w:t>
      </w:r>
    </w:p>
    <w:p w14:paraId="294E8AE3" w14:textId="315D4547" w:rsidR="000F3AF6" w:rsidRPr="00C81DC4" w:rsidRDefault="000F3AF6" w:rsidP="000F3AF6">
      <w:pPr>
        <w:pStyle w:val="Bullet2"/>
      </w:pPr>
      <w:r w:rsidRPr="00C81DC4">
        <w:rPr>
          <w:b/>
        </w:rPr>
        <w:t>Graduates:</w:t>
      </w:r>
      <w:r w:rsidRPr="00C81DC4">
        <w:t xml:space="preserve"> </w:t>
      </w:r>
      <w:r w:rsidR="004C458B" w:rsidRPr="00C81DC4">
        <w:rPr>
          <w:lang w:val="en-AU"/>
        </w:rPr>
        <w:t>15</w:t>
      </w:r>
      <w:r w:rsidRPr="00C81DC4">
        <w:t>%</w:t>
      </w:r>
    </w:p>
    <w:p w14:paraId="4532F3DE" w14:textId="503501F1" w:rsidR="000F3AF6" w:rsidRPr="00C81DC4" w:rsidRDefault="000F3AF6" w:rsidP="004C458B">
      <w:pPr>
        <w:pStyle w:val="Bullet2"/>
      </w:pPr>
      <w:r w:rsidRPr="00C81DC4">
        <w:rPr>
          <w:b/>
        </w:rPr>
        <w:t>APS 1-6:</w:t>
      </w:r>
      <w:r w:rsidRPr="00C81DC4">
        <w:t xml:space="preserve"> </w:t>
      </w:r>
      <w:r w:rsidR="004C458B" w:rsidRPr="00C81DC4">
        <w:rPr>
          <w:lang w:val="en-AU"/>
        </w:rPr>
        <w:t>17</w:t>
      </w:r>
      <w:r w:rsidRPr="00C81DC4">
        <w:t>%</w:t>
      </w:r>
    </w:p>
    <w:p w14:paraId="4EC2577A" w14:textId="0CB06793" w:rsidR="000F3AF6" w:rsidRPr="00C81DC4" w:rsidRDefault="000F3AF6" w:rsidP="000F3AF6">
      <w:pPr>
        <w:pStyle w:val="Bullet2"/>
      </w:pPr>
      <w:r w:rsidRPr="00C81DC4">
        <w:rPr>
          <w:b/>
        </w:rPr>
        <w:t>EL1-2:</w:t>
      </w:r>
      <w:r w:rsidRPr="00C81DC4">
        <w:t xml:space="preserve"> </w:t>
      </w:r>
      <w:r w:rsidR="004C458B" w:rsidRPr="00C81DC4">
        <w:rPr>
          <w:lang w:val="en-AU"/>
        </w:rPr>
        <w:t>8</w:t>
      </w:r>
      <w:r w:rsidRPr="00C81DC4">
        <w:t>%</w:t>
      </w:r>
    </w:p>
    <w:p w14:paraId="152A4606" w14:textId="0073000D" w:rsidR="00A338A7" w:rsidRPr="00E30CA7" w:rsidRDefault="000F3AF6" w:rsidP="00A338A7">
      <w:pPr>
        <w:pStyle w:val="Bullet2"/>
      </w:pPr>
      <w:r w:rsidRPr="00C81DC4">
        <w:rPr>
          <w:b/>
        </w:rPr>
        <w:t>SES:</w:t>
      </w:r>
      <w:r w:rsidRPr="00C81DC4">
        <w:t xml:space="preserve"> </w:t>
      </w:r>
      <w:r w:rsidR="00A338A7">
        <w:rPr>
          <w:lang w:val="en-AU"/>
        </w:rPr>
        <w:t>5</w:t>
      </w:r>
      <w:r w:rsidRPr="00C81DC4">
        <w:t>%</w:t>
      </w:r>
      <w:r w:rsidR="00A338A7">
        <w:rPr>
          <w:lang w:val="en-AU"/>
        </w:rPr>
        <w:t xml:space="preserve"> (Noting that we cannot measure this target reliably, as a 5% threshold in a 100-person cohort equates to fewer than the 10 responses required for reporting) </w:t>
      </w:r>
    </w:p>
    <w:p w14:paraId="4E1581C2" w14:textId="7B5F31FE" w:rsidR="0015257E" w:rsidRPr="009A315F" w:rsidRDefault="0015257E" w:rsidP="002C656B">
      <w:pPr>
        <w:pStyle w:val="Heading2"/>
      </w:pPr>
      <w:r w:rsidRPr="009A315F">
        <w:t>Culturally and Linguistically Diverse (CALD) Employee</w:t>
      </w:r>
    </w:p>
    <w:p w14:paraId="1DF01064" w14:textId="7A9A592C" w:rsidR="009A315F" w:rsidRPr="00CF340C" w:rsidRDefault="009A315F" w:rsidP="009A315F">
      <w:pPr>
        <w:pStyle w:val="Bullet1"/>
        <w:rPr>
          <w:b/>
          <w:lang w:val="en-AU"/>
        </w:rPr>
      </w:pPr>
      <w:r w:rsidRPr="00CF340C">
        <w:rPr>
          <w:b/>
          <w:lang w:val="en-AU"/>
        </w:rPr>
        <w:t>Australia</w:t>
      </w:r>
      <w:r w:rsidR="00C2057E">
        <w:rPr>
          <w:b/>
          <w:lang w:val="en-AU"/>
        </w:rPr>
        <w:t>n</w:t>
      </w:r>
      <w:r w:rsidRPr="00CF340C">
        <w:rPr>
          <w:b/>
          <w:lang w:val="en-AU"/>
        </w:rPr>
        <w:t xml:space="preserve"> Population: </w:t>
      </w:r>
      <w:r w:rsidR="004D06F0" w:rsidRPr="00D445D8">
        <w:rPr>
          <w:lang w:val="en-AU"/>
        </w:rPr>
        <w:t>24%</w:t>
      </w:r>
      <w:r w:rsidR="00CF340C" w:rsidRPr="00D445D8">
        <w:rPr>
          <w:vertAlign w:val="superscript"/>
        </w:rPr>
        <w:footnoteReference w:id="7"/>
      </w:r>
    </w:p>
    <w:p w14:paraId="73A8E352" w14:textId="17730D2E" w:rsidR="00CF340C" w:rsidRPr="00664FF7" w:rsidRDefault="009A315F" w:rsidP="004848C1">
      <w:pPr>
        <w:pStyle w:val="Bullet1"/>
        <w:rPr>
          <w:b/>
          <w:lang w:val="en-AU"/>
        </w:rPr>
      </w:pPr>
      <w:r w:rsidRPr="00CF340C">
        <w:rPr>
          <w:b/>
          <w:lang w:val="en-AU"/>
        </w:rPr>
        <w:t xml:space="preserve">APS Target: </w:t>
      </w:r>
      <w:r w:rsidR="00CF340C" w:rsidRPr="00664FF7">
        <w:rPr>
          <w:lang w:val="en-AU"/>
        </w:rPr>
        <w:t>SES representation tiered target of 13% (Dec 2026), 15% (Dec 2028), 17% (Dec 2030), with a goal of 24% by 2030</w:t>
      </w:r>
      <w:r w:rsidR="00CF340C" w:rsidRPr="00664FF7">
        <w:rPr>
          <w:vertAlign w:val="superscript"/>
          <w:lang w:val="en-AU"/>
        </w:rPr>
        <w:footnoteReference w:id="8"/>
      </w:r>
    </w:p>
    <w:p w14:paraId="3D4D15D6" w14:textId="1BC1883D" w:rsidR="009A315F" w:rsidRPr="00D445D8" w:rsidRDefault="009A315F" w:rsidP="009A315F">
      <w:pPr>
        <w:pStyle w:val="Bullet1"/>
        <w:rPr>
          <w:b/>
          <w:lang w:val="en-AU"/>
        </w:rPr>
      </w:pPr>
      <w:r w:rsidRPr="00D445D8">
        <w:rPr>
          <w:b/>
          <w:lang w:val="en-AU"/>
        </w:rPr>
        <w:t xml:space="preserve">2025-26 Department Target: </w:t>
      </w:r>
      <w:r w:rsidRPr="00D445D8">
        <w:rPr>
          <w:lang w:val="en-AU"/>
        </w:rPr>
        <w:t>2</w:t>
      </w:r>
      <w:r w:rsidR="00D445D8">
        <w:rPr>
          <w:lang w:val="en-AU"/>
        </w:rPr>
        <w:t>2.5</w:t>
      </w:r>
      <w:r w:rsidRPr="00D445D8">
        <w:rPr>
          <w:lang w:val="en-AU"/>
        </w:rPr>
        <w:t xml:space="preserve">% </w:t>
      </w:r>
    </w:p>
    <w:p w14:paraId="514B8995" w14:textId="7B45A33D" w:rsidR="009A315F" w:rsidRPr="00D445D8" w:rsidRDefault="009A315F" w:rsidP="00D445D8">
      <w:pPr>
        <w:pStyle w:val="Bullet2"/>
      </w:pPr>
      <w:r w:rsidRPr="00D445D8">
        <w:rPr>
          <w:b/>
        </w:rPr>
        <w:t>Graduates:</w:t>
      </w:r>
      <w:r w:rsidRPr="00D445D8">
        <w:t xml:space="preserve"> </w:t>
      </w:r>
      <w:r w:rsidR="008E2FE4" w:rsidRPr="00D445D8">
        <w:t xml:space="preserve">24% </w:t>
      </w:r>
    </w:p>
    <w:p w14:paraId="59EA06F9" w14:textId="560F3FC6" w:rsidR="009A315F" w:rsidRPr="00D445D8" w:rsidRDefault="009A315F" w:rsidP="00D445D8">
      <w:pPr>
        <w:pStyle w:val="Bullet2"/>
      </w:pPr>
      <w:r w:rsidRPr="00D445D8">
        <w:rPr>
          <w:b/>
        </w:rPr>
        <w:t>APS 1-6:</w:t>
      </w:r>
      <w:r w:rsidRPr="00D445D8">
        <w:t xml:space="preserve"> </w:t>
      </w:r>
      <w:r w:rsidR="00D445D8" w:rsidRPr="00D445D8">
        <w:t>25%</w:t>
      </w:r>
    </w:p>
    <w:p w14:paraId="021A633D" w14:textId="0C8D38A8" w:rsidR="009A315F" w:rsidRPr="00D445D8" w:rsidRDefault="009A315F" w:rsidP="00D445D8">
      <w:pPr>
        <w:pStyle w:val="Bullet2"/>
      </w:pPr>
      <w:r w:rsidRPr="00D445D8">
        <w:rPr>
          <w:b/>
        </w:rPr>
        <w:t>EL1-2:</w:t>
      </w:r>
      <w:r w:rsidRPr="00D445D8">
        <w:t xml:space="preserve"> </w:t>
      </w:r>
      <w:r w:rsidR="00D445D8" w:rsidRPr="00D445D8">
        <w:t>22</w:t>
      </w:r>
      <w:r w:rsidRPr="00D445D8">
        <w:t>%</w:t>
      </w:r>
    </w:p>
    <w:p w14:paraId="495DDA66" w14:textId="0F8AF203" w:rsidR="009A315F" w:rsidRPr="00D445D8" w:rsidRDefault="009A315F" w:rsidP="00D445D8">
      <w:pPr>
        <w:pStyle w:val="Bullet2"/>
      </w:pPr>
      <w:r w:rsidRPr="00D445D8">
        <w:rPr>
          <w:b/>
        </w:rPr>
        <w:t>SES:</w:t>
      </w:r>
      <w:r w:rsidRPr="00D445D8">
        <w:t xml:space="preserve"> </w:t>
      </w:r>
      <w:r w:rsidR="00D445D8" w:rsidRPr="00D445D8">
        <w:t>12</w:t>
      </w:r>
      <w:r w:rsidRPr="00D445D8">
        <w:t>%</w:t>
      </w:r>
    </w:p>
    <w:p w14:paraId="41754C4D" w14:textId="1AD24551" w:rsidR="0015257E" w:rsidRDefault="0015257E" w:rsidP="002C656B">
      <w:pPr>
        <w:pStyle w:val="Heading2"/>
      </w:pPr>
      <w:r w:rsidRPr="009A315F">
        <w:t>LGBTQIA+ Representation</w:t>
      </w:r>
    </w:p>
    <w:p w14:paraId="478E3DA5" w14:textId="1E45E4BE" w:rsidR="00E34E1F" w:rsidRPr="000F0130" w:rsidRDefault="00E34E1F" w:rsidP="00E34E1F">
      <w:pPr>
        <w:pStyle w:val="Bullet1"/>
        <w:rPr>
          <w:lang w:val="en-AU"/>
        </w:rPr>
      </w:pPr>
      <w:r w:rsidRPr="000F0130">
        <w:rPr>
          <w:b/>
          <w:lang w:val="en-AU"/>
        </w:rPr>
        <w:t>Australia</w:t>
      </w:r>
      <w:r w:rsidR="00C2057E">
        <w:rPr>
          <w:b/>
          <w:lang w:val="en-AU"/>
        </w:rPr>
        <w:t>n</w:t>
      </w:r>
      <w:r w:rsidRPr="000F0130">
        <w:rPr>
          <w:b/>
          <w:lang w:val="en-AU"/>
        </w:rPr>
        <w:t xml:space="preserve"> Population: </w:t>
      </w:r>
      <w:r w:rsidR="00CF340C" w:rsidRPr="000F0130">
        <w:rPr>
          <w:lang w:val="en-AU"/>
        </w:rPr>
        <w:t>4.5% of Australians 16 years and over are LGBTI+</w:t>
      </w:r>
      <w:r w:rsidR="00CF340C" w:rsidRPr="000F0130">
        <w:rPr>
          <w:rStyle w:val="FootnoteReference"/>
          <w:lang w:val="en-AU"/>
        </w:rPr>
        <w:footnoteReference w:id="9"/>
      </w:r>
    </w:p>
    <w:p w14:paraId="41A715F6" w14:textId="4671C3AA" w:rsidR="00E34E1F" w:rsidRPr="000F0130" w:rsidRDefault="00E34E1F" w:rsidP="00E34E1F">
      <w:pPr>
        <w:pStyle w:val="Bullet1"/>
        <w:rPr>
          <w:b/>
          <w:lang w:val="en-AU"/>
        </w:rPr>
      </w:pPr>
      <w:r w:rsidRPr="000F0130">
        <w:rPr>
          <w:b/>
          <w:lang w:val="en-AU"/>
        </w:rPr>
        <w:t xml:space="preserve">APS Target: </w:t>
      </w:r>
      <w:r w:rsidRPr="000F0130">
        <w:rPr>
          <w:lang w:val="en-AU"/>
        </w:rPr>
        <w:t>No target set.</w:t>
      </w:r>
    </w:p>
    <w:p w14:paraId="3E8E2B05" w14:textId="167A753D" w:rsidR="00E34E1F" w:rsidRPr="000F0130" w:rsidRDefault="00E34E1F" w:rsidP="00E34E1F">
      <w:pPr>
        <w:pStyle w:val="Bullet1"/>
        <w:rPr>
          <w:b/>
        </w:rPr>
      </w:pPr>
      <w:r w:rsidRPr="000F0130">
        <w:rPr>
          <w:b/>
          <w:lang w:val="en-AU"/>
        </w:rPr>
        <w:t xml:space="preserve">2025-26 </w:t>
      </w:r>
      <w:r w:rsidRPr="000F0130">
        <w:rPr>
          <w:b/>
        </w:rPr>
        <w:t xml:space="preserve">Department Target: </w:t>
      </w:r>
      <w:r w:rsidRPr="000F0130">
        <w:rPr>
          <w:lang w:val="en-AU"/>
        </w:rPr>
        <w:t>Maintain 1</w:t>
      </w:r>
      <w:r w:rsidR="001A73FC" w:rsidRPr="000F0130">
        <w:rPr>
          <w:lang w:val="en-AU"/>
        </w:rPr>
        <w:t>3</w:t>
      </w:r>
      <w:r w:rsidRPr="000F0130">
        <w:rPr>
          <w:lang w:val="en-AU"/>
        </w:rPr>
        <w:t>%</w:t>
      </w:r>
    </w:p>
    <w:p w14:paraId="6F153F65" w14:textId="38185BF4" w:rsidR="00E34E1F" w:rsidRPr="000F0130" w:rsidRDefault="00E34E1F" w:rsidP="00E34E1F">
      <w:pPr>
        <w:pStyle w:val="Bullet2"/>
      </w:pPr>
      <w:r w:rsidRPr="00893707">
        <w:rPr>
          <w:b/>
        </w:rPr>
        <w:t>Graduates:</w:t>
      </w:r>
      <w:r w:rsidRPr="000F0130">
        <w:t xml:space="preserve"> </w:t>
      </w:r>
      <w:r w:rsidR="00AE48A5">
        <w:rPr>
          <w:lang w:val="en-AU"/>
        </w:rPr>
        <w:t>6</w:t>
      </w:r>
      <w:r w:rsidR="000F0130" w:rsidRPr="000F0130">
        <w:rPr>
          <w:lang w:val="en-AU"/>
        </w:rPr>
        <w:t>%</w:t>
      </w:r>
      <w:r w:rsidR="008E2FE4" w:rsidRPr="000F0130">
        <w:rPr>
          <w:lang w:val="en-AU"/>
        </w:rPr>
        <w:t xml:space="preserve"> </w:t>
      </w:r>
    </w:p>
    <w:p w14:paraId="1D2E0B11" w14:textId="4F41C0FC" w:rsidR="00E34E1F" w:rsidRPr="000F0130" w:rsidRDefault="00E34E1F" w:rsidP="00E34E1F">
      <w:pPr>
        <w:pStyle w:val="Bullet2"/>
      </w:pPr>
      <w:r w:rsidRPr="00893707">
        <w:rPr>
          <w:b/>
        </w:rPr>
        <w:t>APS 1-6:</w:t>
      </w:r>
      <w:r w:rsidRPr="000F0130">
        <w:t xml:space="preserve"> </w:t>
      </w:r>
      <w:r w:rsidR="00AE48A5">
        <w:rPr>
          <w:lang w:val="en-AU"/>
        </w:rPr>
        <w:t>19</w:t>
      </w:r>
      <w:r w:rsidR="000F0130" w:rsidRPr="000F0130">
        <w:rPr>
          <w:lang w:val="en-AU"/>
        </w:rPr>
        <w:t>%</w:t>
      </w:r>
    </w:p>
    <w:p w14:paraId="0A6B4AF1" w14:textId="719CFC9F" w:rsidR="00E34E1F" w:rsidRPr="000F0130" w:rsidRDefault="00E34E1F" w:rsidP="00E34E1F">
      <w:pPr>
        <w:pStyle w:val="Bullet2"/>
      </w:pPr>
      <w:r w:rsidRPr="00893707">
        <w:rPr>
          <w:b/>
        </w:rPr>
        <w:t>EL1-2:</w:t>
      </w:r>
      <w:r w:rsidRPr="000F0130">
        <w:t xml:space="preserve"> </w:t>
      </w:r>
      <w:r w:rsidR="000F0130" w:rsidRPr="000F0130">
        <w:rPr>
          <w:lang w:val="en-AU"/>
        </w:rPr>
        <w:t>10</w:t>
      </w:r>
      <w:r w:rsidRPr="000F0130">
        <w:t>%</w:t>
      </w:r>
    </w:p>
    <w:p w14:paraId="5126C921" w14:textId="7AE7C9F0" w:rsidR="00E34E1F" w:rsidRPr="000F0130" w:rsidRDefault="00E34E1F" w:rsidP="00E34E1F">
      <w:pPr>
        <w:pStyle w:val="Bullet2"/>
      </w:pPr>
      <w:r w:rsidRPr="00893707">
        <w:rPr>
          <w:b/>
        </w:rPr>
        <w:t>SES:</w:t>
      </w:r>
      <w:r w:rsidRPr="000F0130">
        <w:t xml:space="preserve"> </w:t>
      </w:r>
      <w:r w:rsidR="000F0130" w:rsidRPr="000F0130">
        <w:rPr>
          <w:lang w:val="en-AU"/>
        </w:rPr>
        <w:t>11</w:t>
      </w:r>
      <w:r w:rsidRPr="000F0130">
        <w:t>%</w:t>
      </w:r>
    </w:p>
    <w:p w14:paraId="2EBFDF1F" w14:textId="3EE32B2C" w:rsidR="0015257E" w:rsidRDefault="0015257E" w:rsidP="002C656B">
      <w:pPr>
        <w:pStyle w:val="Heading2"/>
      </w:pPr>
      <w:r w:rsidRPr="00E34E1F">
        <w:t>Gender Equity</w:t>
      </w:r>
    </w:p>
    <w:p w14:paraId="48A046BF" w14:textId="69FEACAB" w:rsidR="00E34E1F" w:rsidRPr="00CF340C" w:rsidRDefault="00E34E1F" w:rsidP="00E34E1F">
      <w:pPr>
        <w:pStyle w:val="Bullet1"/>
        <w:rPr>
          <w:b/>
          <w:lang w:val="en-AU"/>
        </w:rPr>
      </w:pPr>
      <w:r w:rsidRPr="00CF340C">
        <w:rPr>
          <w:b/>
          <w:lang w:val="en-AU"/>
        </w:rPr>
        <w:t>Australia</w:t>
      </w:r>
      <w:r w:rsidR="00C2057E">
        <w:rPr>
          <w:b/>
          <w:lang w:val="en-AU"/>
        </w:rPr>
        <w:t>n</w:t>
      </w:r>
      <w:r w:rsidRPr="00CF340C">
        <w:rPr>
          <w:b/>
          <w:lang w:val="en-AU"/>
        </w:rPr>
        <w:t xml:space="preserve"> Population: </w:t>
      </w:r>
      <w:r w:rsidR="00CF340C" w:rsidRPr="000F0130">
        <w:rPr>
          <w:lang w:val="en-AU"/>
        </w:rPr>
        <w:t>50.7%</w:t>
      </w:r>
      <w:r w:rsidR="00CF340C" w:rsidRPr="000F0130">
        <w:rPr>
          <w:vertAlign w:val="superscript"/>
        </w:rPr>
        <w:footnoteReference w:id="10"/>
      </w:r>
    </w:p>
    <w:p w14:paraId="47C6EE0B" w14:textId="30696C9A" w:rsidR="00E34E1F" w:rsidRPr="009A315F" w:rsidRDefault="00E34E1F" w:rsidP="00E34E1F">
      <w:pPr>
        <w:pStyle w:val="Bullet1"/>
        <w:rPr>
          <w:b/>
        </w:rPr>
      </w:pPr>
      <w:r w:rsidRPr="009A315F">
        <w:rPr>
          <w:b/>
          <w:lang w:val="en-AU"/>
        </w:rPr>
        <w:t xml:space="preserve">APS Target: </w:t>
      </w:r>
      <w:r w:rsidRPr="000F0130">
        <w:rPr>
          <w:lang w:val="en-AU"/>
        </w:rPr>
        <w:t>Gender balance</w:t>
      </w:r>
      <w:r w:rsidR="00FA37DB" w:rsidRPr="000F0130">
        <w:rPr>
          <w:rStyle w:val="FootnoteReference"/>
          <w:lang w:val="en-AU"/>
        </w:rPr>
        <w:footnoteReference w:id="11"/>
      </w:r>
    </w:p>
    <w:p w14:paraId="26D2F375" w14:textId="4D94DF6C" w:rsidR="00E34E1F" w:rsidRPr="00F703CB" w:rsidRDefault="00E34E1F" w:rsidP="00E34E1F">
      <w:pPr>
        <w:pStyle w:val="Bullet1"/>
        <w:rPr>
          <w:b/>
          <w:lang w:val="en-AU"/>
        </w:rPr>
      </w:pPr>
      <w:r w:rsidRPr="00F703CB">
        <w:rPr>
          <w:b/>
          <w:lang w:val="en-AU"/>
        </w:rPr>
        <w:t xml:space="preserve">2025-26 Department Targets: </w:t>
      </w:r>
    </w:p>
    <w:p w14:paraId="66EBD698" w14:textId="6D8A1251" w:rsidR="00FA37DB" w:rsidRPr="00E7049C" w:rsidRDefault="00FA37DB" w:rsidP="00FA37DB">
      <w:pPr>
        <w:pStyle w:val="Bullet3"/>
      </w:pPr>
      <w:r w:rsidRPr="00E7049C">
        <w:t>Maintain gender balance across all levels</w:t>
      </w:r>
    </w:p>
    <w:p w14:paraId="196865FB" w14:textId="50FD3E46" w:rsidR="00BB1F16" w:rsidRDefault="00FA37DB" w:rsidP="004848C1">
      <w:pPr>
        <w:pStyle w:val="Bullet3"/>
      </w:pPr>
      <w:bookmarkStart w:id="7" w:name="_Hlk203398924"/>
      <w:r w:rsidRPr="00E7049C">
        <w:t xml:space="preserve">Increase </w:t>
      </w:r>
      <w:r w:rsidR="00246ABC">
        <w:rPr>
          <w:lang w:val="en-AU"/>
        </w:rPr>
        <w:t xml:space="preserve">the number of </w:t>
      </w:r>
      <w:r w:rsidRPr="00E7049C">
        <w:t xml:space="preserve">men taking carers leave </w:t>
      </w:r>
      <w:r w:rsidR="00C56FDF">
        <w:rPr>
          <w:lang w:val="en-AU"/>
        </w:rPr>
        <w:t xml:space="preserve">or parental leave </w:t>
      </w:r>
      <w:r w:rsidRPr="00E7049C">
        <w:t xml:space="preserve">by 5% </w:t>
      </w:r>
      <w:r w:rsidR="00246ABC">
        <w:rPr>
          <w:lang w:val="en-AU"/>
        </w:rPr>
        <w:t xml:space="preserve">per year </w:t>
      </w:r>
    </w:p>
    <w:bookmarkEnd w:id="7"/>
    <w:p w14:paraId="1E5060DF" w14:textId="1ECAE3CE" w:rsidR="00AE5987" w:rsidRPr="00AE5987" w:rsidRDefault="00AE5987" w:rsidP="004848C1">
      <w:pPr>
        <w:pStyle w:val="Bullet3"/>
      </w:pPr>
      <w:r>
        <w:rPr>
          <w:lang w:val="en-AU"/>
        </w:rPr>
        <w:t>Demonstrated year-on-year improvement in employee uptake with flexible work options as reported in the APS Employee Census.</w:t>
      </w:r>
    </w:p>
    <w:p w14:paraId="6807ED17" w14:textId="3D991178" w:rsidR="00E7049C" w:rsidRPr="0023777A" w:rsidRDefault="002C656B" w:rsidP="002C656B">
      <w:pPr>
        <w:pStyle w:val="Heading1"/>
      </w:pPr>
      <w:r>
        <w:br w:type="column"/>
      </w:r>
      <w:r w:rsidR="00222177" w:rsidRPr="0023777A">
        <w:t xml:space="preserve">2025-26 </w:t>
      </w:r>
      <w:r w:rsidR="00E7049C" w:rsidRPr="0023777A">
        <w:t>Priority Actions</w:t>
      </w:r>
    </w:p>
    <w:p w14:paraId="0AEB3258" w14:textId="77777777" w:rsidR="00965DC2" w:rsidRPr="00226525" w:rsidRDefault="00965DC2" w:rsidP="002C656B">
      <w:pPr>
        <w:pStyle w:val="Heading2"/>
      </w:pPr>
      <w:r w:rsidRPr="00226525">
        <w:t>All pillars</w:t>
      </w:r>
    </w:p>
    <w:p w14:paraId="7BF71BD4" w14:textId="77777777" w:rsidR="00965DC2" w:rsidRDefault="00965DC2" w:rsidP="00965DC2">
      <w:pPr>
        <w:pStyle w:val="Box2Heading"/>
      </w:pPr>
      <w:r>
        <w:t>We will progress our commitment to creating a workplace where everyone feels they belong and are safe, valued and empowered to succeed.</w:t>
      </w:r>
    </w:p>
    <w:p w14:paraId="51F38741" w14:textId="50EAD52F" w:rsidR="00965DC2" w:rsidRPr="00990AEE" w:rsidRDefault="00965DC2" w:rsidP="0023777A">
      <w:pPr>
        <w:pStyle w:val="Introduction"/>
      </w:pPr>
      <w:r w:rsidRPr="00990AEE">
        <w:t>How we will achieve this:</w:t>
      </w:r>
    </w:p>
    <w:p w14:paraId="62053A29" w14:textId="2344BE56" w:rsidR="00B46F7D" w:rsidRPr="00965DC2" w:rsidRDefault="00B46F7D" w:rsidP="00965DC2">
      <w:pPr>
        <w:pStyle w:val="ListLegal1"/>
      </w:pPr>
      <w:r w:rsidRPr="00965DC2">
        <w:t xml:space="preserve">Ensure diversity data requirements are considered in the </w:t>
      </w:r>
      <w:r w:rsidR="00965DC2">
        <w:rPr>
          <w:lang w:val="en-AU"/>
        </w:rPr>
        <w:t>requirements</w:t>
      </w:r>
      <w:r w:rsidRPr="00965DC2">
        <w:t xml:space="preserve"> of the new Enterprise Resource Planning (ERP) system.</w:t>
      </w:r>
      <w:r w:rsidR="00426418" w:rsidRPr="00426418">
        <w:rPr>
          <w:b w:val="0"/>
          <w:i/>
          <w:lang w:val="en-AU"/>
        </w:rPr>
        <w:t xml:space="preserve"> </w:t>
      </w:r>
      <w:r w:rsidR="00426418" w:rsidRPr="00EC58A2">
        <w:rPr>
          <w:b w:val="0"/>
          <w:i/>
          <w:color w:val="595959" w:themeColor="text1" w:themeTint="A6"/>
          <w:lang w:val="en-AU"/>
        </w:rPr>
        <w:t>New initiative.</w:t>
      </w:r>
    </w:p>
    <w:p w14:paraId="7D952D5A" w14:textId="1498B429" w:rsidR="00B46F7D" w:rsidRDefault="00B46F7D" w:rsidP="002F73C3">
      <w:pPr>
        <w:pStyle w:val="ListNumbered1"/>
      </w:pPr>
      <w:r>
        <w:t xml:space="preserve">Lead: ERP Branch | Reporting Coord: </w:t>
      </w:r>
      <w:r w:rsidR="00C81DC4">
        <w:t xml:space="preserve">People Branch </w:t>
      </w:r>
      <w:r w:rsidR="00D2530C">
        <w:t>-</w:t>
      </w:r>
      <w:r w:rsidR="00C81DC4">
        <w:t xml:space="preserve"> </w:t>
      </w:r>
      <w:r>
        <w:t xml:space="preserve">DEI Section | Due: </w:t>
      </w:r>
      <w:r w:rsidR="00A338A7">
        <w:t>Ongoing project</w:t>
      </w:r>
    </w:p>
    <w:p w14:paraId="4E9BC85F" w14:textId="2348BD97" w:rsidR="009A2AE5" w:rsidRPr="009A2AE5" w:rsidRDefault="00B46F7D" w:rsidP="009A2AE5">
      <w:pPr>
        <w:pStyle w:val="ListLegal1"/>
      </w:pPr>
      <w:bookmarkStart w:id="8" w:name="_Hlk202968935"/>
      <w:r w:rsidRPr="009A2AE5">
        <w:t xml:space="preserve">Analyse APS Employee Census diversity data, </w:t>
      </w:r>
      <w:r w:rsidR="00D2530C" w:rsidRPr="009A2AE5">
        <w:t xml:space="preserve">guided </w:t>
      </w:r>
      <w:r w:rsidRPr="009A2AE5">
        <w:t xml:space="preserve">by </w:t>
      </w:r>
      <w:r w:rsidR="00D92F6A">
        <w:t>DEI</w:t>
      </w:r>
      <w:r w:rsidR="00D2530C" w:rsidRPr="009A2AE5">
        <w:t xml:space="preserve"> Committee priorities</w:t>
      </w:r>
      <w:r w:rsidR="00D9527C" w:rsidRPr="009A2AE5">
        <w:t>,</w:t>
      </w:r>
      <w:r w:rsidR="00D2530C" w:rsidRPr="009A2AE5">
        <w:t xml:space="preserve"> and aligned with what is feasible within existing resources</w:t>
      </w:r>
      <w:r w:rsidRPr="009A2AE5">
        <w:t>.</w:t>
      </w:r>
      <w:r w:rsidR="00A9700E" w:rsidRPr="009A2AE5">
        <w:t xml:space="preserve"> </w:t>
      </w:r>
      <w:bookmarkEnd w:id="8"/>
      <w:r w:rsidR="00426418" w:rsidRPr="009A2AE5">
        <w:rPr>
          <w:b w:val="0"/>
          <w:i/>
          <w:color w:val="595959" w:themeColor="text1" w:themeTint="A6"/>
          <w:lang w:val="en-AU"/>
        </w:rPr>
        <w:t>Continuing initiative.</w:t>
      </w:r>
    </w:p>
    <w:p w14:paraId="45FD1CBB" w14:textId="7060DA18" w:rsidR="00B46F7D" w:rsidRDefault="00B46F7D" w:rsidP="009A2AE5">
      <w:pPr>
        <w:pStyle w:val="ListNumbered1"/>
      </w:pPr>
      <w:r>
        <w:t xml:space="preserve">Lead: </w:t>
      </w:r>
      <w:r w:rsidR="00664FF7">
        <w:t xml:space="preserve">People Branch </w:t>
      </w:r>
      <w:r w:rsidR="00D2530C">
        <w:t>-</w:t>
      </w:r>
      <w:r w:rsidR="00664FF7">
        <w:t xml:space="preserve"> </w:t>
      </w:r>
      <w:r w:rsidR="00426418" w:rsidRPr="003427D3">
        <w:t xml:space="preserve">Workforce Analytics, Capability &amp; Strategy </w:t>
      </w:r>
      <w:r>
        <w:t>Section | Due: Dec 2025</w:t>
      </w:r>
    </w:p>
    <w:p w14:paraId="3D065950" w14:textId="64D61D89" w:rsidR="00B46F7D" w:rsidRDefault="00A31A91" w:rsidP="00965DC2">
      <w:pPr>
        <w:pStyle w:val="ListLegal1"/>
      </w:pPr>
      <w:r>
        <w:rPr>
          <w:lang w:val="en-AU"/>
        </w:rPr>
        <w:t xml:space="preserve">Analyse </w:t>
      </w:r>
      <w:r w:rsidR="00B46F7D">
        <w:t xml:space="preserve">psychosocial safety across diversity groups </w:t>
      </w:r>
      <w:r>
        <w:rPr>
          <w:lang w:val="en-AU"/>
        </w:rPr>
        <w:t xml:space="preserve">by overlaying the DCA Inclusive Employer Index results with data from the APS Address tool and the People at Work Survey, </w:t>
      </w:r>
      <w:r w:rsidR="00B46F7D">
        <w:t xml:space="preserve">and report </w:t>
      </w:r>
      <w:r>
        <w:rPr>
          <w:lang w:val="en-AU"/>
        </w:rPr>
        <w:t xml:space="preserve">insights </w:t>
      </w:r>
      <w:r w:rsidR="00B46F7D">
        <w:t xml:space="preserve">to the </w:t>
      </w:r>
      <w:r w:rsidR="00D92F6A">
        <w:t>DEI</w:t>
      </w:r>
      <w:r w:rsidR="00B46F7D">
        <w:t xml:space="preserve"> Committee.</w:t>
      </w:r>
      <w:r w:rsidR="00AE7A7F" w:rsidRPr="00426418">
        <w:rPr>
          <w:b w:val="0"/>
          <w:i/>
          <w:lang w:val="en-AU"/>
        </w:rPr>
        <w:t xml:space="preserve"> </w:t>
      </w:r>
      <w:r w:rsidR="00AE7A7F" w:rsidRPr="00EC58A2">
        <w:rPr>
          <w:b w:val="0"/>
          <w:i/>
          <w:color w:val="595959" w:themeColor="text1" w:themeTint="A6"/>
          <w:lang w:val="en-AU"/>
        </w:rPr>
        <w:t>New initiative.</w:t>
      </w:r>
    </w:p>
    <w:p w14:paraId="379D259C" w14:textId="63893FE6" w:rsidR="00B46F7D" w:rsidRDefault="00B46F7D" w:rsidP="002F73C3">
      <w:pPr>
        <w:pStyle w:val="ListNumbered1"/>
      </w:pPr>
      <w:r>
        <w:t xml:space="preserve">Lead: </w:t>
      </w:r>
      <w:r w:rsidR="00664FF7">
        <w:t xml:space="preserve">People Branch </w:t>
      </w:r>
      <w:r w:rsidR="00D2530C">
        <w:t>-</w:t>
      </w:r>
      <w:r w:rsidR="00664FF7">
        <w:t xml:space="preserve"> </w:t>
      </w:r>
      <w:r w:rsidR="00DD0523">
        <w:t xml:space="preserve">Safety, </w:t>
      </w:r>
      <w:r>
        <w:t xml:space="preserve">Wellbeing &amp; Performance </w:t>
      </w:r>
      <w:r w:rsidR="00FA7CDE">
        <w:t xml:space="preserve">and </w:t>
      </w:r>
      <w:r w:rsidR="009A2AE5">
        <w:t>DEI</w:t>
      </w:r>
      <w:r w:rsidR="00FA7CDE">
        <w:t xml:space="preserve"> Sections</w:t>
      </w:r>
      <w:r>
        <w:t>| Due: Jun 2026</w:t>
      </w:r>
    </w:p>
    <w:p w14:paraId="2A207E28" w14:textId="3B9481C0" w:rsidR="009A2AE5" w:rsidRPr="009A2AE5" w:rsidRDefault="00B46F7D" w:rsidP="009A2AE5">
      <w:pPr>
        <w:pStyle w:val="ListLegal1"/>
      </w:pPr>
      <w:r>
        <w:t xml:space="preserve">Deliver </w:t>
      </w:r>
      <w:r w:rsidR="00FA37DB">
        <w:rPr>
          <w:lang w:val="en-AU"/>
        </w:rPr>
        <w:t xml:space="preserve">at least </w:t>
      </w:r>
      <w:r w:rsidR="00AE7A7F">
        <w:rPr>
          <w:lang w:val="en-AU"/>
        </w:rPr>
        <w:t xml:space="preserve">4 </w:t>
      </w:r>
      <w:r>
        <w:t xml:space="preserve">education </w:t>
      </w:r>
      <w:r w:rsidRPr="009A2AE5">
        <w:t xml:space="preserve">sessions </w:t>
      </w:r>
      <w:r w:rsidR="00AE7A7F" w:rsidRPr="009A2AE5">
        <w:t xml:space="preserve">available to all staff </w:t>
      </w:r>
      <w:r w:rsidRPr="009A2AE5">
        <w:t>on inclusive topics</w:t>
      </w:r>
      <w:r w:rsidR="00AE7A7F" w:rsidRPr="009A2AE5">
        <w:t>.</w:t>
      </w:r>
      <w:r w:rsidR="009A2AE5" w:rsidRPr="009A2AE5">
        <w:t xml:space="preserve"> </w:t>
      </w:r>
      <w:r w:rsidR="009A2AE5" w:rsidRPr="009A2AE5">
        <w:rPr>
          <w:b w:val="0"/>
          <w:i/>
          <w:color w:val="595959" w:themeColor="text1" w:themeTint="A6"/>
          <w:lang w:val="en-AU"/>
        </w:rPr>
        <w:t>New initiative.</w:t>
      </w:r>
    </w:p>
    <w:p w14:paraId="1EE3D16E" w14:textId="573CD05A" w:rsidR="00B46F7D" w:rsidRPr="00AE7A7F" w:rsidRDefault="00AE7A7F" w:rsidP="00AE7A7F">
      <w:pPr>
        <w:pStyle w:val="ListLegal1"/>
        <w:numPr>
          <w:ilvl w:val="0"/>
          <w:numId w:val="0"/>
        </w:numPr>
        <w:ind w:left="284"/>
        <w:rPr>
          <w:b w:val="0"/>
        </w:rPr>
      </w:pPr>
      <w:r w:rsidRPr="00AE7A7F">
        <w:rPr>
          <w:b w:val="0"/>
          <w:lang w:val="en-AU"/>
        </w:rPr>
        <w:t>For example</w:t>
      </w:r>
      <w:r w:rsidR="00B46F7D" w:rsidRPr="00AE7A7F">
        <w:rPr>
          <w:b w:val="0"/>
        </w:rPr>
        <w:t>:</w:t>
      </w:r>
    </w:p>
    <w:p w14:paraId="3D29EF70" w14:textId="6D7D905C" w:rsidR="00A31A91" w:rsidRPr="00A31A91" w:rsidRDefault="00A31A91" w:rsidP="00965DC2">
      <w:pPr>
        <w:pStyle w:val="Bullet2"/>
      </w:pPr>
      <w:r>
        <w:rPr>
          <w:lang w:val="en-AU"/>
        </w:rPr>
        <w:t>Diversity, Equity and Inclusion 101</w:t>
      </w:r>
    </w:p>
    <w:p w14:paraId="2F37E927" w14:textId="77777777" w:rsidR="00A31A91" w:rsidRDefault="00A31A91" w:rsidP="00A31A91">
      <w:pPr>
        <w:pStyle w:val="Bullet2"/>
      </w:pPr>
      <w:r>
        <w:rPr>
          <w:lang w:val="en-AU"/>
        </w:rPr>
        <w:t xml:space="preserve">Engagement and Partnership Guide </w:t>
      </w:r>
    </w:p>
    <w:p w14:paraId="31238BB8" w14:textId="1B3436E0" w:rsidR="00A9700E" w:rsidRPr="00A9700E" w:rsidRDefault="00A9700E" w:rsidP="00965DC2">
      <w:pPr>
        <w:pStyle w:val="Bullet2"/>
      </w:pPr>
      <w:r>
        <w:rPr>
          <w:lang w:val="en-AU"/>
        </w:rPr>
        <w:t>Explaining workplace adjustments</w:t>
      </w:r>
    </w:p>
    <w:p w14:paraId="2FE86C4B" w14:textId="5DCE8383" w:rsidR="00B46F7D" w:rsidRDefault="00B46F7D" w:rsidP="00965DC2">
      <w:pPr>
        <w:pStyle w:val="Bullet2"/>
      </w:pPr>
      <w:r>
        <w:t>Understanding neuro-inclusion</w:t>
      </w:r>
    </w:p>
    <w:p w14:paraId="028F49B9" w14:textId="59875EBB" w:rsidR="00B46F7D" w:rsidRDefault="00B46F7D" w:rsidP="00965DC2">
      <w:pPr>
        <w:pStyle w:val="Bullet2"/>
      </w:pPr>
      <w:r>
        <w:t>Navigating flexible work arrangements</w:t>
      </w:r>
    </w:p>
    <w:p w14:paraId="394A12BC" w14:textId="15B90D33" w:rsidR="00FA37DB" w:rsidRPr="00AE7A7F" w:rsidRDefault="00AE7A7F" w:rsidP="00965DC2">
      <w:pPr>
        <w:pStyle w:val="Bullet2"/>
      </w:pPr>
      <w:r>
        <w:rPr>
          <w:lang w:val="en-AU"/>
        </w:rPr>
        <w:t>M</w:t>
      </w:r>
      <w:r w:rsidR="00FA37DB">
        <w:rPr>
          <w:lang w:val="en-AU"/>
        </w:rPr>
        <w:t>an</w:t>
      </w:r>
      <w:r w:rsidR="00F703CB">
        <w:rPr>
          <w:lang w:val="en-AU"/>
        </w:rPr>
        <w:t xml:space="preserve">aging </w:t>
      </w:r>
      <w:r w:rsidR="00FA37DB">
        <w:rPr>
          <w:lang w:val="en-AU"/>
        </w:rPr>
        <w:t>remote/hybrid teams</w:t>
      </w:r>
    </w:p>
    <w:p w14:paraId="773C224F" w14:textId="0F1670BE" w:rsidR="00AE7A7F" w:rsidRDefault="00AE7A7F" w:rsidP="00965DC2">
      <w:pPr>
        <w:pStyle w:val="Bullet2"/>
      </w:pPr>
      <w:r>
        <w:rPr>
          <w:lang w:val="en-AU"/>
        </w:rPr>
        <w:t>Understanding flexible work options</w:t>
      </w:r>
    </w:p>
    <w:p w14:paraId="353378D4" w14:textId="46BC9E2B" w:rsidR="00AE7A7F" w:rsidRDefault="00AE7A7F" w:rsidP="00AE7A7F">
      <w:pPr>
        <w:pStyle w:val="Bullet2"/>
      </w:pPr>
      <w:r>
        <w:t>Running accessible online meetings</w:t>
      </w:r>
    </w:p>
    <w:p w14:paraId="4D0CAB9E" w14:textId="3B1670B1" w:rsidR="00A31A91" w:rsidRDefault="00A31A91" w:rsidP="00AE7A7F">
      <w:pPr>
        <w:pStyle w:val="Bullet2"/>
      </w:pPr>
      <w:r>
        <w:rPr>
          <w:lang w:val="en-AU"/>
        </w:rPr>
        <w:t>Unconscious bias</w:t>
      </w:r>
    </w:p>
    <w:p w14:paraId="4E0BF4D4" w14:textId="4F6E3B72" w:rsidR="00B46F7D" w:rsidRDefault="00B46F7D" w:rsidP="002F73C3">
      <w:pPr>
        <w:pStyle w:val="ListNumbered1"/>
      </w:pPr>
      <w:r>
        <w:t xml:space="preserve">Lead: </w:t>
      </w:r>
      <w:r w:rsidR="00C81DC4">
        <w:t xml:space="preserve">People Branch </w:t>
      </w:r>
      <w:r w:rsidR="00D2530C">
        <w:t>-</w:t>
      </w:r>
      <w:r w:rsidR="00C81DC4">
        <w:t xml:space="preserve"> </w:t>
      </w:r>
      <w:r>
        <w:t>DEI Section | Presenters: Subject matter experts | Due: Quarterly</w:t>
      </w:r>
    </w:p>
    <w:p w14:paraId="11BF766F" w14:textId="6E1D9DED" w:rsidR="00AE7A7F" w:rsidRDefault="004A1E81" w:rsidP="005752FD">
      <w:pPr>
        <w:pStyle w:val="ListLegal1"/>
      </w:pPr>
      <w:r>
        <w:rPr>
          <w:lang w:val="en-AU"/>
        </w:rPr>
        <w:t>S</w:t>
      </w:r>
      <w:r w:rsidR="005752FD">
        <w:t xml:space="preserve">cope a project to strengthen inclusive and adaptive leadership capability by developing a proposal for a manager-focused program that supports inclusive practices in recruitment, team planning, </w:t>
      </w:r>
      <w:r w:rsidR="00FA37DB">
        <w:rPr>
          <w:lang w:val="en-AU"/>
        </w:rPr>
        <w:t xml:space="preserve">workplace flexibility </w:t>
      </w:r>
      <w:r w:rsidR="005752FD">
        <w:t xml:space="preserve">and day-to-day leadership. </w:t>
      </w:r>
      <w:r w:rsidR="00731006" w:rsidRPr="00731006">
        <w:rPr>
          <w:b w:val="0"/>
          <w:i/>
          <w:color w:val="595959" w:themeColor="text1" w:themeTint="A6"/>
          <w:lang w:val="en-AU"/>
        </w:rPr>
        <w:t>New initiative.</w:t>
      </w:r>
    </w:p>
    <w:p w14:paraId="6BB3E518" w14:textId="05485D9E" w:rsidR="005752FD" w:rsidRPr="00AE7A7F" w:rsidRDefault="005752FD" w:rsidP="00AE7A7F">
      <w:pPr>
        <w:pStyle w:val="ListLegal1"/>
        <w:numPr>
          <w:ilvl w:val="0"/>
          <w:numId w:val="0"/>
        </w:numPr>
        <w:ind w:left="284"/>
        <w:rPr>
          <w:b w:val="0"/>
        </w:rPr>
      </w:pPr>
      <w:r w:rsidRPr="00AE7A7F">
        <w:rPr>
          <w:b w:val="0"/>
        </w:rPr>
        <w:t xml:space="preserve">This </w:t>
      </w:r>
      <w:r w:rsidR="00AE7A7F">
        <w:rPr>
          <w:b w:val="0"/>
          <w:lang w:val="en-AU"/>
        </w:rPr>
        <w:t xml:space="preserve">project </w:t>
      </w:r>
      <w:r w:rsidRPr="00AE7A7F">
        <w:rPr>
          <w:b w:val="0"/>
        </w:rPr>
        <w:t>will include:</w:t>
      </w:r>
    </w:p>
    <w:p w14:paraId="6F68A92D" w14:textId="6ABCAE1F" w:rsidR="005752FD" w:rsidRPr="00AE7A7F" w:rsidRDefault="005752FD" w:rsidP="004A1E81">
      <w:pPr>
        <w:pStyle w:val="Bullet2"/>
        <w:rPr>
          <w:lang w:val="en-AU"/>
        </w:rPr>
      </w:pPr>
      <w:r w:rsidRPr="00AE7A7F">
        <w:rPr>
          <w:lang w:val="en-AU"/>
        </w:rPr>
        <w:t>identifying required training, resources, and tools</w:t>
      </w:r>
    </w:p>
    <w:p w14:paraId="1D2F0D13" w14:textId="5A359118" w:rsidR="005752FD" w:rsidRPr="00AE7A7F" w:rsidRDefault="005752FD" w:rsidP="004A1E81">
      <w:pPr>
        <w:pStyle w:val="Bullet2"/>
        <w:rPr>
          <w:lang w:val="en-AU"/>
        </w:rPr>
      </w:pPr>
      <w:r w:rsidRPr="00AE7A7F">
        <w:rPr>
          <w:lang w:val="en-AU"/>
        </w:rPr>
        <w:t>exploring delivery options such as workshops or facilitated training</w:t>
      </w:r>
    </w:p>
    <w:p w14:paraId="311550C5" w14:textId="2B1218EB" w:rsidR="005752FD" w:rsidRPr="00AE7A7F" w:rsidRDefault="005752FD" w:rsidP="004A1E81">
      <w:pPr>
        <w:pStyle w:val="Bullet2"/>
        <w:rPr>
          <w:lang w:val="en-AU"/>
        </w:rPr>
      </w:pPr>
      <w:r w:rsidRPr="00AE7A7F">
        <w:rPr>
          <w:lang w:val="en-AU"/>
        </w:rPr>
        <w:t>consulting with key stakeholders across the department</w:t>
      </w:r>
    </w:p>
    <w:p w14:paraId="08BED6B7" w14:textId="4C2D2215" w:rsidR="005752FD" w:rsidRPr="004A1E81" w:rsidRDefault="005752FD" w:rsidP="004A1E81">
      <w:pPr>
        <w:pStyle w:val="Bullet2"/>
        <w:rPr>
          <w:b/>
        </w:rPr>
      </w:pPr>
      <w:r w:rsidRPr="00AE7A7F">
        <w:rPr>
          <w:lang w:val="en-AU"/>
        </w:rPr>
        <w:t>preparing a business case and submitting a funding request for consideration in the 2026</w:t>
      </w:r>
      <w:r w:rsidR="00D2530C">
        <w:rPr>
          <w:lang w:val="en-AU"/>
        </w:rPr>
        <w:t>-</w:t>
      </w:r>
      <w:r w:rsidRPr="00AE7A7F">
        <w:t>27 budget.</w:t>
      </w:r>
    </w:p>
    <w:p w14:paraId="266E4CD5" w14:textId="72F7CCBB" w:rsidR="00B46F7D" w:rsidRDefault="00B46F7D" w:rsidP="002F73C3">
      <w:pPr>
        <w:pStyle w:val="ListNumbered1"/>
      </w:pPr>
      <w:r>
        <w:t xml:space="preserve">Lead: </w:t>
      </w:r>
      <w:r w:rsidR="00C81DC4">
        <w:t xml:space="preserve">People Branch </w:t>
      </w:r>
      <w:r w:rsidR="00D2530C">
        <w:t>-</w:t>
      </w:r>
      <w:r w:rsidR="00C81DC4">
        <w:t xml:space="preserve"> </w:t>
      </w:r>
      <w:r>
        <w:t xml:space="preserve">DEI Section | Due: </w:t>
      </w:r>
      <w:r w:rsidR="00A338A7">
        <w:t xml:space="preserve">June </w:t>
      </w:r>
      <w:r>
        <w:t>2026</w:t>
      </w:r>
    </w:p>
    <w:p w14:paraId="55B9D82C" w14:textId="504C7085" w:rsidR="00B46F7D" w:rsidRDefault="00D635BE" w:rsidP="00D635BE">
      <w:pPr>
        <w:pStyle w:val="ListLegal1"/>
      </w:pPr>
      <w:r>
        <w:rPr>
          <w:lang w:val="en-AU"/>
        </w:rPr>
        <w:t xml:space="preserve">Report </w:t>
      </w:r>
      <w:r w:rsidR="00B46F7D">
        <w:t xml:space="preserve">DEI learning </w:t>
      </w:r>
      <w:r w:rsidR="00AE7A7F">
        <w:rPr>
          <w:lang w:val="en-AU"/>
        </w:rPr>
        <w:t xml:space="preserve">and development </w:t>
      </w:r>
      <w:r>
        <w:rPr>
          <w:lang w:val="en-AU"/>
        </w:rPr>
        <w:t xml:space="preserve">annually </w:t>
      </w:r>
      <w:r w:rsidR="00B46F7D">
        <w:t xml:space="preserve">to </w:t>
      </w:r>
      <w:r w:rsidR="00D92F6A">
        <w:rPr>
          <w:lang w:val="en-AU"/>
        </w:rPr>
        <w:t>DEI</w:t>
      </w:r>
      <w:r w:rsidR="00426418">
        <w:rPr>
          <w:lang w:val="en-AU"/>
        </w:rPr>
        <w:t xml:space="preserve"> Committee as a way of </w:t>
      </w:r>
      <w:r w:rsidR="00B46F7D">
        <w:t>track</w:t>
      </w:r>
      <w:r w:rsidR="00426418">
        <w:rPr>
          <w:lang w:val="en-AU"/>
        </w:rPr>
        <w:t>ing</w:t>
      </w:r>
      <w:r w:rsidR="00B46F7D">
        <w:t xml:space="preserve"> participation in training </w:t>
      </w:r>
      <w:r w:rsidR="00426418">
        <w:rPr>
          <w:lang w:val="en-AU"/>
        </w:rPr>
        <w:t xml:space="preserve">completion </w:t>
      </w:r>
      <w:r w:rsidR="00B46F7D">
        <w:t>across divisions</w:t>
      </w:r>
      <w:r w:rsidR="004A1E81">
        <w:rPr>
          <w:lang w:val="en-AU"/>
        </w:rPr>
        <w:t xml:space="preserve">, and inform the setting of </w:t>
      </w:r>
      <w:r w:rsidR="00AE7A7F">
        <w:rPr>
          <w:lang w:val="en-AU"/>
        </w:rPr>
        <w:t xml:space="preserve">training </w:t>
      </w:r>
      <w:r w:rsidR="004A1E81">
        <w:rPr>
          <w:lang w:val="en-AU"/>
        </w:rPr>
        <w:t>targets for 2026-27</w:t>
      </w:r>
      <w:r w:rsidR="00A31A91">
        <w:rPr>
          <w:lang w:val="en-AU"/>
        </w:rPr>
        <w:t xml:space="preserve"> by People Branch</w:t>
      </w:r>
      <w:r w:rsidR="004A1E81">
        <w:rPr>
          <w:lang w:val="en-AU"/>
        </w:rPr>
        <w:t>.</w:t>
      </w:r>
      <w:r w:rsidR="00AE7A7F">
        <w:rPr>
          <w:lang w:val="en-AU"/>
        </w:rPr>
        <w:t xml:space="preserve"> </w:t>
      </w:r>
      <w:r w:rsidR="00AE7A7F" w:rsidRPr="00EC58A2">
        <w:rPr>
          <w:b w:val="0"/>
          <w:i/>
          <w:color w:val="595959" w:themeColor="text1" w:themeTint="A6"/>
          <w:lang w:val="en-AU"/>
        </w:rPr>
        <w:t>Continuing initiative.</w:t>
      </w:r>
    </w:p>
    <w:p w14:paraId="55A6E4BA" w14:textId="1E7BB22E" w:rsidR="00B46F7D" w:rsidRDefault="00B46F7D" w:rsidP="002F73C3">
      <w:pPr>
        <w:pStyle w:val="ListNumbered1"/>
      </w:pPr>
      <w:r>
        <w:t xml:space="preserve">Lead: </w:t>
      </w:r>
      <w:r w:rsidR="00664FF7">
        <w:t xml:space="preserve">People Branch </w:t>
      </w:r>
      <w:r w:rsidR="00D2530C">
        <w:t>-</w:t>
      </w:r>
      <w:r w:rsidR="00664FF7">
        <w:t xml:space="preserve"> </w:t>
      </w:r>
      <w:r w:rsidR="00426418" w:rsidRPr="003427D3">
        <w:t>Workforce Analytics, Capability &amp; Strategy</w:t>
      </w:r>
      <w:r w:rsidR="009F61D5">
        <w:t xml:space="preserve"> Section</w:t>
      </w:r>
      <w:r w:rsidR="00426418" w:rsidRPr="003427D3">
        <w:t xml:space="preserve"> </w:t>
      </w:r>
      <w:r>
        <w:t xml:space="preserve">| Due: </w:t>
      </w:r>
      <w:r w:rsidR="00731006">
        <w:t>August</w:t>
      </w:r>
      <w:r>
        <w:t xml:space="preserve"> 2026</w:t>
      </w:r>
    </w:p>
    <w:p w14:paraId="193BC9FB" w14:textId="6C346723" w:rsidR="00B46F7D" w:rsidRPr="00AE7A7F" w:rsidRDefault="002C656B" w:rsidP="00AE7A7F">
      <w:pPr>
        <w:pStyle w:val="ListLegal1"/>
        <w:rPr>
          <w:color w:val="auto"/>
        </w:rPr>
      </w:pPr>
      <w:bookmarkStart w:id="9" w:name="_Hlk203399015"/>
      <w:r>
        <w:rPr>
          <w:color w:val="auto"/>
          <w:lang w:val="en-AU"/>
        </w:rPr>
        <w:t>Analyse</w:t>
      </w:r>
      <w:r w:rsidR="00B46F7D" w:rsidRPr="00AE7A7F">
        <w:rPr>
          <w:color w:val="auto"/>
        </w:rPr>
        <w:t xml:space="preserve"> diversity data, such as pay gap analysis</w:t>
      </w:r>
      <w:r w:rsidR="00FA37DB" w:rsidRPr="00AE7A7F">
        <w:rPr>
          <w:color w:val="auto"/>
        </w:rPr>
        <w:t xml:space="preserve"> and </w:t>
      </w:r>
      <w:r w:rsidR="00A338A7">
        <w:rPr>
          <w:color w:val="auto"/>
          <w:lang w:val="en-AU"/>
        </w:rPr>
        <w:t xml:space="preserve">take up of </w:t>
      </w:r>
      <w:r w:rsidR="00C56FDF">
        <w:rPr>
          <w:color w:val="auto"/>
          <w:lang w:val="en-AU"/>
        </w:rPr>
        <w:t xml:space="preserve">carer’s leave and </w:t>
      </w:r>
      <w:r w:rsidR="00A338A7">
        <w:t xml:space="preserve">parental </w:t>
      </w:r>
      <w:r>
        <w:t>leave.</w:t>
      </w:r>
      <w:r w:rsidR="00FA55DA">
        <w:rPr>
          <w:color w:val="auto"/>
          <w:lang w:val="en-AU"/>
        </w:rPr>
        <w:t xml:space="preserve"> </w:t>
      </w:r>
      <w:r w:rsidR="00426418" w:rsidRPr="00AE7A7F">
        <w:rPr>
          <w:color w:val="auto"/>
        </w:rPr>
        <w:t xml:space="preserve">Report on results to the </w:t>
      </w:r>
      <w:r w:rsidR="00D92F6A">
        <w:rPr>
          <w:color w:val="auto"/>
        </w:rPr>
        <w:t>DEI</w:t>
      </w:r>
      <w:r w:rsidR="00426418" w:rsidRPr="00AE7A7F">
        <w:rPr>
          <w:color w:val="auto"/>
        </w:rPr>
        <w:t xml:space="preserve"> Committee annually.</w:t>
      </w:r>
      <w:r w:rsidR="00AE7A7F" w:rsidRPr="00AE7A7F">
        <w:rPr>
          <w:color w:val="auto"/>
        </w:rPr>
        <w:t xml:space="preserve"> </w:t>
      </w:r>
      <w:r w:rsidR="00AE7A7F" w:rsidRPr="00EC58A2">
        <w:rPr>
          <w:b w:val="0"/>
          <w:i/>
          <w:color w:val="595959" w:themeColor="text1" w:themeTint="A6"/>
          <w:lang w:val="en-AU"/>
        </w:rPr>
        <w:t>New initiative.</w:t>
      </w:r>
      <w:r w:rsidR="00AE7A7F" w:rsidRPr="00AE7A7F">
        <w:rPr>
          <w:color w:val="808080" w:themeColor="background1" w:themeShade="80"/>
          <w:lang w:val="en-AU"/>
        </w:rPr>
        <w:t xml:space="preserve"> </w:t>
      </w:r>
    </w:p>
    <w:bookmarkEnd w:id="9"/>
    <w:p w14:paraId="25C05703" w14:textId="36EF1BBD" w:rsidR="00B46F7D" w:rsidRPr="00AE7A7F" w:rsidRDefault="00B46F7D" w:rsidP="002F73C3">
      <w:pPr>
        <w:pStyle w:val="ListNumbered1"/>
        <w:rPr>
          <w:color w:val="auto"/>
        </w:rPr>
      </w:pPr>
      <w:r w:rsidRPr="00AE7A7F">
        <w:rPr>
          <w:color w:val="auto"/>
        </w:rPr>
        <w:t xml:space="preserve">Lead: </w:t>
      </w:r>
      <w:r w:rsidR="00C81DC4">
        <w:t xml:space="preserve">People Branch </w:t>
      </w:r>
      <w:r w:rsidR="00D2530C">
        <w:t>-</w:t>
      </w:r>
      <w:r w:rsidR="00C81DC4">
        <w:t xml:space="preserve"> </w:t>
      </w:r>
      <w:r w:rsidRPr="00AE7A7F">
        <w:rPr>
          <w:color w:val="auto"/>
        </w:rPr>
        <w:t xml:space="preserve">DEI Section | </w:t>
      </w:r>
      <w:r w:rsidR="00AE7A7F" w:rsidRPr="00AE7A7F">
        <w:rPr>
          <w:color w:val="auto"/>
        </w:rPr>
        <w:t xml:space="preserve">Support: Data, Systems &amp; Information Management Branch | </w:t>
      </w:r>
      <w:r w:rsidRPr="00AE7A7F">
        <w:rPr>
          <w:color w:val="auto"/>
        </w:rPr>
        <w:t>Due: Dec 2025</w:t>
      </w:r>
    </w:p>
    <w:p w14:paraId="70200598" w14:textId="2B191C83" w:rsidR="00B46F7D" w:rsidRPr="00426418" w:rsidRDefault="00B46F7D" w:rsidP="00426418">
      <w:pPr>
        <w:pStyle w:val="ListLegal1"/>
        <w:rPr>
          <w:lang w:val="en-AU"/>
        </w:rPr>
      </w:pPr>
      <w:r w:rsidRPr="00426418">
        <w:rPr>
          <w:lang w:val="en-AU"/>
        </w:rPr>
        <w:t xml:space="preserve">Report on the Diversity Council of Australia </w:t>
      </w:r>
      <w:r w:rsidR="00D12F0F">
        <w:rPr>
          <w:lang w:val="en-AU"/>
        </w:rPr>
        <w:t xml:space="preserve">(DCA) </w:t>
      </w:r>
      <w:r w:rsidRPr="00426418">
        <w:rPr>
          <w:lang w:val="en-AU"/>
        </w:rPr>
        <w:t xml:space="preserve">Inclusive Employers Index survey </w:t>
      </w:r>
      <w:r w:rsidR="00426418">
        <w:rPr>
          <w:lang w:val="en-AU"/>
        </w:rPr>
        <w:t xml:space="preserve">results to the </w:t>
      </w:r>
      <w:r w:rsidR="00D92F6A">
        <w:rPr>
          <w:lang w:val="en-AU"/>
        </w:rPr>
        <w:t>DEI</w:t>
      </w:r>
      <w:r w:rsidR="00426418">
        <w:rPr>
          <w:lang w:val="en-AU"/>
        </w:rPr>
        <w:t xml:space="preserve"> Committee</w:t>
      </w:r>
      <w:r w:rsidR="003427D3">
        <w:rPr>
          <w:lang w:val="en-AU"/>
        </w:rPr>
        <w:t>.</w:t>
      </w:r>
      <w:r w:rsidR="00FA55DA">
        <w:rPr>
          <w:lang w:val="en-AU"/>
        </w:rPr>
        <w:t xml:space="preserve"> </w:t>
      </w:r>
      <w:r w:rsidR="004848C1" w:rsidRPr="00EC58A2">
        <w:rPr>
          <w:b w:val="0"/>
          <w:i/>
          <w:color w:val="595959" w:themeColor="text1" w:themeTint="A6"/>
          <w:lang w:val="en-AU"/>
        </w:rPr>
        <w:t>Continuing initiative.</w:t>
      </w:r>
    </w:p>
    <w:p w14:paraId="1783938E" w14:textId="62E393B2" w:rsidR="00B46F7D" w:rsidRDefault="00B46F7D" w:rsidP="002F73C3">
      <w:pPr>
        <w:pStyle w:val="ListNumbered1"/>
      </w:pPr>
      <w:r>
        <w:t xml:space="preserve">Lead: </w:t>
      </w:r>
      <w:r w:rsidR="00C81DC4">
        <w:t xml:space="preserve">People Branch </w:t>
      </w:r>
      <w:r w:rsidR="00D2530C">
        <w:t>-</w:t>
      </w:r>
      <w:r w:rsidR="00C81DC4">
        <w:t xml:space="preserve"> </w:t>
      </w:r>
      <w:r>
        <w:t>DEI Section | Due: Mar 2026</w:t>
      </w:r>
    </w:p>
    <w:p w14:paraId="0FF7CEAE" w14:textId="4FA60A33" w:rsidR="004848C1" w:rsidRPr="004848C1" w:rsidRDefault="00AE7A7F" w:rsidP="004848C1">
      <w:pPr>
        <w:pStyle w:val="ListLegal1"/>
        <w:rPr>
          <w:lang w:val="en-AU"/>
        </w:rPr>
      </w:pPr>
      <w:r w:rsidRPr="004848C1">
        <w:rPr>
          <w:lang w:val="en-AU"/>
        </w:rPr>
        <w:t>S</w:t>
      </w:r>
      <w:r>
        <w:t xml:space="preserve">cope a </w:t>
      </w:r>
      <w:r w:rsidR="004848C1" w:rsidRPr="004848C1">
        <w:rPr>
          <w:lang w:val="en-AU"/>
        </w:rPr>
        <w:t xml:space="preserve">project </w:t>
      </w:r>
      <w:r w:rsidRPr="004848C1">
        <w:rPr>
          <w:lang w:val="en-AU"/>
        </w:rPr>
        <w:t xml:space="preserve">that aims to </w:t>
      </w:r>
      <w:r w:rsidR="00B46F7D" w:rsidRPr="004848C1">
        <w:rPr>
          <w:lang w:val="en-AU"/>
        </w:rPr>
        <w:t>build confidence and wellbeing for diverse employees through training and</w:t>
      </w:r>
      <w:r w:rsidRPr="004848C1">
        <w:rPr>
          <w:lang w:val="en-AU"/>
        </w:rPr>
        <w:t xml:space="preserve">/or </w:t>
      </w:r>
      <w:r w:rsidR="00B46F7D" w:rsidRPr="004848C1">
        <w:rPr>
          <w:lang w:val="en-AU"/>
        </w:rPr>
        <w:t>mentoring</w:t>
      </w:r>
      <w:r w:rsidR="004848C1" w:rsidRPr="004848C1">
        <w:rPr>
          <w:lang w:val="en-AU"/>
        </w:rPr>
        <w:t xml:space="preserve">, </w:t>
      </w:r>
      <w:r w:rsidR="004848C1">
        <w:rPr>
          <w:lang w:val="en-AU"/>
        </w:rPr>
        <w:t xml:space="preserve">and </w:t>
      </w:r>
      <w:r w:rsidR="004848C1" w:rsidRPr="00AE7A7F">
        <w:t>prepar</w:t>
      </w:r>
      <w:r w:rsidR="004848C1">
        <w:rPr>
          <w:lang w:val="en-AU"/>
        </w:rPr>
        <w:t>e</w:t>
      </w:r>
      <w:r w:rsidR="004848C1" w:rsidRPr="00AE7A7F">
        <w:t xml:space="preserve"> a business case for consideration in the 2026</w:t>
      </w:r>
      <w:r w:rsidR="00D2530C">
        <w:t>-</w:t>
      </w:r>
      <w:r w:rsidR="004848C1" w:rsidRPr="00AE7A7F">
        <w:t>27 budget.</w:t>
      </w:r>
      <w:r w:rsidR="004848C1" w:rsidRPr="004848C1">
        <w:rPr>
          <w:lang w:val="en-AU"/>
        </w:rPr>
        <w:t xml:space="preserve"> </w:t>
      </w:r>
      <w:r w:rsidR="004848C1" w:rsidRPr="00EC58A2">
        <w:rPr>
          <w:b w:val="0"/>
          <w:i/>
          <w:color w:val="595959" w:themeColor="text1" w:themeTint="A6"/>
          <w:lang w:val="en-AU"/>
        </w:rPr>
        <w:t>New initiative.</w:t>
      </w:r>
    </w:p>
    <w:p w14:paraId="52040C4F" w14:textId="2FE22E01" w:rsidR="00B46F7D" w:rsidRDefault="00B46F7D" w:rsidP="002F73C3">
      <w:pPr>
        <w:pStyle w:val="ListNumbered1"/>
      </w:pPr>
      <w:r>
        <w:t xml:space="preserve">Lead: </w:t>
      </w:r>
      <w:r w:rsidR="00C81DC4">
        <w:t xml:space="preserve">People Branch </w:t>
      </w:r>
      <w:r w:rsidR="00D2530C">
        <w:t>-</w:t>
      </w:r>
      <w:r w:rsidR="00C81DC4">
        <w:t xml:space="preserve"> </w:t>
      </w:r>
      <w:r>
        <w:t>DEI Section | Due: Mar 2026</w:t>
      </w:r>
    </w:p>
    <w:p w14:paraId="76D212CE" w14:textId="0AE2ABE8" w:rsidR="00B46F7D" w:rsidRPr="00426418" w:rsidRDefault="00B46F7D" w:rsidP="00426418">
      <w:pPr>
        <w:pStyle w:val="ListLegal1"/>
        <w:rPr>
          <w:lang w:val="en-AU"/>
        </w:rPr>
      </w:pPr>
      <w:r w:rsidRPr="00426418">
        <w:rPr>
          <w:lang w:val="en-AU"/>
        </w:rPr>
        <w:t>Facilitate mentoring opportunities that support two-way learning across experience levels</w:t>
      </w:r>
      <w:r w:rsidR="00731006">
        <w:rPr>
          <w:lang w:val="en-AU"/>
        </w:rPr>
        <w:t xml:space="preserve"> and report to </w:t>
      </w:r>
      <w:r w:rsidR="00D92F6A">
        <w:rPr>
          <w:lang w:val="en-AU"/>
        </w:rPr>
        <w:t>DEI</w:t>
      </w:r>
      <w:r w:rsidR="00731006">
        <w:rPr>
          <w:lang w:val="en-AU"/>
        </w:rPr>
        <w:t xml:space="preserve"> Committee on completion</w:t>
      </w:r>
      <w:r w:rsidRPr="00426418">
        <w:rPr>
          <w:lang w:val="en-AU"/>
        </w:rPr>
        <w:t>.</w:t>
      </w:r>
      <w:r w:rsidR="00BB10B5" w:rsidRPr="00BB10B5">
        <w:rPr>
          <w:b w:val="0"/>
          <w:i/>
          <w:color w:val="808080" w:themeColor="background1" w:themeShade="80"/>
          <w:lang w:val="en-AU"/>
        </w:rPr>
        <w:t xml:space="preserve"> </w:t>
      </w:r>
      <w:r w:rsidR="00BB10B5" w:rsidRPr="00EC58A2">
        <w:rPr>
          <w:b w:val="0"/>
          <w:i/>
          <w:color w:val="595959" w:themeColor="text1" w:themeTint="A6"/>
          <w:lang w:val="en-AU"/>
        </w:rPr>
        <w:t>Continuing initiative.</w:t>
      </w:r>
    </w:p>
    <w:p w14:paraId="74286690" w14:textId="5BE6DB88" w:rsidR="00B46F7D" w:rsidRDefault="00B46F7D" w:rsidP="002F73C3">
      <w:pPr>
        <w:pStyle w:val="ListNumbered1"/>
      </w:pPr>
      <w:r>
        <w:t xml:space="preserve">Lead: </w:t>
      </w:r>
      <w:r w:rsidR="00CD15E3">
        <w:t>Diversity</w:t>
      </w:r>
      <w:r>
        <w:t xml:space="preserve"> Networks | Ongoing</w:t>
      </w:r>
    </w:p>
    <w:p w14:paraId="0D6BFD29" w14:textId="13ADCAC5" w:rsidR="004C458B" w:rsidRDefault="004C458B" w:rsidP="004C458B">
      <w:pPr>
        <w:pStyle w:val="ListLegal1"/>
      </w:pPr>
      <w:r w:rsidRPr="004C458B">
        <w:t>Deliver agreed recommendations from Stand Strong Against Gender Violence report.</w:t>
      </w:r>
      <w:r>
        <w:t xml:space="preserve"> </w:t>
      </w:r>
      <w:r w:rsidR="008940A8">
        <w:rPr>
          <w:b w:val="0"/>
          <w:i/>
          <w:color w:val="595959" w:themeColor="text1" w:themeTint="A6"/>
          <w:lang w:val="en-AU"/>
        </w:rPr>
        <w:t>Continuing</w:t>
      </w:r>
      <w:r w:rsidRPr="00EC58A2">
        <w:rPr>
          <w:b w:val="0"/>
          <w:i/>
          <w:color w:val="595959" w:themeColor="text1" w:themeTint="A6"/>
          <w:lang w:val="en-AU"/>
        </w:rPr>
        <w:t xml:space="preserve"> initiative.</w:t>
      </w:r>
    </w:p>
    <w:p w14:paraId="6E92BAE2" w14:textId="09E6CBE6" w:rsidR="004C458B" w:rsidRDefault="004C458B" w:rsidP="004C458B">
      <w:pPr>
        <w:pStyle w:val="ListNumbered1"/>
        <w:rPr>
          <w:color w:val="auto"/>
        </w:rPr>
      </w:pPr>
      <w:r w:rsidRPr="004C458B">
        <w:rPr>
          <w:color w:val="auto"/>
        </w:rPr>
        <w:t xml:space="preserve">Lead: Gender Equality Network | Support: People Branch | </w:t>
      </w:r>
      <w:r>
        <w:rPr>
          <w:color w:val="auto"/>
        </w:rPr>
        <w:t>Date: Nov 2025</w:t>
      </w:r>
    </w:p>
    <w:p w14:paraId="3AA5A894" w14:textId="77777777" w:rsidR="00B46F7D" w:rsidRPr="0023777A" w:rsidRDefault="00B46F7D" w:rsidP="002C656B">
      <w:pPr>
        <w:pStyle w:val="Heading2"/>
      </w:pPr>
      <w:r w:rsidRPr="0023777A">
        <w:t>Pillar 1: Respected</w:t>
      </w:r>
    </w:p>
    <w:p w14:paraId="621FE013" w14:textId="77777777" w:rsidR="00426418" w:rsidRPr="00226525" w:rsidRDefault="00426418" w:rsidP="00426418">
      <w:pPr>
        <w:pStyle w:val="Box2Heading"/>
      </w:pPr>
      <w:r w:rsidRPr="00226525">
        <w:t>We will foster a safe and respectful workplace culture for all staff, where diversity, equity and inclusion is prioritised</w:t>
      </w:r>
    </w:p>
    <w:p w14:paraId="7BE41FED" w14:textId="77777777" w:rsidR="00426418" w:rsidRPr="0023777A" w:rsidRDefault="00426418" w:rsidP="0023777A">
      <w:pPr>
        <w:pStyle w:val="Introduction"/>
      </w:pPr>
      <w:r w:rsidRPr="0023777A">
        <w:t>How we will achieve this:</w:t>
      </w:r>
    </w:p>
    <w:p w14:paraId="73E91E63" w14:textId="1D328CD0" w:rsidR="00EC3A60" w:rsidRPr="00EC3A60" w:rsidRDefault="00EC3A60" w:rsidP="00426418">
      <w:pPr>
        <w:pStyle w:val="ListLegal1"/>
        <w:rPr>
          <w:lang w:val="en-AU"/>
        </w:rPr>
      </w:pPr>
      <w:r>
        <w:t>Develop a Cultural Safety Framework and Anti-Racism Strategy</w:t>
      </w:r>
      <w:r>
        <w:rPr>
          <w:lang w:val="en-AU"/>
        </w:rPr>
        <w:t>.</w:t>
      </w:r>
      <w:r>
        <w:t xml:space="preserve"> </w:t>
      </w:r>
      <w:r w:rsidRPr="00EC58A2">
        <w:rPr>
          <w:b w:val="0"/>
          <w:i/>
          <w:color w:val="595959" w:themeColor="text1" w:themeTint="A6"/>
          <w:lang w:val="en-AU"/>
        </w:rPr>
        <w:t>New initiative.</w:t>
      </w:r>
      <w:r>
        <w:t xml:space="preserve"> </w:t>
      </w:r>
    </w:p>
    <w:p w14:paraId="2D3E248F" w14:textId="5E9ACE4C" w:rsidR="00EC3A60" w:rsidRPr="00EC3A60" w:rsidRDefault="00EC3A60" w:rsidP="00EC3A60">
      <w:pPr>
        <w:pStyle w:val="ListNumbered1"/>
      </w:pPr>
      <w:r>
        <w:t>Lead: First Nations Partnerships Division| Due: Dec 2026</w:t>
      </w:r>
    </w:p>
    <w:p w14:paraId="0DB8F497" w14:textId="1DA710D9" w:rsidR="00426418" w:rsidRPr="00426418" w:rsidRDefault="00426418" w:rsidP="00426418">
      <w:pPr>
        <w:pStyle w:val="ListLegal1"/>
        <w:rPr>
          <w:lang w:val="en-AU"/>
        </w:rPr>
      </w:pPr>
      <w:r w:rsidRPr="00426418">
        <w:rPr>
          <w:lang w:val="en-AU"/>
        </w:rPr>
        <w:t>Work towards achieving Workplace Gender Equality Agency Employer of Choice citation</w:t>
      </w:r>
      <w:r w:rsidR="004848C1">
        <w:rPr>
          <w:lang w:val="en-AU"/>
        </w:rPr>
        <w:t xml:space="preserve">. </w:t>
      </w:r>
      <w:r w:rsidR="004848C1" w:rsidRPr="00EC58A2">
        <w:rPr>
          <w:b w:val="0"/>
          <w:i/>
          <w:color w:val="595959" w:themeColor="text1" w:themeTint="A6"/>
          <w:lang w:val="en-AU"/>
        </w:rPr>
        <w:t>New initiative.</w:t>
      </w:r>
    </w:p>
    <w:p w14:paraId="14DA367E" w14:textId="4276A4C8" w:rsidR="00426418" w:rsidRPr="00426418" w:rsidRDefault="00426418" w:rsidP="002F73C3">
      <w:pPr>
        <w:pStyle w:val="ListNumbered1"/>
        <w:rPr>
          <w:b/>
        </w:rPr>
      </w:pPr>
      <w:r w:rsidRPr="00426418">
        <w:t xml:space="preserve">Lead: </w:t>
      </w:r>
      <w:r w:rsidR="00C81DC4">
        <w:t xml:space="preserve">People Branch </w:t>
      </w:r>
      <w:r w:rsidR="00D2530C">
        <w:t>-</w:t>
      </w:r>
      <w:r w:rsidR="00C81DC4">
        <w:t xml:space="preserve"> </w:t>
      </w:r>
      <w:r w:rsidRPr="00426418">
        <w:t>DEI Section | Due: Jun 2026</w:t>
      </w:r>
    </w:p>
    <w:p w14:paraId="5F161BD4" w14:textId="77777777" w:rsidR="00731006" w:rsidRPr="00731006" w:rsidRDefault="00426418" w:rsidP="00A21731">
      <w:pPr>
        <w:pStyle w:val="ListLegal1"/>
      </w:pPr>
      <w:r w:rsidRPr="00426418">
        <w:rPr>
          <w:lang w:val="en-AU"/>
        </w:rPr>
        <w:t>Maintain Australian Workplace Equality Index Bronze Tier accreditation (LGBTQIA+ inclusion)</w:t>
      </w:r>
      <w:r w:rsidR="004848C1">
        <w:rPr>
          <w:lang w:val="en-AU"/>
        </w:rPr>
        <w:t xml:space="preserve">. </w:t>
      </w:r>
      <w:r w:rsidR="00EC58A2" w:rsidRPr="00731006">
        <w:rPr>
          <w:b w:val="0"/>
          <w:i/>
          <w:color w:val="595959" w:themeColor="text1" w:themeTint="A6"/>
          <w:lang w:val="en-AU"/>
        </w:rPr>
        <w:t>Continuing initiative.</w:t>
      </w:r>
    </w:p>
    <w:p w14:paraId="1269349A" w14:textId="6B7E15C5" w:rsidR="00426418" w:rsidRPr="00426418" w:rsidRDefault="00426418" w:rsidP="00731006">
      <w:pPr>
        <w:pStyle w:val="ListNumbered1"/>
      </w:pPr>
      <w:r w:rsidRPr="00426418">
        <w:t xml:space="preserve">Lead: </w:t>
      </w:r>
      <w:r w:rsidR="00C81DC4">
        <w:t xml:space="preserve">People Branch </w:t>
      </w:r>
      <w:r w:rsidR="00D2530C">
        <w:t>-</w:t>
      </w:r>
      <w:r w:rsidR="00C81DC4">
        <w:t xml:space="preserve"> </w:t>
      </w:r>
      <w:r w:rsidRPr="00426418">
        <w:t>DEI Section | Due: Jun 2026</w:t>
      </w:r>
    </w:p>
    <w:p w14:paraId="04F83B7E" w14:textId="354B5B0C" w:rsidR="00426418" w:rsidRPr="00426418" w:rsidRDefault="00426418" w:rsidP="00426418">
      <w:pPr>
        <w:pStyle w:val="ListLegal1"/>
        <w:rPr>
          <w:lang w:val="en-AU"/>
        </w:rPr>
      </w:pPr>
      <w:r>
        <w:rPr>
          <w:lang w:val="en-AU"/>
        </w:rPr>
        <w:t xml:space="preserve">Maintain </w:t>
      </w:r>
      <w:r w:rsidRPr="00426418">
        <w:rPr>
          <w:lang w:val="en-AU"/>
        </w:rPr>
        <w:t xml:space="preserve">recognition as a </w:t>
      </w:r>
      <w:r w:rsidR="00D12F0F">
        <w:rPr>
          <w:lang w:val="en-AU"/>
        </w:rPr>
        <w:t>DCA</w:t>
      </w:r>
      <w:r w:rsidRPr="00426418">
        <w:rPr>
          <w:lang w:val="en-AU"/>
        </w:rPr>
        <w:t xml:space="preserve"> Inclusive Employer</w:t>
      </w:r>
      <w:r w:rsidR="004848C1">
        <w:rPr>
          <w:lang w:val="en-AU"/>
        </w:rPr>
        <w:t>.</w:t>
      </w:r>
      <w:r w:rsidR="004848C1" w:rsidRPr="004848C1">
        <w:rPr>
          <w:b w:val="0"/>
          <w:i/>
          <w:color w:val="808080" w:themeColor="background1" w:themeShade="80"/>
          <w:lang w:val="en-AU"/>
        </w:rPr>
        <w:t xml:space="preserve"> </w:t>
      </w:r>
      <w:r w:rsidR="004848C1" w:rsidRPr="00EC58A2">
        <w:rPr>
          <w:b w:val="0"/>
          <w:i/>
          <w:color w:val="595959" w:themeColor="text1" w:themeTint="A6"/>
          <w:lang w:val="en-AU"/>
        </w:rPr>
        <w:t>Continuing initiative.</w:t>
      </w:r>
    </w:p>
    <w:p w14:paraId="6913AD97" w14:textId="740FAA98" w:rsidR="00426418" w:rsidRPr="00426418" w:rsidRDefault="00426418" w:rsidP="002F73C3">
      <w:pPr>
        <w:pStyle w:val="ListNumbered1"/>
      </w:pPr>
      <w:r w:rsidRPr="00426418">
        <w:t xml:space="preserve">Lead: </w:t>
      </w:r>
      <w:r w:rsidR="00C81DC4">
        <w:t xml:space="preserve">People Branch </w:t>
      </w:r>
      <w:r w:rsidR="00D2530C">
        <w:t>-</w:t>
      </w:r>
      <w:r w:rsidR="00C81DC4">
        <w:t xml:space="preserve"> </w:t>
      </w:r>
      <w:r w:rsidRPr="00426418">
        <w:t>DEI Section | Due: Jun 2026</w:t>
      </w:r>
    </w:p>
    <w:p w14:paraId="26022005" w14:textId="299EC720" w:rsidR="00B46F7D" w:rsidRPr="00426418" w:rsidRDefault="00B46F7D" w:rsidP="00426418">
      <w:pPr>
        <w:pStyle w:val="ListLegal1"/>
        <w:rPr>
          <w:lang w:val="en-AU"/>
        </w:rPr>
      </w:pPr>
      <w:r w:rsidRPr="00426418">
        <w:rPr>
          <w:lang w:val="en-AU"/>
        </w:rPr>
        <w:t xml:space="preserve">Celebrate staff who build belonging through </w:t>
      </w:r>
      <w:r w:rsidR="00EC3A60">
        <w:rPr>
          <w:lang w:val="en-AU"/>
        </w:rPr>
        <w:t>S</w:t>
      </w:r>
      <w:r w:rsidRPr="00426418">
        <w:rPr>
          <w:lang w:val="en-AU"/>
        </w:rPr>
        <w:t>ec</w:t>
      </w:r>
      <w:r w:rsidR="00EC3A60">
        <w:rPr>
          <w:lang w:val="en-AU"/>
        </w:rPr>
        <w:t>retary’s Awards (</w:t>
      </w:r>
      <w:r w:rsidR="00EC3A60" w:rsidRPr="00EC3A60">
        <w:rPr>
          <w:lang w:val="en-AU"/>
        </w:rPr>
        <w:t>Culture, Diversity and Inclusion</w:t>
      </w:r>
      <w:r w:rsidR="00EC3A60" w:rsidRPr="00426418" w:rsidDel="00EC3A60">
        <w:rPr>
          <w:lang w:val="en-AU"/>
        </w:rPr>
        <w:t xml:space="preserve"> </w:t>
      </w:r>
      <w:r w:rsidR="00EC3A60">
        <w:rPr>
          <w:lang w:val="en-AU"/>
        </w:rPr>
        <w:t>category)</w:t>
      </w:r>
      <w:r w:rsidRPr="00426418">
        <w:rPr>
          <w:lang w:val="en-AU"/>
        </w:rPr>
        <w:t>.</w:t>
      </w:r>
      <w:r w:rsidR="004848C1" w:rsidRPr="004848C1">
        <w:rPr>
          <w:b w:val="0"/>
          <w:i/>
          <w:color w:val="808080" w:themeColor="background1" w:themeShade="80"/>
          <w:lang w:val="en-AU"/>
        </w:rPr>
        <w:t xml:space="preserve"> </w:t>
      </w:r>
      <w:r w:rsidR="004848C1" w:rsidRPr="00EC58A2">
        <w:rPr>
          <w:b w:val="0"/>
          <w:i/>
          <w:color w:val="595959" w:themeColor="text1" w:themeTint="A6"/>
          <w:lang w:val="en-AU"/>
        </w:rPr>
        <w:t>Continuing initiative.</w:t>
      </w:r>
    </w:p>
    <w:p w14:paraId="3A932460" w14:textId="63355118" w:rsidR="00B46F7D" w:rsidRPr="00426418" w:rsidRDefault="00B46F7D" w:rsidP="002F73C3">
      <w:pPr>
        <w:pStyle w:val="ListNumbered1"/>
      </w:pPr>
      <w:r w:rsidRPr="00426418">
        <w:t xml:space="preserve">Lead: </w:t>
      </w:r>
      <w:r w:rsidR="00664FF7">
        <w:t xml:space="preserve">People Branch </w:t>
      </w:r>
      <w:r w:rsidR="00D2530C">
        <w:t>-</w:t>
      </w:r>
      <w:r w:rsidR="00664FF7">
        <w:t xml:space="preserve"> </w:t>
      </w:r>
      <w:r w:rsidR="00426418" w:rsidRPr="00426418">
        <w:t>Workforce Analytics, Capability &amp; Strategy</w:t>
      </w:r>
      <w:r w:rsidR="009F61D5">
        <w:t xml:space="preserve"> Section</w:t>
      </w:r>
      <w:r w:rsidR="00426418" w:rsidRPr="00426418">
        <w:t xml:space="preserve"> </w:t>
      </w:r>
      <w:r w:rsidRPr="00426418">
        <w:t>| Due: Jun 2026</w:t>
      </w:r>
    </w:p>
    <w:p w14:paraId="0EDB16C6" w14:textId="77777777" w:rsidR="009A2AE5" w:rsidRPr="009A2AE5" w:rsidRDefault="009A2AE5" w:rsidP="00A21731">
      <w:pPr>
        <w:pStyle w:val="ListLegal1"/>
      </w:pPr>
      <w:bookmarkStart w:id="10" w:name="_Hlk202960535"/>
      <w:r>
        <w:rPr>
          <w:lang w:val="en-AU"/>
        </w:rPr>
        <w:t>Review</w:t>
      </w:r>
      <w:r w:rsidRPr="00426418">
        <w:rPr>
          <w:lang w:val="en-AU"/>
        </w:rPr>
        <w:t xml:space="preserve"> reporting channels</w:t>
      </w:r>
      <w:r>
        <w:rPr>
          <w:lang w:val="en-AU"/>
        </w:rPr>
        <w:t xml:space="preserve"> and </w:t>
      </w:r>
      <w:r w:rsidRPr="00426418">
        <w:rPr>
          <w:lang w:val="en-AU"/>
        </w:rPr>
        <w:t>guidance on respectful behaviour and positive duty obligations</w:t>
      </w:r>
      <w:r>
        <w:rPr>
          <w:lang w:val="en-AU"/>
        </w:rPr>
        <w:t xml:space="preserve"> </w:t>
      </w:r>
      <w:r w:rsidRPr="007A130F">
        <w:rPr>
          <w:lang w:val="en-AU"/>
        </w:rPr>
        <w:t>to ensure they are inclusive, culturally safe, and responsive to the needs of diverse employees</w:t>
      </w:r>
      <w:r>
        <w:rPr>
          <w:lang w:val="en-AU"/>
        </w:rPr>
        <w:t xml:space="preserve"> to inform Front Door Compliant project</w:t>
      </w:r>
      <w:r w:rsidRPr="00426418">
        <w:rPr>
          <w:lang w:val="en-AU"/>
        </w:rPr>
        <w:t>.</w:t>
      </w:r>
      <w:r w:rsidRPr="009A2AE5">
        <w:rPr>
          <w:b w:val="0"/>
          <w:i/>
          <w:color w:val="808080" w:themeColor="background1" w:themeShade="80"/>
          <w:lang w:val="en-AU"/>
        </w:rPr>
        <w:t xml:space="preserve"> </w:t>
      </w:r>
      <w:r w:rsidRPr="009A2AE5">
        <w:rPr>
          <w:b w:val="0"/>
          <w:i/>
          <w:color w:val="595959" w:themeColor="text1" w:themeTint="A6"/>
          <w:lang w:val="en-AU"/>
        </w:rPr>
        <w:t>Continuing initiative.</w:t>
      </w:r>
    </w:p>
    <w:p w14:paraId="7826DBCA" w14:textId="39B2315D" w:rsidR="009A2AE5" w:rsidRDefault="009A2AE5" w:rsidP="009A2AE5">
      <w:pPr>
        <w:pStyle w:val="ListNumbered1"/>
      </w:pPr>
      <w:r>
        <w:t xml:space="preserve">Lead: People Branch – </w:t>
      </w:r>
      <w:r w:rsidR="00127398">
        <w:t>DEI Section</w:t>
      </w:r>
      <w:r>
        <w:t>. Due: Jun 2026</w:t>
      </w:r>
    </w:p>
    <w:p w14:paraId="05CABD5C" w14:textId="000BEE01" w:rsidR="009A2AE5" w:rsidRPr="000C1119" w:rsidRDefault="009A2AE5" w:rsidP="009A2AE5">
      <w:pPr>
        <w:pStyle w:val="ListLegal1"/>
        <w:rPr>
          <w:lang w:val="en-AU"/>
        </w:rPr>
      </w:pPr>
      <w:r>
        <w:rPr>
          <w:lang w:val="en-AU"/>
        </w:rPr>
        <w:t>Check w</w:t>
      </w:r>
      <w:r w:rsidR="004356C7">
        <w:rPr>
          <w:lang w:val="en-AU"/>
        </w:rPr>
        <w:t>he</w:t>
      </w:r>
      <w:r>
        <w:rPr>
          <w:lang w:val="en-AU"/>
        </w:rPr>
        <w:t xml:space="preserve">ther our </w:t>
      </w:r>
      <w:r w:rsidRPr="000C1119">
        <w:rPr>
          <w:lang w:val="en-AU"/>
        </w:rPr>
        <w:t>anonymous reporting tool for psychosocial safety hazards</w:t>
      </w:r>
      <w:r>
        <w:rPr>
          <w:lang w:val="en-AU"/>
        </w:rPr>
        <w:t xml:space="preserve"> </w:t>
      </w:r>
      <w:r w:rsidRPr="000C6DF8">
        <w:rPr>
          <w:lang w:val="en-AU"/>
        </w:rPr>
        <w:t>is easy to find and use for all employees, including those from diverse backgrounds and with different accessibility needs.</w:t>
      </w:r>
      <w:r>
        <w:rPr>
          <w:b w:val="0"/>
          <w:i/>
          <w:color w:val="808080" w:themeColor="background1" w:themeShade="80"/>
          <w:lang w:val="en-AU"/>
        </w:rPr>
        <w:t xml:space="preserve"> </w:t>
      </w:r>
      <w:r w:rsidRPr="000C6DF8">
        <w:rPr>
          <w:b w:val="0"/>
          <w:i/>
          <w:color w:val="595959" w:themeColor="text1" w:themeTint="A6"/>
          <w:lang w:val="en-AU"/>
        </w:rPr>
        <w:t>New initiative.</w:t>
      </w:r>
    </w:p>
    <w:p w14:paraId="4DCF3854" w14:textId="50E0A8D4" w:rsidR="009A2AE5" w:rsidRDefault="009A2AE5" w:rsidP="009A2AE5">
      <w:pPr>
        <w:pStyle w:val="ListNumbered1"/>
      </w:pPr>
      <w:r>
        <w:t xml:space="preserve">Lead: People Branch – </w:t>
      </w:r>
      <w:r w:rsidR="009F61D5">
        <w:t>DEI</w:t>
      </w:r>
      <w:r w:rsidR="00127398">
        <w:t xml:space="preserve"> Section</w:t>
      </w:r>
      <w:r>
        <w:t>. Due: Jun 2026</w:t>
      </w:r>
    </w:p>
    <w:bookmarkEnd w:id="10"/>
    <w:p w14:paraId="6CE76DBA" w14:textId="77777777" w:rsidR="000C1119" w:rsidRDefault="000C1119" w:rsidP="002C656B">
      <w:pPr>
        <w:pStyle w:val="Heading2"/>
      </w:pPr>
      <w:r>
        <w:t xml:space="preserve">Pillar 2: Connected </w:t>
      </w:r>
    </w:p>
    <w:p w14:paraId="05695D34" w14:textId="77777777" w:rsidR="000C1119" w:rsidRDefault="000C1119" w:rsidP="000C1119">
      <w:pPr>
        <w:pStyle w:val="Box2Heading"/>
      </w:pPr>
      <w:r w:rsidRPr="00226525">
        <w:t>We will b</w:t>
      </w:r>
      <w:r>
        <w:t>uild a departmental community with a strong sense of belonging where people can bring their authentic selves to work</w:t>
      </w:r>
    </w:p>
    <w:p w14:paraId="36294545" w14:textId="77777777" w:rsidR="000C1119" w:rsidRPr="00990AEE" w:rsidRDefault="000C1119" w:rsidP="0023777A">
      <w:pPr>
        <w:pStyle w:val="Introduction"/>
      </w:pPr>
      <w:r w:rsidRPr="00677942">
        <w:t>How we will achieve this:</w:t>
      </w:r>
    </w:p>
    <w:p w14:paraId="3171EA87" w14:textId="0F49B9FF" w:rsidR="00B46F7D" w:rsidRPr="000C1119" w:rsidRDefault="00990AEE" w:rsidP="000C1119">
      <w:pPr>
        <w:pStyle w:val="ListLegal1"/>
        <w:rPr>
          <w:lang w:val="en-AU"/>
        </w:rPr>
      </w:pPr>
      <w:r>
        <w:rPr>
          <w:lang w:val="en-AU"/>
        </w:rPr>
        <w:t>Develop a</w:t>
      </w:r>
      <w:r w:rsidR="00B46F7D" w:rsidRPr="000C1119">
        <w:rPr>
          <w:lang w:val="en-AU"/>
        </w:rPr>
        <w:t xml:space="preserve"> </w:t>
      </w:r>
      <w:r>
        <w:rPr>
          <w:lang w:val="en-AU"/>
        </w:rPr>
        <w:t xml:space="preserve">communication plan and deliver activities to </w:t>
      </w:r>
      <w:r w:rsidR="00A338A7">
        <w:rPr>
          <w:lang w:val="en-AU"/>
        </w:rPr>
        <w:t xml:space="preserve">inform </w:t>
      </w:r>
      <w:r>
        <w:rPr>
          <w:lang w:val="en-AU"/>
        </w:rPr>
        <w:t>all staff on the DEI Strategy and Roadmap</w:t>
      </w:r>
      <w:r w:rsidR="00B46F7D" w:rsidRPr="000C1119">
        <w:rPr>
          <w:lang w:val="en-AU"/>
        </w:rPr>
        <w:t>.</w:t>
      </w:r>
      <w:r w:rsidR="003B0A3C" w:rsidRPr="003B0A3C">
        <w:rPr>
          <w:b w:val="0"/>
          <w:i/>
          <w:color w:val="808080" w:themeColor="background1" w:themeShade="80"/>
          <w:lang w:val="en-AU"/>
        </w:rPr>
        <w:t xml:space="preserve"> </w:t>
      </w:r>
      <w:r w:rsidR="003B0A3C" w:rsidRPr="00EC58A2">
        <w:rPr>
          <w:b w:val="0"/>
          <w:i/>
          <w:color w:val="595959" w:themeColor="text1" w:themeTint="A6"/>
          <w:lang w:val="en-AU"/>
        </w:rPr>
        <w:t>New initiative.</w:t>
      </w:r>
    </w:p>
    <w:p w14:paraId="7A3F1A7A" w14:textId="418D1B04" w:rsidR="00B46F7D" w:rsidRDefault="00B46F7D" w:rsidP="002F73C3">
      <w:pPr>
        <w:pStyle w:val="ListNumbered1"/>
      </w:pPr>
      <w:r>
        <w:t xml:space="preserve">Lead: </w:t>
      </w:r>
      <w:r w:rsidR="00C81DC4">
        <w:t xml:space="preserve">People Branch </w:t>
      </w:r>
      <w:r w:rsidR="00D2530C">
        <w:t>-</w:t>
      </w:r>
      <w:r w:rsidR="00C81DC4">
        <w:t xml:space="preserve"> </w:t>
      </w:r>
      <w:r>
        <w:t xml:space="preserve">DEI Section | Support: </w:t>
      </w:r>
      <w:r w:rsidR="00990AEE">
        <w:t>Communication Branch</w:t>
      </w:r>
      <w:r>
        <w:t xml:space="preserve"> | Due: Nov 2025</w:t>
      </w:r>
    </w:p>
    <w:p w14:paraId="0E61F542" w14:textId="572221C7" w:rsidR="00EC58A2" w:rsidRDefault="00B46F7D" w:rsidP="00EC58A2">
      <w:pPr>
        <w:pStyle w:val="ListLegal1"/>
      </w:pPr>
      <w:r w:rsidRPr="000C1119">
        <w:rPr>
          <w:lang w:val="en-AU"/>
        </w:rPr>
        <w:t>Deliver a</w:t>
      </w:r>
      <w:r w:rsidR="004413A8">
        <w:rPr>
          <w:lang w:val="en-AU"/>
        </w:rPr>
        <w:t xml:space="preserve">t least 1 </w:t>
      </w:r>
      <w:r w:rsidRPr="000C1119">
        <w:rPr>
          <w:lang w:val="en-AU"/>
        </w:rPr>
        <w:t>all-staff event</w:t>
      </w:r>
      <w:r w:rsidR="004413A8">
        <w:rPr>
          <w:lang w:val="en-AU"/>
        </w:rPr>
        <w:t xml:space="preserve"> per network</w:t>
      </w:r>
      <w:r w:rsidRPr="000C1119">
        <w:rPr>
          <w:lang w:val="en-AU"/>
        </w:rPr>
        <w:t>, aligned with cultural observances or international days</w:t>
      </w:r>
      <w:r w:rsidR="00D92F6A">
        <w:rPr>
          <w:lang w:val="en-AU"/>
        </w:rPr>
        <w:t xml:space="preserve"> / months</w:t>
      </w:r>
      <w:r w:rsidR="00990AEE">
        <w:rPr>
          <w:lang w:val="en-AU"/>
        </w:rPr>
        <w:t>.</w:t>
      </w:r>
      <w:r w:rsidR="003B0A3C" w:rsidRPr="00EC58A2">
        <w:rPr>
          <w:i/>
          <w:color w:val="808080" w:themeColor="background1" w:themeShade="80"/>
          <w:lang w:val="en-AU"/>
        </w:rPr>
        <w:t xml:space="preserve"> </w:t>
      </w:r>
      <w:r w:rsidR="00EC58A2" w:rsidRPr="00EC58A2">
        <w:rPr>
          <w:b w:val="0"/>
          <w:i/>
          <w:color w:val="595959" w:themeColor="text1" w:themeTint="A6"/>
          <w:lang w:val="en-AU"/>
        </w:rPr>
        <w:t>Continuing initiative.</w:t>
      </w:r>
    </w:p>
    <w:p w14:paraId="15E4077E" w14:textId="6C0CC33C" w:rsidR="00B46F7D" w:rsidRDefault="00B46F7D" w:rsidP="00EC58A2">
      <w:pPr>
        <w:pStyle w:val="ListNumbered1"/>
      </w:pPr>
      <w:r>
        <w:t xml:space="preserve">Lead: Diversity Networks | Support: </w:t>
      </w:r>
      <w:r w:rsidR="00B241FA">
        <w:t xml:space="preserve">Communication Branch - </w:t>
      </w:r>
      <w:r>
        <w:t>Internal Comm</w:t>
      </w:r>
      <w:r w:rsidR="004848C1">
        <w:t>unications Section</w:t>
      </w:r>
      <w:r>
        <w:t xml:space="preserve"> | Due: Jun 2026</w:t>
      </w:r>
    </w:p>
    <w:p w14:paraId="430DB955" w14:textId="250C7B78" w:rsidR="00990AEE" w:rsidRPr="00990AEE" w:rsidRDefault="00990AEE" w:rsidP="00990AEE">
      <w:pPr>
        <w:pStyle w:val="ListLegal1"/>
        <w:rPr>
          <w:lang w:val="en-AU"/>
        </w:rPr>
      </w:pPr>
      <w:r w:rsidRPr="00990AEE">
        <w:rPr>
          <w:lang w:val="en-AU"/>
        </w:rPr>
        <w:t xml:space="preserve">Support portfolio staff to attend </w:t>
      </w:r>
      <w:r>
        <w:rPr>
          <w:lang w:val="en-AU"/>
        </w:rPr>
        <w:t xml:space="preserve">our all-staff events if agreed by </w:t>
      </w:r>
      <w:r w:rsidR="003B0A3C">
        <w:rPr>
          <w:lang w:val="en-AU"/>
        </w:rPr>
        <w:t xml:space="preserve">organising </w:t>
      </w:r>
      <w:r>
        <w:rPr>
          <w:lang w:val="en-AU"/>
        </w:rPr>
        <w:t>diversity network</w:t>
      </w:r>
      <w:r w:rsidRPr="00990AEE">
        <w:rPr>
          <w:lang w:val="en-AU"/>
        </w:rPr>
        <w:t>.</w:t>
      </w:r>
      <w:r w:rsidR="003B0A3C" w:rsidRPr="003B0A3C">
        <w:rPr>
          <w:b w:val="0"/>
          <w:i/>
          <w:color w:val="808080" w:themeColor="background1" w:themeShade="80"/>
          <w:lang w:val="en-AU"/>
        </w:rPr>
        <w:t xml:space="preserve"> </w:t>
      </w:r>
      <w:r w:rsidR="003B0A3C" w:rsidRPr="00EC58A2">
        <w:rPr>
          <w:b w:val="0"/>
          <w:i/>
          <w:color w:val="595959" w:themeColor="text1" w:themeTint="A6"/>
          <w:lang w:val="en-AU"/>
        </w:rPr>
        <w:t>New initiative.</w:t>
      </w:r>
    </w:p>
    <w:p w14:paraId="008BBBC3" w14:textId="5D524224" w:rsidR="00990AEE" w:rsidRDefault="00990AEE" w:rsidP="002F73C3">
      <w:pPr>
        <w:pStyle w:val="ListNumbered1"/>
      </w:pPr>
      <w:r>
        <w:t xml:space="preserve">Lead: </w:t>
      </w:r>
      <w:r w:rsidR="00C81DC4">
        <w:t xml:space="preserve">People Branch </w:t>
      </w:r>
      <w:r w:rsidR="00D2530C">
        <w:t>-</w:t>
      </w:r>
      <w:r w:rsidR="00C81DC4">
        <w:t xml:space="preserve"> </w:t>
      </w:r>
      <w:r>
        <w:t>DEI Section | Support: Networks | Due: Jun 2026</w:t>
      </w:r>
    </w:p>
    <w:p w14:paraId="67F34825" w14:textId="037457BE" w:rsidR="00B46F7D" w:rsidRPr="000C1119" w:rsidRDefault="00B46F7D" w:rsidP="000C1119">
      <w:pPr>
        <w:pStyle w:val="ListLegal1"/>
        <w:rPr>
          <w:lang w:val="en-AU"/>
        </w:rPr>
      </w:pPr>
      <w:r w:rsidRPr="000C1119">
        <w:rPr>
          <w:lang w:val="en-AU"/>
        </w:rPr>
        <w:t xml:space="preserve">Each diversity network </w:t>
      </w:r>
      <w:r w:rsidR="00990AEE">
        <w:rPr>
          <w:lang w:val="en-AU"/>
        </w:rPr>
        <w:t>to h</w:t>
      </w:r>
      <w:r w:rsidRPr="000C1119">
        <w:rPr>
          <w:lang w:val="en-AU"/>
        </w:rPr>
        <w:t xml:space="preserve">ost at least </w:t>
      </w:r>
      <w:r w:rsidR="00E00BF8">
        <w:rPr>
          <w:lang w:val="en-AU"/>
        </w:rPr>
        <w:t>1</w:t>
      </w:r>
      <w:r w:rsidRPr="000C1119">
        <w:rPr>
          <w:lang w:val="en-AU"/>
        </w:rPr>
        <w:t xml:space="preserve"> community-building activity.</w:t>
      </w:r>
      <w:r w:rsidR="003B0A3C" w:rsidRPr="003B0A3C">
        <w:rPr>
          <w:b w:val="0"/>
          <w:i/>
          <w:color w:val="808080" w:themeColor="background1" w:themeShade="80"/>
          <w:lang w:val="en-AU"/>
        </w:rPr>
        <w:t xml:space="preserve"> </w:t>
      </w:r>
      <w:r w:rsidR="003B0A3C" w:rsidRPr="00EC58A2">
        <w:rPr>
          <w:b w:val="0"/>
          <w:i/>
          <w:color w:val="595959" w:themeColor="text1" w:themeTint="A6"/>
          <w:lang w:val="en-AU"/>
        </w:rPr>
        <w:t>Continuing initiative.</w:t>
      </w:r>
    </w:p>
    <w:p w14:paraId="7B239A77" w14:textId="77777777" w:rsidR="00B46F7D" w:rsidRDefault="00B46F7D" w:rsidP="002F73C3">
      <w:pPr>
        <w:pStyle w:val="ListNumbered1"/>
      </w:pPr>
      <w:r>
        <w:t>Lead: Diversity Networks | Due: Jun 2026</w:t>
      </w:r>
    </w:p>
    <w:p w14:paraId="1B142170" w14:textId="5251E9EB" w:rsidR="00B46F7D" w:rsidRPr="00990AEE" w:rsidRDefault="00B46F7D" w:rsidP="00990AEE">
      <w:pPr>
        <w:pStyle w:val="ListLegal1"/>
        <w:rPr>
          <w:lang w:val="en-AU"/>
        </w:rPr>
      </w:pPr>
      <w:r w:rsidRPr="00990AEE">
        <w:rPr>
          <w:lang w:val="en-AU"/>
        </w:rPr>
        <w:t>Hold quarterly co-chair meetings</w:t>
      </w:r>
      <w:r w:rsidR="00990AEE">
        <w:rPr>
          <w:lang w:val="en-AU"/>
        </w:rPr>
        <w:t xml:space="preserve"> with internal communications and DEI Section </w:t>
      </w:r>
      <w:r w:rsidRPr="00990AEE">
        <w:rPr>
          <w:lang w:val="en-AU"/>
        </w:rPr>
        <w:t>to strengthen collaboration and drive intersectional initiatives.</w:t>
      </w:r>
      <w:r w:rsidR="003B0A3C" w:rsidRPr="003B0A3C">
        <w:rPr>
          <w:b w:val="0"/>
          <w:i/>
          <w:color w:val="808080" w:themeColor="background1" w:themeShade="80"/>
          <w:lang w:val="en-AU"/>
        </w:rPr>
        <w:t xml:space="preserve"> </w:t>
      </w:r>
      <w:r w:rsidR="003B0A3C" w:rsidRPr="00EC58A2">
        <w:rPr>
          <w:b w:val="0"/>
          <w:i/>
          <w:color w:val="595959" w:themeColor="text1" w:themeTint="A6"/>
          <w:lang w:val="en-AU"/>
        </w:rPr>
        <w:t>Reinstated initiative.</w:t>
      </w:r>
    </w:p>
    <w:p w14:paraId="6E538333" w14:textId="37C0492D" w:rsidR="00B46F7D" w:rsidRDefault="00B46F7D" w:rsidP="002F73C3">
      <w:pPr>
        <w:pStyle w:val="ListNumbered1"/>
      </w:pPr>
      <w:r>
        <w:t xml:space="preserve">Lead: </w:t>
      </w:r>
      <w:r w:rsidR="00C81DC4">
        <w:t xml:space="preserve">People Branch </w:t>
      </w:r>
      <w:r w:rsidR="00D2530C">
        <w:t>-</w:t>
      </w:r>
      <w:r w:rsidR="00C81DC4">
        <w:t xml:space="preserve"> </w:t>
      </w:r>
      <w:r>
        <w:t>DEI Section | Due: Quarterly</w:t>
      </w:r>
    </w:p>
    <w:p w14:paraId="37B0FE5A" w14:textId="672C8B8B" w:rsidR="00B46F7D" w:rsidRPr="00990AEE" w:rsidRDefault="00990AEE" w:rsidP="00990AEE">
      <w:pPr>
        <w:pStyle w:val="ListLegal1"/>
        <w:rPr>
          <w:lang w:val="en-AU"/>
        </w:rPr>
      </w:pPr>
      <w:r w:rsidRPr="00990AEE">
        <w:rPr>
          <w:lang w:val="en-AU"/>
        </w:rPr>
        <w:t>B</w:t>
      </w:r>
      <w:r w:rsidR="00B46F7D" w:rsidRPr="00990AEE">
        <w:rPr>
          <w:lang w:val="en-AU"/>
        </w:rPr>
        <w:t xml:space="preserve">uild on </w:t>
      </w:r>
      <w:r w:rsidRPr="00990AEE">
        <w:rPr>
          <w:lang w:val="en-AU"/>
        </w:rPr>
        <w:t xml:space="preserve">the success of the </w:t>
      </w:r>
      <w:r w:rsidR="00B46F7D" w:rsidRPr="008E2FE4">
        <w:rPr>
          <w:i/>
          <w:lang w:val="en-AU"/>
        </w:rPr>
        <w:t>Stories That Shape Us</w:t>
      </w:r>
      <w:r w:rsidR="00B46F7D" w:rsidRPr="00990AEE">
        <w:rPr>
          <w:lang w:val="en-AU"/>
        </w:rPr>
        <w:t xml:space="preserve"> and </w:t>
      </w:r>
      <w:r w:rsidR="00B46F7D" w:rsidRPr="008E2FE4">
        <w:rPr>
          <w:i/>
          <w:lang w:val="en-AU"/>
        </w:rPr>
        <w:t>Just Ask</w:t>
      </w:r>
      <w:r w:rsidRPr="00990AEE">
        <w:rPr>
          <w:lang w:val="en-AU"/>
        </w:rPr>
        <w:t xml:space="preserve"> videos, </w:t>
      </w:r>
      <w:r w:rsidR="004848C1">
        <w:rPr>
          <w:lang w:val="en-AU"/>
        </w:rPr>
        <w:t xml:space="preserve">and </w:t>
      </w:r>
      <w:r w:rsidRPr="00990AEE">
        <w:rPr>
          <w:lang w:val="en-AU"/>
        </w:rPr>
        <w:t>deliver a lived experience storytelling initiative</w:t>
      </w:r>
      <w:r w:rsidR="005963C4">
        <w:rPr>
          <w:lang w:val="en-AU"/>
        </w:rPr>
        <w:t xml:space="preserve"> or event</w:t>
      </w:r>
      <w:r>
        <w:rPr>
          <w:lang w:val="en-AU"/>
        </w:rPr>
        <w:t>.</w:t>
      </w:r>
      <w:r w:rsidRPr="00990AEE">
        <w:rPr>
          <w:lang w:val="en-AU"/>
        </w:rPr>
        <w:t xml:space="preserve"> </w:t>
      </w:r>
      <w:r w:rsidR="003B0A3C" w:rsidRPr="00EC58A2">
        <w:rPr>
          <w:b w:val="0"/>
          <w:i/>
          <w:color w:val="595959" w:themeColor="text1" w:themeTint="A6"/>
          <w:lang w:val="en-AU"/>
        </w:rPr>
        <w:t>Continuing initiative.</w:t>
      </w:r>
    </w:p>
    <w:p w14:paraId="1C1A920C" w14:textId="6FEDA429" w:rsidR="00B46F7D" w:rsidRDefault="00B46F7D" w:rsidP="002F73C3">
      <w:pPr>
        <w:pStyle w:val="ListNumbered1"/>
      </w:pPr>
      <w:r>
        <w:t xml:space="preserve">Lead: </w:t>
      </w:r>
      <w:r w:rsidR="00B241FA">
        <w:t xml:space="preserve">Communication Branch - Internal Communications Section </w:t>
      </w:r>
      <w:r>
        <w:t>| Support: Diversity Networks | Due: Jun 2026</w:t>
      </w:r>
    </w:p>
    <w:p w14:paraId="740E91BB" w14:textId="77777777" w:rsidR="00990AEE" w:rsidRDefault="00990AEE" w:rsidP="002C656B">
      <w:pPr>
        <w:pStyle w:val="Heading2"/>
      </w:pPr>
      <w:r>
        <w:t>Pillar 3: Contributing</w:t>
      </w:r>
    </w:p>
    <w:p w14:paraId="6DF9B289" w14:textId="77777777" w:rsidR="00990AEE" w:rsidRPr="00226525" w:rsidRDefault="00990AEE" w:rsidP="00990AEE">
      <w:pPr>
        <w:pStyle w:val="Box2Heading"/>
        <w:rPr>
          <w:lang w:val="en-AU"/>
        </w:rPr>
      </w:pPr>
      <w:r w:rsidRPr="00226525">
        <w:rPr>
          <w:lang w:val="en-AU"/>
        </w:rPr>
        <w:t>We will consult with staff to obtain input from staff on matters relevant to their work and lived experience.</w:t>
      </w:r>
    </w:p>
    <w:p w14:paraId="1F431880" w14:textId="77777777" w:rsidR="00990AEE" w:rsidRPr="00990AEE" w:rsidRDefault="00990AEE" w:rsidP="0023777A">
      <w:pPr>
        <w:pStyle w:val="Introduction"/>
      </w:pPr>
      <w:r w:rsidRPr="00677942">
        <w:t>How we will achieve this:</w:t>
      </w:r>
    </w:p>
    <w:p w14:paraId="0324E4F0" w14:textId="0043A269" w:rsidR="00B46F7D" w:rsidRPr="00990AEE" w:rsidRDefault="00B46F7D" w:rsidP="00990AEE">
      <w:pPr>
        <w:pStyle w:val="ListLegal1"/>
        <w:rPr>
          <w:lang w:val="en-AU"/>
        </w:rPr>
      </w:pPr>
      <w:bookmarkStart w:id="11" w:name="_Hlk204601529"/>
      <w:r w:rsidRPr="00990AEE">
        <w:rPr>
          <w:lang w:val="en-AU"/>
        </w:rPr>
        <w:t xml:space="preserve">Deliver an annual report to the </w:t>
      </w:r>
      <w:r w:rsidR="00D92F6A">
        <w:rPr>
          <w:lang w:val="en-AU"/>
        </w:rPr>
        <w:t>DEI</w:t>
      </w:r>
      <w:r w:rsidRPr="00990AEE">
        <w:rPr>
          <w:lang w:val="en-AU"/>
        </w:rPr>
        <w:t xml:space="preserve"> Committee outlining how lived experience and subject matter expertise shaped employment policies and practices.</w:t>
      </w:r>
      <w:r w:rsidR="003B0A3C" w:rsidRPr="003B0A3C">
        <w:rPr>
          <w:b w:val="0"/>
          <w:i/>
          <w:color w:val="808080" w:themeColor="background1" w:themeShade="80"/>
          <w:lang w:val="en-AU"/>
        </w:rPr>
        <w:t xml:space="preserve"> </w:t>
      </w:r>
      <w:r w:rsidR="003B0A3C" w:rsidRPr="00EC58A2">
        <w:rPr>
          <w:b w:val="0"/>
          <w:i/>
          <w:color w:val="595959" w:themeColor="text1" w:themeTint="A6"/>
          <w:lang w:val="en-AU"/>
        </w:rPr>
        <w:t>New initiative.</w:t>
      </w:r>
    </w:p>
    <w:p w14:paraId="396F8C00" w14:textId="5D85F142" w:rsidR="00B46F7D" w:rsidRDefault="00B46F7D" w:rsidP="002F73C3">
      <w:pPr>
        <w:pStyle w:val="ListNumbered1"/>
      </w:pPr>
      <w:r>
        <w:t xml:space="preserve">Lead: </w:t>
      </w:r>
      <w:r w:rsidR="00664FF7">
        <w:t xml:space="preserve">People Branch </w:t>
      </w:r>
      <w:r>
        <w:t xml:space="preserve">Policy Owners | Reporting: </w:t>
      </w:r>
      <w:r w:rsidR="000B665E">
        <w:t xml:space="preserve">Employment Policies and Procedures Update Program Manager </w:t>
      </w:r>
      <w:r>
        <w:t>| Due: Jun 2026</w:t>
      </w:r>
    </w:p>
    <w:p w14:paraId="3EAE39E4" w14:textId="3764EED9" w:rsidR="00B46F7D" w:rsidRPr="00990AEE" w:rsidRDefault="00B46F7D" w:rsidP="00990AEE">
      <w:pPr>
        <w:pStyle w:val="ListLegal1"/>
        <w:rPr>
          <w:lang w:val="en-AU"/>
        </w:rPr>
      </w:pPr>
      <w:r w:rsidRPr="00990AEE">
        <w:rPr>
          <w:lang w:val="en-AU"/>
        </w:rPr>
        <w:t>Consult diversity networks on workplace design and future of work initiatives</w:t>
      </w:r>
      <w:r w:rsidR="00990AEE">
        <w:rPr>
          <w:lang w:val="en-AU"/>
        </w:rPr>
        <w:t>, and explain how their input informed decision-making</w:t>
      </w:r>
      <w:r w:rsidRPr="00990AEE">
        <w:rPr>
          <w:lang w:val="en-AU"/>
        </w:rPr>
        <w:t>.</w:t>
      </w:r>
      <w:r w:rsidR="003B0A3C" w:rsidRPr="003B0A3C">
        <w:rPr>
          <w:b w:val="0"/>
          <w:i/>
          <w:color w:val="808080" w:themeColor="background1" w:themeShade="80"/>
          <w:lang w:val="en-AU"/>
        </w:rPr>
        <w:t xml:space="preserve"> </w:t>
      </w:r>
      <w:bookmarkEnd w:id="11"/>
      <w:r w:rsidR="003B0A3C" w:rsidRPr="00EC58A2">
        <w:rPr>
          <w:b w:val="0"/>
          <w:i/>
          <w:color w:val="595959" w:themeColor="text1" w:themeTint="A6"/>
          <w:lang w:val="en-AU"/>
        </w:rPr>
        <w:t>Continuing initiative.</w:t>
      </w:r>
    </w:p>
    <w:p w14:paraId="3CEFC14F" w14:textId="5DF8056F" w:rsidR="00B46F7D" w:rsidRDefault="00B46F7D" w:rsidP="002F73C3">
      <w:pPr>
        <w:pStyle w:val="ListNumbered1"/>
      </w:pPr>
      <w:r>
        <w:t xml:space="preserve">Lead: </w:t>
      </w:r>
      <w:r w:rsidR="00D12F0F">
        <w:t>Future Workplaces Team</w:t>
      </w:r>
      <w:r>
        <w:t xml:space="preserve"> | Due: Ongoing</w:t>
      </w:r>
    </w:p>
    <w:p w14:paraId="092F0F16" w14:textId="0E0E70C8" w:rsidR="00B46F7D" w:rsidRDefault="00B46F7D" w:rsidP="002C656B">
      <w:pPr>
        <w:pStyle w:val="Heading1"/>
      </w:pPr>
      <w:r>
        <w:t>Tracking and Reporting Progress</w:t>
      </w:r>
    </w:p>
    <w:p w14:paraId="308E73A7" w14:textId="2ED8DA03" w:rsidR="005963C4" w:rsidRPr="00BF7454" w:rsidRDefault="005963C4" w:rsidP="005963C4">
      <w:r w:rsidRPr="00BF7454">
        <w:t xml:space="preserve">This roadmap </w:t>
      </w:r>
      <w:r>
        <w:t xml:space="preserve">is </w:t>
      </w:r>
      <w:r w:rsidRPr="00BF7454">
        <w:t xml:space="preserve">the </w:t>
      </w:r>
      <w:r>
        <w:t xml:space="preserve">department’s primary </w:t>
      </w:r>
      <w:r w:rsidRPr="00BF7454">
        <w:t>DEI</w:t>
      </w:r>
      <w:r>
        <w:t xml:space="preserve"> </w:t>
      </w:r>
      <w:r w:rsidRPr="00BF7454">
        <w:t>reporting tool. It brings together key metrics, evaluation mechanisms</w:t>
      </w:r>
      <w:r>
        <w:t xml:space="preserve"> and governance </w:t>
      </w:r>
      <w:r w:rsidRPr="00BF7454">
        <w:t>oversight.</w:t>
      </w:r>
      <w:r w:rsidR="00F828A2">
        <w:t xml:space="preserve"> </w:t>
      </w:r>
      <w:r w:rsidRPr="00BF7454">
        <w:t>Progress will be informed by:</w:t>
      </w:r>
    </w:p>
    <w:p w14:paraId="63F78A82" w14:textId="77777777" w:rsidR="005963C4" w:rsidRPr="00BF7454" w:rsidRDefault="005963C4" w:rsidP="005963C4">
      <w:pPr>
        <w:pStyle w:val="Bullet1"/>
      </w:pPr>
      <w:r w:rsidRPr="00BF7454">
        <w:t>The DCA Inclusive Employer Index</w:t>
      </w:r>
    </w:p>
    <w:p w14:paraId="2A8989F3" w14:textId="77777777" w:rsidR="005963C4" w:rsidRPr="00BF7454" w:rsidRDefault="005963C4" w:rsidP="005963C4">
      <w:pPr>
        <w:pStyle w:val="Bullet1"/>
      </w:pPr>
      <w:r w:rsidRPr="00BF7454">
        <w:t>APS Employee Census results</w:t>
      </w:r>
    </w:p>
    <w:p w14:paraId="797DF841" w14:textId="77777777" w:rsidR="005963C4" w:rsidRPr="00BF7454" w:rsidRDefault="005963C4" w:rsidP="005963C4">
      <w:pPr>
        <w:pStyle w:val="Bullet1"/>
      </w:pPr>
      <w:r w:rsidRPr="00BF7454">
        <w:t>Internal workforce analytics</w:t>
      </w:r>
    </w:p>
    <w:p w14:paraId="6D62838D" w14:textId="77777777" w:rsidR="00B46F7D" w:rsidRDefault="00B46F7D" w:rsidP="00B46F7D">
      <w:r>
        <w:t>To maintain transparency and accountability, we will:</w:t>
      </w:r>
    </w:p>
    <w:p w14:paraId="467800C3" w14:textId="2FD21CFD" w:rsidR="00176BF2" w:rsidRPr="00F828A2" w:rsidRDefault="00176BF2" w:rsidP="00F828A2">
      <w:pPr>
        <w:pStyle w:val="ListLegal1"/>
        <w:rPr>
          <w:lang w:val="en-AU"/>
        </w:rPr>
      </w:pPr>
      <w:r w:rsidRPr="00F828A2">
        <w:rPr>
          <w:lang w:val="en-AU"/>
        </w:rPr>
        <w:t xml:space="preserve">Hold quarterly </w:t>
      </w:r>
      <w:r w:rsidR="00D92F6A">
        <w:rPr>
          <w:lang w:val="en-AU"/>
        </w:rPr>
        <w:t>DEI</w:t>
      </w:r>
      <w:r w:rsidRPr="00F828A2">
        <w:rPr>
          <w:lang w:val="en-AU"/>
        </w:rPr>
        <w:t xml:space="preserve"> Committee meetings, with minutes and actions tracked. </w:t>
      </w:r>
      <w:r w:rsidR="003B0A3C" w:rsidRPr="00EC58A2">
        <w:rPr>
          <w:b w:val="0"/>
          <w:i/>
          <w:color w:val="595959" w:themeColor="text1" w:themeTint="A6"/>
          <w:lang w:val="en-AU"/>
        </w:rPr>
        <w:t>Continuing initiative.</w:t>
      </w:r>
    </w:p>
    <w:p w14:paraId="04C21083" w14:textId="090254D7" w:rsidR="00176BF2" w:rsidRDefault="00176BF2" w:rsidP="002F73C3">
      <w:pPr>
        <w:pStyle w:val="ListNumbered1"/>
      </w:pPr>
      <w:r>
        <w:t xml:space="preserve">Lead: </w:t>
      </w:r>
      <w:r w:rsidR="00C81DC4">
        <w:t xml:space="preserve">People Branch </w:t>
      </w:r>
      <w:r w:rsidR="00D2530C">
        <w:t>-</w:t>
      </w:r>
      <w:r w:rsidR="00C81DC4">
        <w:t xml:space="preserve"> </w:t>
      </w:r>
      <w:r>
        <w:t>DEI Section | Due: Jun 2026</w:t>
      </w:r>
    </w:p>
    <w:p w14:paraId="39EF4E05" w14:textId="69EEE1B4" w:rsidR="00E00BF8" w:rsidRPr="00F828A2" w:rsidRDefault="00B46F7D" w:rsidP="00E00BF8">
      <w:pPr>
        <w:pStyle w:val="ListLegal1"/>
        <w:rPr>
          <w:lang w:val="en-AU"/>
        </w:rPr>
      </w:pPr>
      <w:r w:rsidRPr="00D12F0F">
        <w:rPr>
          <w:lang w:val="en-AU"/>
        </w:rPr>
        <w:t xml:space="preserve">Share an annual DEI progress report </w:t>
      </w:r>
      <w:r w:rsidR="00176BF2" w:rsidRPr="00D12F0F">
        <w:rPr>
          <w:lang w:val="en-AU"/>
        </w:rPr>
        <w:t xml:space="preserve">on </w:t>
      </w:r>
      <w:r w:rsidR="00E00BF8">
        <w:rPr>
          <w:lang w:val="en-AU"/>
        </w:rPr>
        <w:t xml:space="preserve">2025-26 </w:t>
      </w:r>
      <w:r w:rsidR="00176BF2" w:rsidRPr="00D12F0F">
        <w:rPr>
          <w:lang w:val="en-AU"/>
        </w:rPr>
        <w:t xml:space="preserve">roadmap delivery </w:t>
      </w:r>
      <w:r w:rsidRPr="00D12F0F">
        <w:rPr>
          <w:lang w:val="en-AU"/>
        </w:rPr>
        <w:t>with all staff to foster transparency and celebrate progress.</w:t>
      </w:r>
      <w:r w:rsidR="00D12F0F" w:rsidRPr="00D12F0F">
        <w:t xml:space="preserve"> </w:t>
      </w:r>
      <w:r w:rsidR="00E00BF8">
        <w:rPr>
          <w:b w:val="0"/>
          <w:i/>
          <w:color w:val="595959" w:themeColor="text1" w:themeTint="A6"/>
          <w:lang w:val="en-AU"/>
        </w:rPr>
        <w:t>New</w:t>
      </w:r>
      <w:r w:rsidR="00E00BF8" w:rsidRPr="00EC58A2">
        <w:rPr>
          <w:b w:val="0"/>
          <w:i/>
          <w:color w:val="595959" w:themeColor="text1" w:themeTint="A6"/>
          <w:lang w:val="en-AU"/>
        </w:rPr>
        <w:t xml:space="preserve"> initiative.</w:t>
      </w:r>
    </w:p>
    <w:p w14:paraId="3EDDB3E3" w14:textId="0F8A5FF7" w:rsidR="00B46F7D" w:rsidRDefault="00B46F7D" w:rsidP="002F73C3">
      <w:pPr>
        <w:pStyle w:val="ListNumbered1"/>
      </w:pPr>
      <w:r>
        <w:t xml:space="preserve">Lead: </w:t>
      </w:r>
      <w:r w:rsidR="00D92F6A">
        <w:t>DEI</w:t>
      </w:r>
      <w:r>
        <w:t xml:space="preserve"> Committee</w:t>
      </w:r>
      <w:r w:rsidR="00D12F0F">
        <w:t xml:space="preserve"> | Reporting Lead: People Branch </w:t>
      </w:r>
      <w:r w:rsidR="00D2530C">
        <w:t>-</w:t>
      </w:r>
      <w:r w:rsidR="00D12F0F">
        <w:t xml:space="preserve"> DEI Section | Due: Sep 2026</w:t>
      </w:r>
    </w:p>
    <w:p w14:paraId="170D181F" w14:textId="7F601080" w:rsidR="00D12F0F" w:rsidRPr="00F828A2" w:rsidRDefault="00D12F0F" w:rsidP="00D12F0F">
      <w:pPr>
        <w:pStyle w:val="ListLegal1"/>
        <w:rPr>
          <w:lang w:val="en-AU"/>
        </w:rPr>
      </w:pPr>
      <w:r>
        <w:rPr>
          <w:lang w:val="en-AU"/>
        </w:rPr>
        <w:t>Share</w:t>
      </w:r>
      <w:r w:rsidR="00B46F7D" w:rsidRPr="00F828A2">
        <w:rPr>
          <w:lang w:val="en-AU"/>
        </w:rPr>
        <w:t xml:space="preserve"> key diversity data, including APS Census</w:t>
      </w:r>
      <w:r>
        <w:rPr>
          <w:lang w:val="en-AU"/>
        </w:rPr>
        <w:t xml:space="preserve"> (action </w:t>
      </w:r>
      <w:r w:rsidR="00E00BF8">
        <w:rPr>
          <w:lang w:val="en-AU"/>
        </w:rPr>
        <w:t>2</w:t>
      </w:r>
      <w:r>
        <w:rPr>
          <w:lang w:val="en-AU"/>
        </w:rPr>
        <w:t>)</w:t>
      </w:r>
      <w:r w:rsidR="00B46F7D" w:rsidRPr="00F828A2">
        <w:rPr>
          <w:lang w:val="en-AU"/>
        </w:rPr>
        <w:t xml:space="preserve"> and DCA results</w:t>
      </w:r>
      <w:r>
        <w:rPr>
          <w:lang w:val="en-AU"/>
        </w:rPr>
        <w:t xml:space="preserve"> (action </w:t>
      </w:r>
      <w:r w:rsidR="00E00BF8">
        <w:rPr>
          <w:lang w:val="en-AU"/>
        </w:rPr>
        <w:t>8</w:t>
      </w:r>
      <w:r>
        <w:rPr>
          <w:lang w:val="en-AU"/>
        </w:rPr>
        <w:t>)</w:t>
      </w:r>
      <w:r w:rsidR="00B46F7D" w:rsidRPr="00F828A2">
        <w:rPr>
          <w:lang w:val="en-AU"/>
        </w:rPr>
        <w:t>, with all staff.</w:t>
      </w:r>
      <w:r w:rsidRPr="00D12F0F">
        <w:rPr>
          <w:b w:val="0"/>
          <w:i/>
          <w:color w:val="808080" w:themeColor="background1" w:themeShade="80"/>
          <w:lang w:val="en-AU"/>
        </w:rPr>
        <w:t xml:space="preserve"> </w:t>
      </w:r>
      <w:r w:rsidRPr="00EC58A2">
        <w:rPr>
          <w:b w:val="0"/>
          <w:i/>
          <w:color w:val="595959" w:themeColor="text1" w:themeTint="A6"/>
          <w:lang w:val="en-AU"/>
        </w:rPr>
        <w:t>Continuing initiative.</w:t>
      </w:r>
    </w:p>
    <w:p w14:paraId="4E16EF60" w14:textId="4B053D35" w:rsidR="00B46F7D" w:rsidRDefault="00B46F7D" w:rsidP="002F73C3">
      <w:pPr>
        <w:pStyle w:val="ListNumbered1"/>
      </w:pPr>
      <w:r>
        <w:t xml:space="preserve">Lead: People Branch </w:t>
      </w:r>
      <w:r w:rsidR="00D2530C">
        <w:t>-</w:t>
      </w:r>
      <w:r>
        <w:t xml:space="preserve"> DEI Section</w:t>
      </w:r>
      <w:r w:rsidR="00E00BF8">
        <w:t xml:space="preserve"> | Due: </w:t>
      </w:r>
      <w:r w:rsidR="00815008">
        <w:t>April</w:t>
      </w:r>
      <w:r w:rsidR="00E00BF8">
        <w:t xml:space="preserve"> 2026</w:t>
      </w:r>
    </w:p>
    <w:p w14:paraId="6166F905" w14:textId="77777777" w:rsidR="006E2A0E" w:rsidRDefault="006E2A0E" w:rsidP="002C656B">
      <w:pPr>
        <w:pStyle w:val="Heading1"/>
      </w:pPr>
      <w:r w:rsidRPr="00952928">
        <w:t>Document Control</w:t>
      </w:r>
    </w:p>
    <w:p w14:paraId="466C2F79" w14:textId="77777777" w:rsidR="006E2A0E" w:rsidRDefault="006E2A0E" w:rsidP="00B30CB8">
      <w:r>
        <w:t>Refer to the following table for the approver and latest version of this document.</w:t>
      </w:r>
    </w:p>
    <w:tbl>
      <w:tblPr>
        <w:tblStyle w:val="DefaultTable1"/>
        <w:tblW w:w="5000" w:type="pct"/>
        <w:tblLook w:val="04A0" w:firstRow="1" w:lastRow="0" w:firstColumn="1" w:lastColumn="0" w:noHBand="0" w:noVBand="1"/>
      </w:tblPr>
      <w:tblGrid>
        <w:gridCol w:w="1198"/>
        <w:gridCol w:w="1592"/>
        <w:gridCol w:w="2456"/>
        <w:gridCol w:w="4618"/>
      </w:tblGrid>
      <w:tr w:rsidR="006E2A0E" w14:paraId="674F5F8E" w14:textId="77777777" w:rsidTr="00E16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hideMark/>
          </w:tcPr>
          <w:p w14:paraId="3F661C0F" w14:textId="77777777" w:rsidR="006E2A0E" w:rsidRDefault="006E2A0E" w:rsidP="00B30CB8">
            <w:pPr>
              <w:rPr>
                <w:b w:val="0"/>
                <w:bCs/>
                <w:color w:val="FFFFFF"/>
              </w:rPr>
            </w:pPr>
            <w:bookmarkStart w:id="12" w:name="_Hlk202951101"/>
            <w:r>
              <w:rPr>
                <w:bCs/>
                <w:color w:val="FFFFFF"/>
              </w:rPr>
              <w:t>Version</w:t>
            </w:r>
          </w:p>
        </w:tc>
        <w:tc>
          <w:tcPr>
            <w:tcW w:w="807" w:type="pct"/>
            <w:hideMark/>
          </w:tcPr>
          <w:p w14:paraId="4B4F42E4" w14:textId="77777777" w:rsidR="006E2A0E" w:rsidRDefault="006E2A0E" w:rsidP="00B30CB8">
            <w:pPr>
              <w:cnfStyle w:val="100000000000" w:firstRow="1" w:lastRow="0" w:firstColumn="0" w:lastColumn="0" w:oddVBand="0" w:evenVBand="0" w:oddHBand="0" w:evenHBand="0" w:firstRowFirstColumn="0" w:firstRowLastColumn="0" w:lastRowFirstColumn="0" w:lastRowLastColumn="0"/>
              <w:rPr>
                <w:b w:val="0"/>
                <w:bCs/>
                <w:color w:val="FFFFFF"/>
              </w:rPr>
            </w:pPr>
            <w:r>
              <w:rPr>
                <w:bCs/>
                <w:color w:val="FFFFFF"/>
              </w:rPr>
              <w:t>Release date</w:t>
            </w:r>
          </w:p>
        </w:tc>
        <w:tc>
          <w:tcPr>
            <w:tcW w:w="1245" w:type="pct"/>
            <w:hideMark/>
          </w:tcPr>
          <w:p w14:paraId="3AC5FDB2" w14:textId="77777777" w:rsidR="006E2A0E" w:rsidRDefault="006E2A0E" w:rsidP="00B30CB8">
            <w:pPr>
              <w:cnfStyle w:val="100000000000" w:firstRow="1" w:lastRow="0" w:firstColumn="0" w:lastColumn="0" w:oddVBand="0" w:evenVBand="0" w:oddHBand="0" w:evenHBand="0" w:firstRowFirstColumn="0" w:firstRowLastColumn="0" w:lastRowFirstColumn="0" w:lastRowLastColumn="0"/>
              <w:rPr>
                <w:b w:val="0"/>
                <w:bCs/>
                <w:color w:val="FFFFFF"/>
              </w:rPr>
            </w:pPr>
            <w:r>
              <w:rPr>
                <w:bCs/>
                <w:color w:val="FFFFFF"/>
              </w:rPr>
              <w:t>Approver</w:t>
            </w:r>
          </w:p>
        </w:tc>
        <w:tc>
          <w:tcPr>
            <w:tcW w:w="2341" w:type="pct"/>
            <w:hideMark/>
          </w:tcPr>
          <w:p w14:paraId="58A25979" w14:textId="77777777" w:rsidR="006E2A0E" w:rsidRDefault="006E2A0E" w:rsidP="00B30CB8">
            <w:pPr>
              <w:cnfStyle w:val="100000000000" w:firstRow="1" w:lastRow="0" w:firstColumn="0" w:lastColumn="0" w:oddVBand="0" w:evenVBand="0" w:oddHBand="0" w:evenHBand="0" w:firstRowFirstColumn="0" w:firstRowLastColumn="0" w:lastRowFirstColumn="0" w:lastRowLastColumn="0"/>
              <w:rPr>
                <w:b w:val="0"/>
                <w:bCs/>
                <w:color w:val="FFFFFF"/>
              </w:rPr>
            </w:pPr>
            <w:r>
              <w:rPr>
                <w:bCs/>
                <w:color w:val="FFFFFF"/>
              </w:rPr>
              <w:t>Reason for update</w:t>
            </w:r>
          </w:p>
        </w:tc>
      </w:tr>
      <w:tr w:rsidR="00A82ADA" w14:paraId="15D5F874" w14:textId="77777777" w:rsidTr="00A82ADA">
        <w:tc>
          <w:tcPr>
            <w:cnfStyle w:val="001000000000" w:firstRow="0" w:lastRow="0" w:firstColumn="1" w:lastColumn="0" w:oddVBand="0" w:evenVBand="0" w:oddHBand="0" w:evenHBand="0" w:firstRowFirstColumn="0" w:firstRowLastColumn="0" w:lastRowFirstColumn="0" w:lastRowLastColumn="0"/>
            <w:tcW w:w="607" w:type="pct"/>
          </w:tcPr>
          <w:p w14:paraId="4C220BB3" w14:textId="7C8E61E9" w:rsidR="00A82ADA" w:rsidRDefault="00A82ADA" w:rsidP="00A82ADA">
            <w:pPr>
              <w:rPr>
                <w:b w:val="0"/>
                <w:bCs/>
                <w:color w:val="000000"/>
              </w:rPr>
            </w:pPr>
            <w:r>
              <w:rPr>
                <w:b w:val="0"/>
                <w:bCs/>
                <w:color w:val="000000"/>
              </w:rPr>
              <w:t>1.0</w:t>
            </w:r>
          </w:p>
        </w:tc>
        <w:tc>
          <w:tcPr>
            <w:tcW w:w="807" w:type="pct"/>
          </w:tcPr>
          <w:p w14:paraId="5127B24F" w14:textId="0AC4C2C0" w:rsidR="00A82ADA" w:rsidRDefault="00A82ADA" w:rsidP="00A82ADA">
            <w:pPr>
              <w:cnfStyle w:val="000000000000" w:firstRow="0" w:lastRow="0" w:firstColumn="0" w:lastColumn="0" w:oddVBand="0" w:evenVBand="0" w:oddHBand="0" w:evenHBand="0" w:firstRowFirstColumn="0" w:firstRowLastColumn="0" w:lastRowFirstColumn="0" w:lastRowLastColumn="0"/>
              <w:rPr>
                <w:color w:val="000000"/>
              </w:rPr>
            </w:pPr>
            <w:r>
              <w:rPr>
                <w:color w:val="000000"/>
              </w:rPr>
              <w:t>July 2025</w:t>
            </w:r>
          </w:p>
        </w:tc>
        <w:tc>
          <w:tcPr>
            <w:tcW w:w="1245" w:type="pct"/>
          </w:tcPr>
          <w:p w14:paraId="7AF06A32" w14:textId="65C4CCBF" w:rsidR="00A82ADA" w:rsidRDefault="003103FC" w:rsidP="00A82ADA">
            <w:pPr>
              <w:cnfStyle w:val="000000000000" w:firstRow="0" w:lastRow="0" w:firstColumn="0" w:lastColumn="0" w:oddVBand="0" w:evenVBand="0" w:oddHBand="0" w:evenHBand="0" w:firstRowFirstColumn="0" w:firstRowLastColumn="0" w:lastRowFirstColumn="0" w:lastRowLastColumn="0"/>
              <w:rPr>
                <w:color w:val="000000"/>
              </w:rPr>
            </w:pPr>
            <w:r>
              <w:rPr>
                <w:color w:val="000000"/>
              </w:rPr>
              <w:t>Jess Hall, Diversity Lead Champion</w:t>
            </w:r>
          </w:p>
        </w:tc>
        <w:tc>
          <w:tcPr>
            <w:tcW w:w="2341" w:type="pct"/>
          </w:tcPr>
          <w:p w14:paraId="7426F6C6" w14:textId="0E0C0EEF" w:rsidR="00A82ADA" w:rsidRDefault="003103FC" w:rsidP="00A82ADA">
            <w:pPr>
              <w:cnfStyle w:val="000000000000" w:firstRow="0" w:lastRow="0" w:firstColumn="0" w:lastColumn="0" w:oddVBand="0" w:evenVBand="0" w:oddHBand="0" w:evenHBand="0" w:firstRowFirstColumn="0" w:firstRowLastColumn="0" w:lastRowFirstColumn="0" w:lastRowLastColumn="0"/>
              <w:rPr>
                <w:color w:val="000000"/>
              </w:rPr>
            </w:pPr>
            <w:r>
              <w:rPr>
                <w:color w:val="000000"/>
              </w:rPr>
              <w:t>Approved version.</w:t>
            </w:r>
          </w:p>
        </w:tc>
      </w:tr>
      <w:tr w:rsidR="007738B2" w14:paraId="7C7ACF88" w14:textId="77777777" w:rsidTr="00EC58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14:paraId="052481EC" w14:textId="6F8CF064" w:rsidR="007738B2" w:rsidRDefault="00414220" w:rsidP="007738B2">
            <w:pPr>
              <w:rPr>
                <w:b w:val="0"/>
                <w:bCs/>
                <w:color w:val="000000"/>
              </w:rPr>
            </w:pPr>
            <w:r>
              <w:rPr>
                <w:b w:val="0"/>
                <w:bCs/>
                <w:color w:val="000000"/>
              </w:rPr>
              <w:t>0.5</w:t>
            </w:r>
          </w:p>
        </w:tc>
        <w:tc>
          <w:tcPr>
            <w:tcW w:w="807" w:type="pct"/>
          </w:tcPr>
          <w:p w14:paraId="6498DE5C" w14:textId="6749AA76" w:rsidR="007738B2" w:rsidRDefault="00883B98" w:rsidP="007738B2">
            <w:pPr>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24 </w:t>
            </w:r>
            <w:r w:rsidR="007738B2">
              <w:rPr>
                <w:color w:val="000000"/>
              </w:rPr>
              <w:t>June 2025</w:t>
            </w:r>
          </w:p>
        </w:tc>
        <w:tc>
          <w:tcPr>
            <w:tcW w:w="1245" w:type="pct"/>
          </w:tcPr>
          <w:p w14:paraId="57975684" w14:textId="14475106" w:rsidR="007738B2" w:rsidRDefault="007738B2" w:rsidP="007738B2">
            <w:pPr>
              <w:cnfStyle w:val="000000010000" w:firstRow="0" w:lastRow="0" w:firstColumn="0" w:lastColumn="0" w:oddVBand="0" w:evenVBand="0" w:oddHBand="0" w:evenHBand="1" w:firstRowFirstColumn="0" w:firstRowLastColumn="0" w:lastRowFirstColumn="0" w:lastRowLastColumn="0"/>
              <w:rPr>
                <w:color w:val="000000"/>
              </w:rPr>
            </w:pPr>
            <w:r>
              <w:rPr>
                <w:color w:val="000000"/>
              </w:rPr>
              <w:t>Melanie Skinner, Diversity, Equity and Inclusion Director</w:t>
            </w:r>
          </w:p>
        </w:tc>
        <w:tc>
          <w:tcPr>
            <w:tcW w:w="2341" w:type="pct"/>
          </w:tcPr>
          <w:p w14:paraId="63DEFC1D" w14:textId="4F79BFB4" w:rsidR="007738B2" w:rsidRDefault="00414220" w:rsidP="007738B2">
            <w:pPr>
              <w:cnfStyle w:val="000000010000" w:firstRow="0" w:lastRow="0" w:firstColumn="0" w:lastColumn="0" w:oddVBand="0" w:evenVBand="0" w:oddHBand="0" w:evenHBand="1" w:firstRowFirstColumn="0" w:firstRowLastColumn="0" w:lastRowFirstColumn="0" w:lastRowLastColumn="0"/>
              <w:rPr>
                <w:color w:val="000000"/>
              </w:rPr>
            </w:pPr>
            <w:r>
              <w:rPr>
                <w:color w:val="000000"/>
              </w:rPr>
              <w:t>Internal c</w:t>
            </w:r>
            <w:r w:rsidR="00883B98">
              <w:rPr>
                <w:color w:val="000000"/>
              </w:rPr>
              <w:t xml:space="preserve">onsultation </w:t>
            </w:r>
            <w:r>
              <w:rPr>
                <w:color w:val="000000"/>
              </w:rPr>
              <w:t xml:space="preserve">on actions </w:t>
            </w:r>
            <w:r w:rsidR="00883B98">
              <w:rPr>
                <w:color w:val="000000"/>
              </w:rPr>
              <w:t>with lead business areas.</w:t>
            </w:r>
            <w:r w:rsidR="00FA55DA">
              <w:rPr>
                <w:color w:val="000000"/>
              </w:rPr>
              <w:t xml:space="preserve"> </w:t>
            </w:r>
            <w:r>
              <w:rPr>
                <w:color w:val="000000"/>
              </w:rPr>
              <w:t>Consultation closed on 4 July 2025.</w:t>
            </w:r>
          </w:p>
        </w:tc>
      </w:tr>
      <w:tr w:rsidR="00883B98" w14:paraId="031C5131" w14:textId="77777777" w:rsidTr="00A82ADA">
        <w:tc>
          <w:tcPr>
            <w:cnfStyle w:val="001000000000" w:firstRow="0" w:lastRow="0" w:firstColumn="1" w:lastColumn="0" w:oddVBand="0" w:evenVBand="0" w:oddHBand="0" w:evenHBand="0" w:firstRowFirstColumn="0" w:firstRowLastColumn="0" w:lastRowFirstColumn="0" w:lastRowLastColumn="0"/>
            <w:tcW w:w="607" w:type="pct"/>
          </w:tcPr>
          <w:p w14:paraId="4A72E191" w14:textId="406A66C5" w:rsidR="00883B98" w:rsidRDefault="00414220" w:rsidP="00A82ADA">
            <w:pPr>
              <w:rPr>
                <w:b w:val="0"/>
                <w:bCs/>
                <w:color w:val="000000"/>
              </w:rPr>
            </w:pPr>
            <w:r>
              <w:rPr>
                <w:bCs/>
                <w:color w:val="000000"/>
              </w:rPr>
              <w:t>0.4</w:t>
            </w:r>
          </w:p>
        </w:tc>
        <w:tc>
          <w:tcPr>
            <w:tcW w:w="807" w:type="pct"/>
          </w:tcPr>
          <w:p w14:paraId="34445C9B" w14:textId="436028A7" w:rsidR="00883B98" w:rsidRDefault="00883B98" w:rsidP="00A82ADA">
            <w:pPr>
              <w:cnfStyle w:val="000000000000" w:firstRow="0" w:lastRow="0" w:firstColumn="0" w:lastColumn="0" w:oddVBand="0" w:evenVBand="0" w:oddHBand="0" w:evenHBand="0" w:firstRowFirstColumn="0" w:firstRowLastColumn="0" w:lastRowFirstColumn="0" w:lastRowLastColumn="0"/>
              <w:rPr>
                <w:color w:val="000000"/>
              </w:rPr>
            </w:pPr>
            <w:r>
              <w:rPr>
                <w:color w:val="000000"/>
              </w:rPr>
              <w:t>26 May 2025</w:t>
            </w:r>
          </w:p>
        </w:tc>
        <w:tc>
          <w:tcPr>
            <w:tcW w:w="1245" w:type="pct"/>
          </w:tcPr>
          <w:p w14:paraId="3DA1737C" w14:textId="7FF5E1BB" w:rsidR="00883B98" w:rsidRDefault="00883B98" w:rsidP="00A82AD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Stephen Arnott, Lead Diversity Champion </w:t>
            </w:r>
          </w:p>
        </w:tc>
        <w:tc>
          <w:tcPr>
            <w:tcW w:w="2341" w:type="pct"/>
          </w:tcPr>
          <w:p w14:paraId="75D83954" w14:textId="440E2AC4" w:rsidR="00883B98" w:rsidRDefault="00883B98" w:rsidP="00A82AD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Roadmap priorities shared with </w:t>
            </w:r>
            <w:r w:rsidR="00D92F6A">
              <w:rPr>
                <w:color w:val="000000"/>
              </w:rPr>
              <w:t>DEI</w:t>
            </w:r>
            <w:r>
              <w:rPr>
                <w:color w:val="000000"/>
              </w:rPr>
              <w:t xml:space="preserve"> Committee.</w:t>
            </w:r>
            <w:r w:rsidR="00FA55DA">
              <w:rPr>
                <w:color w:val="000000"/>
              </w:rPr>
              <w:t xml:space="preserve"> </w:t>
            </w:r>
            <w:r>
              <w:rPr>
                <w:color w:val="000000"/>
              </w:rPr>
              <w:t xml:space="preserve">Feedback closed </w:t>
            </w:r>
            <w:r w:rsidR="00414220">
              <w:rPr>
                <w:color w:val="000000"/>
              </w:rPr>
              <w:t>4 June 2025.</w:t>
            </w:r>
          </w:p>
        </w:tc>
      </w:tr>
      <w:tr w:rsidR="007738B2" w14:paraId="54C6FB8B" w14:textId="77777777" w:rsidTr="00A82A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14:paraId="6B0F57B3" w14:textId="6BAB72FD" w:rsidR="007738B2" w:rsidRDefault="00414220" w:rsidP="00A82ADA">
            <w:pPr>
              <w:rPr>
                <w:b w:val="0"/>
                <w:bCs/>
                <w:color w:val="000000"/>
              </w:rPr>
            </w:pPr>
            <w:r>
              <w:rPr>
                <w:bCs/>
                <w:color w:val="000000"/>
              </w:rPr>
              <w:t>0.3</w:t>
            </w:r>
          </w:p>
        </w:tc>
        <w:tc>
          <w:tcPr>
            <w:tcW w:w="807" w:type="pct"/>
          </w:tcPr>
          <w:p w14:paraId="46A4689C" w14:textId="07906EC6" w:rsidR="007738B2" w:rsidRDefault="007738B2" w:rsidP="00A82ADA">
            <w:pPr>
              <w:cnfStyle w:val="000000010000" w:firstRow="0" w:lastRow="0" w:firstColumn="0" w:lastColumn="0" w:oddVBand="0" w:evenVBand="0" w:oddHBand="0" w:evenHBand="1" w:firstRowFirstColumn="0" w:firstRowLastColumn="0" w:lastRowFirstColumn="0" w:lastRowLastColumn="0"/>
              <w:rPr>
                <w:color w:val="000000"/>
              </w:rPr>
            </w:pPr>
            <w:r>
              <w:rPr>
                <w:color w:val="000000"/>
              </w:rPr>
              <w:t>29 April 2025</w:t>
            </w:r>
          </w:p>
        </w:tc>
        <w:tc>
          <w:tcPr>
            <w:tcW w:w="1245" w:type="pct"/>
          </w:tcPr>
          <w:p w14:paraId="2C4E08CE" w14:textId="2CA9F966" w:rsidR="007738B2" w:rsidRDefault="009D2704" w:rsidP="00A82ADA">
            <w:pPr>
              <w:cnfStyle w:val="000000010000" w:firstRow="0" w:lastRow="0" w:firstColumn="0" w:lastColumn="0" w:oddVBand="0" w:evenVBand="0" w:oddHBand="0" w:evenHBand="1" w:firstRowFirstColumn="0" w:firstRowLastColumn="0" w:lastRowFirstColumn="0" w:lastRowLastColumn="0"/>
              <w:rPr>
                <w:color w:val="000000"/>
              </w:rPr>
            </w:pPr>
            <w:r>
              <w:rPr>
                <w:color w:val="000000"/>
              </w:rPr>
              <w:t>Jesse Boyd, Diversity, Equity and Inclusion Assistant Director</w:t>
            </w:r>
          </w:p>
        </w:tc>
        <w:tc>
          <w:tcPr>
            <w:tcW w:w="2341" w:type="pct"/>
          </w:tcPr>
          <w:p w14:paraId="48B4A266" w14:textId="777ACC7C" w:rsidR="007738B2" w:rsidRDefault="00883B98" w:rsidP="00A82ADA">
            <w:pPr>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Consultation with </w:t>
            </w:r>
            <w:r w:rsidR="00D92F6A">
              <w:rPr>
                <w:color w:val="000000"/>
              </w:rPr>
              <w:t>DEI</w:t>
            </w:r>
            <w:r>
              <w:rPr>
                <w:color w:val="000000"/>
              </w:rPr>
              <w:t xml:space="preserve"> Committee. Consultation </w:t>
            </w:r>
            <w:r w:rsidR="00414220">
              <w:rPr>
                <w:color w:val="000000"/>
              </w:rPr>
              <w:t xml:space="preserve">on priorities </w:t>
            </w:r>
            <w:r>
              <w:rPr>
                <w:color w:val="000000"/>
              </w:rPr>
              <w:t xml:space="preserve">closed </w:t>
            </w:r>
            <w:r w:rsidR="00414220">
              <w:rPr>
                <w:color w:val="000000"/>
              </w:rPr>
              <w:t>5 May 2025 and diversity targets on 8 May 2025.</w:t>
            </w:r>
          </w:p>
        </w:tc>
      </w:tr>
      <w:tr w:rsidR="00A82ADA" w14:paraId="176D29E8" w14:textId="77777777" w:rsidTr="00A82ADA">
        <w:tc>
          <w:tcPr>
            <w:cnfStyle w:val="001000000000" w:firstRow="0" w:lastRow="0" w:firstColumn="1" w:lastColumn="0" w:oddVBand="0" w:evenVBand="0" w:oddHBand="0" w:evenHBand="0" w:firstRowFirstColumn="0" w:firstRowLastColumn="0" w:lastRowFirstColumn="0" w:lastRowLastColumn="0"/>
            <w:tcW w:w="607" w:type="pct"/>
          </w:tcPr>
          <w:p w14:paraId="10C5D800" w14:textId="2518EFA5" w:rsidR="00883B98" w:rsidRDefault="00414220" w:rsidP="00A82ADA">
            <w:pPr>
              <w:rPr>
                <w:b w:val="0"/>
                <w:bCs/>
                <w:color w:val="000000"/>
              </w:rPr>
            </w:pPr>
            <w:r>
              <w:rPr>
                <w:bCs/>
                <w:color w:val="000000"/>
              </w:rPr>
              <w:t>0.2</w:t>
            </w:r>
          </w:p>
        </w:tc>
        <w:tc>
          <w:tcPr>
            <w:tcW w:w="807" w:type="pct"/>
          </w:tcPr>
          <w:p w14:paraId="10FC3F09" w14:textId="31227194" w:rsidR="00883B98" w:rsidRDefault="00883B98" w:rsidP="00A82ADA">
            <w:pPr>
              <w:cnfStyle w:val="000000000000" w:firstRow="0" w:lastRow="0" w:firstColumn="0" w:lastColumn="0" w:oddVBand="0" w:evenVBand="0" w:oddHBand="0" w:evenHBand="0" w:firstRowFirstColumn="0" w:firstRowLastColumn="0" w:lastRowFirstColumn="0" w:lastRowLastColumn="0"/>
              <w:rPr>
                <w:color w:val="000000"/>
              </w:rPr>
            </w:pPr>
            <w:r>
              <w:rPr>
                <w:color w:val="000000"/>
              </w:rPr>
              <w:t>14 April 2025</w:t>
            </w:r>
          </w:p>
        </w:tc>
        <w:tc>
          <w:tcPr>
            <w:tcW w:w="1245" w:type="pct"/>
          </w:tcPr>
          <w:p w14:paraId="380AF73D" w14:textId="77777777" w:rsidR="00883B98" w:rsidRDefault="00883B98" w:rsidP="00A82AD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Jesse Boyd, Diversity, Equity and Inclusion Assistant Director </w:t>
            </w:r>
          </w:p>
        </w:tc>
        <w:tc>
          <w:tcPr>
            <w:tcW w:w="2341" w:type="pct"/>
          </w:tcPr>
          <w:p w14:paraId="17BBB721" w14:textId="0FD1889D" w:rsidR="00883B98" w:rsidRDefault="00883B98" w:rsidP="00A82AD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DEI Roadmap spreadsheet released for </w:t>
            </w:r>
            <w:r w:rsidR="00414220">
              <w:rPr>
                <w:color w:val="000000"/>
              </w:rPr>
              <w:t xml:space="preserve">workshop participant </w:t>
            </w:r>
            <w:r>
              <w:rPr>
                <w:color w:val="000000"/>
              </w:rPr>
              <w:t>feedback.</w:t>
            </w:r>
            <w:r w:rsidR="00FA55DA">
              <w:rPr>
                <w:color w:val="000000"/>
              </w:rPr>
              <w:t xml:space="preserve"> </w:t>
            </w:r>
            <w:r>
              <w:rPr>
                <w:color w:val="000000"/>
              </w:rPr>
              <w:t>Consultation closed 28 April 2025.</w:t>
            </w:r>
          </w:p>
        </w:tc>
      </w:tr>
      <w:tr w:rsidR="00A82ADA" w14:paraId="319259CC" w14:textId="77777777" w:rsidTr="004142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14:paraId="57F5F44D" w14:textId="729C968C" w:rsidR="007738B2" w:rsidRDefault="00414220" w:rsidP="007738B2">
            <w:pPr>
              <w:rPr>
                <w:b w:val="0"/>
                <w:bCs/>
                <w:color w:val="000000"/>
              </w:rPr>
            </w:pPr>
            <w:r>
              <w:rPr>
                <w:bCs/>
                <w:color w:val="000000"/>
              </w:rPr>
              <w:t>0.1</w:t>
            </w:r>
          </w:p>
        </w:tc>
        <w:tc>
          <w:tcPr>
            <w:tcW w:w="807" w:type="pct"/>
          </w:tcPr>
          <w:p w14:paraId="11AA1647" w14:textId="58DF2B79" w:rsidR="007738B2" w:rsidRDefault="007738B2" w:rsidP="007738B2">
            <w:pPr>
              <w:cnfStyle w:val="000000010000" w:firstRow="0" w:lastRow="0" w:firstColumn="0" w:lastColumn="0" w:oddVBand="0" w:evenVBand="0" w:oddHBand="0" w:evenHBand="1" w:firstRowFirstColumn="0" w:firstRowLastColumn="0" w:lastRowFirstColumn="0" w:lastRowLastColumn="0"/>
              <w:rPr>
                <w:color w:val="000000"/>
              </w:rPr>
            </w:pPr>
            <w:r>
              <w:rPr>
                <w:color w:val="000000"/>
              </w:rPr>
              <w:t>26 March 2025</w:t>
            </w:r>
          </w:p>
        </w:tc>
        <w:tc>
          <w:tcPr>
            <w:tcW w:w="1245" w:type="pct"/>
          </w:tcPr>
          <w:p w14:paraId="45254F46" w14:textId="50EED40D" w:rsidR="007738B2" w:rsidRDefault="007738B2" w:rsidP="007738B2">
            <w:pPr>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Jesse Boyd, Diversity, Equity and Inclusion Assistant Director </w:t>
            </w:r>
          </w:p>
        </w:tc>
        <w:tc>
          <w:tcPr>
            <w:tcW w:w="2341" w:type="pct"/>
          </w:tcPr>
          <w:p w14:paraId="435F1416" w14:textId="7F608AB2" w:rsidR="007738B2" w:rsidRDefault="007738B2" w:rsidP="007738B2">
            <w:pPr>
              <w:cnfStyle w:val="000000010000" w:firstRow="0" w:lastRow="0" w:firstColumn="0" w:lastColumn="0" w:oddVBand="0" w:evenVBand="0" w:oddHBand="0" w:evenHBand="1" w:firstRowFirstColumn="0" w:firstRowLastColumn="0" w:lastRowFirstColumn="0" w:lastRowLastColumn="0"/>
              <w:rPr>
                <w:color w:val="000000"/>
              </w:rPr>
            </w:pPr>
            <w:bookmarkStart w:id="13" w:name="_Hlk203055579"/>
            <w:r>
              <w:rPr>
                <w:color w:val="000000"/>
              </w:rPr>
              <w:t>Initial release of roadmap for internal consultation</w:t>
            </w:r>
            <w:r w:rsidR="00883B98">
              <w:rPr>
                <w:color w:val="000000"/>
              </w:rPr>
              <w:t>, informed by workshop held on 3</w:t>
            </w:r>
            <w:r w:rsidR="00414220">
              <w:rPr>
                <w:color w:val="000000"/>
              </w:rPr>
              <w:t> </w:t>
            </w:r>
            <w:r w:rsidR="00883B98">
              <w:rPr>
                <w:color w:val="000000"/>
              </w:rPr>
              <w:t>March 2025</w:t>
            </w:r>
            <w:r>
              <w:rPr>
                <w:color w:val="000000"/>
              </w:rPr>
              <w:t>.</w:t>
            </w:r>
            <w:r w:rsidR="00883B98">
              <w:rPr>
                <w:color w:val="000000"/>
              </w:rPr>
              <w:t xml:space="preserve"> </w:t>
            </w:r>
            <w:bookmarkEnd w:id="13"/>
            <w:r w:rsidR="00883B98">
              <w:rPr>
                <w:color w:val="000000"/>
              </w:rPr>
              <w:t>Consultation closed 4 April 2025.</w:t>
            </w:r>
          </w:p>
        </w:tc>
      </w:tr>
      <w:bookmarkEnd w:id="2"/>
      <w:bookmarkEnd w:id="12"/>
    </w:tbl>
    <w:p w14:paraId="7BC42AFF" w14:textId="77777777" w:rsidR="00D2335F" w:rsidRPr="00664FF7" w:rsidRDefault="00D2335F" w:rsidP="00664FF7">
      <w:pPr>
        <w:suppressAutoHyphens w:val="0"/>
        <w:spacing w:before="0" w:after="0"/>
        <w:rPr>
          <w:sz w:val="2"/>
          <w:szCs w:val="2"/>
        </w:rPr>
      </w:pPr>
    </w:p>
    <w:sectPr w:rsidR="00D2335F" w:rsidRPr="00664FF7" w:rsidSect="0088466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C038" w14:textId="77777777" w:rsidR="00C9749D" w:rsidRDefault="00C9749D" w:rsidP="008456D5">
      <w:pPr>
        <w:spacing w:before="0" w:after="0"/>
      </w:pPr>
      <w:r>
        <w:separator/>
      </w:r>
    </w:p>
  </w:endnote>
  <w:endnote w:type="continuationSeparator" w:id="0">
    <w:p w14:paraId="465A196F" w14:textId="77777777" w:rsidR="00C9749D" w:rsidRDefault="00C9749D" w:rsidP="008456D5">
      <w:pPr>
        <w:spacing w:before="0" w:after="0"/>
      </w:pPr>
      <w:r>
        <w:continuationSeparator/>
      </w:r>
    </w:p>
  </w:endnote>
  <w:endnote w:type="continuationNotice" w:id="1">
    <w:p w14:paraId="3ED9791E" w14:textId="77777777" w:rsidR="00C9749D" w:rsidRDefault="00C974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1A19" w14:textId="77777777" w:rsidR="00A21731" w:rsidRDefault="00A21731" w:rsidP="00180B5B">
    <w:pPr>
      <w:pStyle w:val="Footer"/>
      <w:spacing w:before="720"/>
      <w:jc w:val="right"/>
    </w:pPr>
    <w:r>
      <w:rPr>
        <w:noProof/>
        <w:lang w:eastAsia="en-AU"/>
      </w:rPr>
      <mc:AlternateContent>
        <mc:Choice Requires="wps">
          <w:drawing>
            <wp:inline distT="0" distB="0" distL="0" distR="0" wp14:anchorId="727AB682" wp14:editId="68B897B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70ED22E6" w14:textId="77777777" w:rsidR="00A21731" w:rsidRPr="007A05BE" w:rsidRDefault="00A21731"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727AB682"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70ED22E6" w14:textId="77777777" w:rsidR="00A21731" w:rsidRPr="007A05BE" w:rsidRDefault="00A21731"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435CFA5D" w14:textId="77777777" w:rsidR="00A21731" w:rsidRDefault="00A217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5039" w14:textId="3E7EC8E9" w:rsidR="00A21731" w:rsidRPr="003C67CE" w:rsidRDefault="009B7F60" w:rsidP="00664FF7">
    <w:pPr>
      <w:pStyle w:val="SecurityMarker"/>
    </w:pPr>
    <w:r>
      <w:fldChar w:fldCharType="begin"/>
    </w:r>
    <w:r>
      <w:instrText xml:space="preserve"> STYLEREF  "Security Marker"  \* MERGEFORMAT </w:instrText>
    </w:r>
    <w:r>
      <w:fldChar w:fldCharType="separate"/>
    </w:r>
    <w:r>
      <w:rPr>
        <w:noProof/>
      </w:rPr>
      <w:t>OFFICIAL</w:t>
    </w:r>
    <w:r>
      <w:rPr>
        <w:noProof/>
      </w:rPr>
      <w:fldChar w:fldCharType="end"/>
    </w:r>
  </w:p>
  <w:p w14:paraId="505D7F69" w14:textId="77777777" w:rsidR="00A21731" w:rsidRDefault="00A21731" w:rsidP="00664FF7">
    <w:pPr>
      <w:framePr w:w="11907" w:h="284" w:hSpace="181" w:wrap="around" w:vAnchor="page" w:hAnchor="page" w:yAlign="bottom"/>
      <w:spacing w:before="0" w:after="0"/>
    </w:pPr>
    <w:r>
      <w:rPr>
        <w:noProof/>
      </w:rPr>
      <w:drawing>
        <wp:inline distT="0" distB="0" distL="0" distR="0" wp14:anchorId="149664F2" wp14:editId="68AB4FBC">
          <wp:extent cx="7562850" cy="17992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495540E5" w14:textId="57F72E9A" w:rsidR="00A21731" w:rsidRPr="00664FF7" w:rsidRDefault="008605D5" w:rsidP="0023777A">
    <w:pPr>
      <w:pStyle w:val="Footer"/>
      <w:tabs>
        <w:tab w:val="clear" w:pos="4513"/>
        <w:tab w:val="clear" w:pos="9026"/>
        <w:tab w:val="center" w:pos="6237"/>
        <w:tab w:val="right" w:pos="14742"/>
      </w:tabs>
      <w:spacing w:after="160"/>
    </w:pPr>
    <w:r>
      <w:rPr>
        <w:color w:val="auto"/>
        <w:sz w:val="18"/>
        <w:szCs w:val="18"/>
        <w:lang w:val="en-US"/>
      </w:rPr>
      <w:t>2025-26 DEI Strategy Roadmap</w:t>
    </w:r>
    <w:r>
      <w:rPr>
        <w:color w:val="auto"/>
        <w:sz w:val="18"/>
        <w:szCs w:val="18"/>
        <w:lang w:val="en-US"/>
      </w:rPr>
      <w:tab/>
    </w:r>
    <w:r w:rsidR="00A21731" w:rsidRPr="00654E6E">
      <w:rPr>
        <w:color w:val="auto"/>
        <w:sz w:val="18"/>
        <w:szCs w:val="18"/>
        <w:lang w:val="en-US"/>
      </w:rPr>
      <w:tab/>
      <w:t xml:space="preserve">Page </w:t>
    </w:r>
    <w:r w:rsidR="00A21731" w:rsidRPr="00654E6E">
      <w:rPr>
        <w:color w:val="auto"/>
        <w:sz w:val="18"/>
        <w:szCs w:val="18"/>
        <w:lang w:val="en-US"/>
      </w:rPr>
      <w:fldChar w:fldCharType="begin"/>
    </w:r>
    <w:r w:rsidR="00A21731" w:rsidRPr="00654E6E">
      <w:rPr>
        <w:color w:val="auto"/>
        <w:sz w:val="18"/>
        <w:szCs w:val="18"/>
        <w:lang w:val="en-US"/>
      </w:rPr>
      <w:instrText xml:space="preserve"> PAGE   \* MERGEFORMAT </w:instrText>
    </w:r>
    <w:r w:rsidR="00A21731" w:rsidRPr="00654E6E">
      <w:rPr>
        <w:color w:val="auto"/>
        <w:sz w:val="18"/>
        <w:szCs w:val="18"/>
        <w:lang w:val="en-US"/>
      </w:rPr>
      <w:fldChar w:fldCharType="separate"/>
    </w:r>
    <w:r w:rsidR="00A21731">
      <w:rPr>
        <w:sz w:val="18"/>
        <w:szCs w:val="18"/>
        <w:lang w:val="en-US"/>
      </w:rPr>
      <w:t>1</w:t>
    </w:r>
    <w:r w:rsidR="00A21731" w:rsidRPr="00654E6E">
      <w:rPr>
        <w:noProof/>
        <w:color w:val="auto"/>
        <w:sz w:val="18"/>
        <w:szCs w:val="18"/>
        <w:lang w:val="en-US"/>
      </w:rPr>
      <w:fldChar w:fldCharType="end"/>
    </w:r>
    <w:r w:rsidR="00A21731" w:rsidRPr="00654E6E">
      <w:rPr>
        <w:noProof/>
        <w:color w:val="auto"/>
        <w:sz w:val="18"/>
        <w:szCs w:val="18"/>
        <w:lang w:val="en-US"/>
      </w:rPr>
      <w:t xml:space="preserve"> of </w:t>
    </w:r>
    <w:r w:rsidR="00A21731" w:rsidRPr="00654E6E">
      <w:rPr>
        <w:noProof/>
        <w:color w:val="auto"/>
        <w:sz w:val="18"/>
        <w:szCs w:val="18"/>
        <w:lang w:val="en-US"/>
      </w:rPr>
      <w:fldChar w:fldCharType="begin"/>
    </w:r>
    <w:r w:rsidR="00A21731" w:rsidRPr="00654E6E">
      <w:rPr>
        <w:noProof/>
        <w:color w:val="auto"/>
        <w:sz w:val="18"/>
        <w:szCs w:val="18"/>
        <w:lang w:val="en-US"/>
      </w:rPr>
      <w:instrText xml:space="preserve"> NUMPAGES   \* MERGEFORMAT </w:instrText>
    </w:r>
    <w:r w:rsidR="00A21731" w:rsidRPr="00654E6E">
      <w:rPr>
        <w:noProof/>
        <w:color w:val="auto"/>
        <w:sz w:val="18"/>
        <w:szCs w:val="18"/>
        <w:lang w:val="en-US"/>
      </w:rPr>
      <w:fldChar w:fldCharType="separate"/>
    </w:r>
    <w:r w:rsidR="00A21731">
      <w:rPr>
        <w:noProof/>
        <w:sz w:val="18"/>
        <w:szCs w:val="18"/>
        <w:lang w:val="en-US"/>
      </w:rPr>
      <w:t>9</w:t>
    </w:r>
    <w:r w:rsidR="00A21731"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DA9CA" w14:textId="7ECAD4F4" w:rsidR="00A21731" w:rsidRPr="003C67CE" w:rsidRDefault="009B7F60" w:rsidP="0023777A">
    <w:pPr>
      <w:pStyle w:val="SecurityMarker"/>
    </w:pPr>
    <w:r>
      <w:fldChar w:fldCharType="begin"/>
    </w:r>
    <w:r>
      <w:instrText xml:space="preserve"> STYLEREF  "Security Marker"  \* MERGEFORMAT </w:instrText>
    </w:r>
    <w:r>
      <w:fldChar w:fldCharType="separate"/>
    </w:r>
    <w:r>
      <w:rPr>
        <w:noProof/>
      </w:rPr>
      <w:t>OFFICIAL</w:t>
    </w:r>
    <w:r>
      <w:rPr>
        <w:noProof/>
      </w:rPr>
      <w:fldChar w:fldCharType="end"/>
    </w:r>
  </w:p>
  <w:p w14:paraId="0917632F" w14:textId="77777777" w:rsidR="00A21731" w:rsidRDefault="00A21731" w:rsidP="0023777A">
    <w:pPr>
      <w:framePr w:w="11907" w:h="284" w:hSpace="181" w:wrap="around" w:vAnchor="page" w:hAnchor="page" w:yAlign="bottom"/>
      <w:spacing w:before="0" w:after="0"/>
    </w:pPr>
    <w:r>
      <w:rPr>
        <w:noProof/>
      </w:rPr>
      <w:drawing>
        <wp:inline distT="0" distB="0" distL="0" distR="0" wp14:anchorId="222408D9" wp14:editId="5B742F4B">
          <wp:extent cx="7562850" cy="179922"/>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050CC789" w14:textId="0A74C160" w:rsidR="00A21731" w:rsidRPr="0023777A" w:rsidRDefault="00A21731" w:rsidP="0023777A">
    <w:pPr>
      <w:pStyle w:val="Footer"/>
      <w:tabs>
        <w:tab w:val="clear" w:pos="4513"/>
        <w:tab w:val="clear" w:pos="9026"/>
        <w:tab w:val="center" w:pos="6237"/>
        <w:tab w:val="right" w:pos="14742"/>
      </w:tabs>
      <w:spacing w:after="160"/>
    </w:pPr>
    <w:r>
      <w:rPr>
        <w:color w:val="auto"/>
        <w:sz w:val="18"/>
        <w:szCs w:val="18"/>
        <w:lang w:val="en-US"/>
      </w:rPr>
      <w:t xml:space="preserve">2025-26 </w:t>
    </w:r>
    <w:r w:rsidR="008605D5">
      <w:rPr>
        <w:color w:val="auto"/>
        <w:sz w:val="18"/>
        <w:szCs w:val="18"/>
        <w:lang w:val="en-US"/>
      </w:rPr>
      <w:t xml:space="preserve">DEI Strategy </w:t>
    </w:r>
    <w:r>
      <w:rPr>
        <w:color w:val="auto"/>
        <w:sz w:val="18"/>
        <w:szCs w:val="18"/>
        <w:lang w:val="en-US"/>
      </w:rPr>
      <w:t>Roadmap</w:t>
    </w:r>
    <w:r w:rsidRPr="00654E6E">
      <w:rPr>
        <w:color w:val="auto"/>
        <w:sz w:val="18"/>
        <w:szCs w:val="18"/>
        <w:lang w:val="en-US"/>
      </w:rPr>
      <w:tab/>
    </w:r>
    <w:r w:rsidRPr="00654E6E">
      <w:rPr>
        <w:color w:val="auto"/>
        <w:sz w:val="18"/>
        <w:szCs w:val="18"/>
        <w:lang w:val="en-US"/>
      </w:rPr>
      <w:tab/>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Pr>
        <w:color w:val="auto"/>
        <w:sz w:val="18"/>
        <w:szCs w:val="18"/>
        <w:lang w:val="en-US"/>
      </w:rPr>
      <w:t>9</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Pr>
        <w:noProof/>
        <w:color w:val="auto"/>
        <w:sz w:val="18"/>
        <w:szCs w:val="18"/>
        <w:lang w:val="en-US"/>
      </w:rPr>
      <w:t>9</w:t>
    </w:r>
    <w:r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51D1B" w14:textId="77777777" w:rsidR="00C9749D" w:rsidRPr="00EF7FF3" w:rsidRDefault="00C9749D" w:rsidP="005912BE">
      <w:pPr>
        <w:spacing w:before="300"/>
        <w:rPr>
          <w:color w:val="081E3E" w:themeColor="text2"/>
        </w:rPr>
      </w:pPr>
      <w:r w:rsidRPr="00EF7FF3">
        <w:rPr>
          <w:color w:val="081E3E" w:themeColor="text2"/>
        </w:rPr>
        <w:t>----------</w:t>
      </w:r>
    </w:p>
  </w:footnote>
  <w:footnote w:type="continuationSeparator" w:id="0">
    <w:p w14:paraId="38FAF9B6" w14:textId="77777777" w:rsidR="00C9749D" w:rsidRDefault="00C9749D" w:rsidP="008456D5">
      <w:pPr>
        <w:spacing w:before="0" w:after="0"/>
      </w:pPr>
      <w:r>
        <w:continuationSeparator/>
      </w:r>
    </w:p>
  </w:footnote>
  <w:footnote w:type="continuationNotice" w:id="1">
    <w:p w14:paraId="3A94D470" w14:textId="77777777" w:rsidR="00C9749D" w:rsidRDefault="00C9749D">
      <w:pPr>
        <w:spacing w:before="0" w:after="0"/>
      </w:pPr>
    </w:p>
  </w:footnote>
  <w:footnote w:id="2">
    <w:p w14:paraId="4850DC88" w14:textId="0C438A15" w:rsidR="00A21731" w:rsidRDefault="00A21731">
      <w:pPr>
        <w:pStyle w:val="FootnoteText"/>
      </w:pPr>
      <w:r>
        <w:rPr>
          <w:rStyle w:val="FootnoteReference"/>
        </w:rPr>
        <w:footnoteRef/>
      </w:r>
      <w:r>
        <w:t xml:space="preserve"> </w:t>
      </w:r>
      <w:hyperlink r:id="rId1" w:history="1">
        <w:r>
          <w:rPr>
            <w:rStyle w:val="Hyperlink"/>
          </w:rPr>
          <w:t xml:space="preserve">Estimates of Aboriginal and Torres Strait Islander Australians, </w:t>
        </w:r>
        <w:r w:rsidRPr="004D06F0">
          <w:rPr>
            <w:rStyle w:val="Hyperlink"/>
          </w:rPr>
          <w:t>Australian Bureau of Statistics</w:t>
        </w:r>
        <w:r>
          <w:rPr>
            <w:rStyle w:val="Hyperlink"/>
          </w:rPr>
          <w:t>, 2021 Census</w:t>
        </w:r>
      </w:hyperlink>
    </w:p>
  </w:footnote>
  <w:footnote w:id="3">
    <w:p w14:paraId="0C102D6C" w14:textId="1614F3D7" w:rsidR="00A21731" w:rsidRDefault="00A21731">
      <w:pPr>
        <w:pStyle w:val="FootnoteText"/>
      </w:pPr>
      <w:r>
        <w:rPr>
          <w:rStyle w:val="FootnoteReference"/>
        </w:rPr>
        <w:footnoteRef/>
      </w:r>
      <w:r>
        <w:t xml:space="preserve"> </w:t>
      </w:r>
      <w:hyperlink r:id="rId2" w:anchor=":~:text=State%20of%20the%20Service%20Report%202023%2D24,-APS%20Commissioner%20message&amp;text=First%20Nations%20employment%20in%20the,a%20substantial%20shift%20in%20approach." w:history="1">
        <w:r>
          <w:rPr>
            <w:rStyle w:val="Hyperlink"/>
          </w:rPr>
          <w:t>Boosting First Nations employment, Australian Public Service Commission, 2024</w:t>
        </w:r>
      </w:hyperlink>
    </w:p>
  </w:footnote>
  <w:footnote w:id="4">
    <w:p w14:paraId="6033CB7A" w14:textId="3CDB3907" w:rsidR="00A21731" w:rsidRDefault="00A21731">
      <w:pPr>
        <w:pStyle w:val="FootnoteText"/>
      </w:pPr>
      <w:r>
        <w:rPr>
          <w:rStyle w:val="FootnoteReference"/>
        </w:rPr>
        <w:footnoteRef/>
      </w:r>
      <w:r>
        <w:t xml:space="preserve"> </w:t>
      </w:r>
      <w:hyperlink r:id="rId3" w:history="1">
        <w:r>
          <w:rPr>
            <w:rStyle w:val="Hyperlink"/>
          </w:rPr>
          <w:t>Disability, Ageing and Carers, Australia: Summary of Findings, Australian Bureau of Statistics, 2022</w:t>
        </w:r>
      </w:hyperlink>
    </w:p>
  </w:footnote>
  <w:footnote w:id="5">
    <w:p w14:paraId="5B3B5FD0" w14:textId="412784AE" w:rsidR="00A21731" w:rsidRDefault="00A21731">
      <w:pPr>
        <w:pStyle w:val="FootnoteText"/>
      </w:pPr>
      <w:r>
        <w:rPr>
          <w:rStyle w:val="FootnoteReference"/>
        </w:rPr>
        <w:footnoteRef/>
      </w:r>
      <w:r>
        <w:t xml:space="preserve"> </w:t>
      </w:r>
      <w:hyperlink r:id="rId4" w:history="1">
        <w:r>
          <w:rPr>
            <w:rStyle w:val="Hyperlink"/>
          </w:rPr>
          <w:t>Australian Public Service Disability Employment Strategy 2020–25</w:t>
        </w:r>
      </w:hyperlink>
    </w:p>
  </w:footnote>
  <w:footnote w:id="6">
    <w:p w14:paraId="0268CB4A" w14:textId="2419D776" w:rsidR="00A21731" w:rsidRDefault="00A21731">
      <w:pPr>
        <w:pStyle w:val="FootnoteText"/>
      </w:pPr>
      <w:r>
        <w:rPr>
          <w:rStyle w:val="FootnoteReference"/>
        </w:rPr>
        <w:footnoteRef/>
      </w:r>
      <w:r>
        <w:t xml:space="preserve"> </w:t>
      </w:r>
      <w:hyperlink r:id="rId5" w:history="1">
        <w:r>
          <w:rPr>
            <w:rStyle w:val="Hyperlink"/>
          </w:rPr>
          <w:t>What is neurodiversity? Factsheet, Australian Disability Network, 2022</w:t>
        </w:r>
      </w:hyperlink>
    </w:p>
  </w:footnote>
  <w:footnote w:id="7">
    <w:p w14:paraId="5BB902CB" w14:textId="0E6B91F4" w:rsidR="00A21731" w:rsidRDefault="00A21731">
      <w:pPr>
        <w:pStyle w:val="FootnoteText"/>
      </w:pPr>
      <w:r>
        <w:rPr>
          <w:rStyle w:val="FootnoteReference"/>
        </w:rPr>
        <w:footnoteRef/>
      </w:r>
      <w:r>
        <w:t xml:space="preserve"> </w:t>
      </w:r>
      <w:hyperlink r:id="rId6" w:history="1">
        <w:r>
          <w:rPr>
            <w:rStyle w:val="Hyperlink"/>
            <w:rFonts w:ascii="Segoe UI" w:hAnsi="Segoe UI" w:cs="Segoe UI"/>
            <w:color w:val="007099"/>
            <w:shd w:val="clear" w:color="auto" w:fill="FFFFFF"/>
          </w:rPr>
          <w:t>APS Culturally and Linguistically Diverse Employment Strategy and Action Plan</w:t>
        </w:r>
      </w:hyperlink>
      <w:r>
        <w:t xml:space="preserve">, 2024 </w:t>
      </w:r>
    </w:p>
  </w:footnote>
  <w:footnote w:id="8">
    <w:p w14:paraId="66A1FA16" w14:textId="4FCAE713" w:rsidR="00A21731" w:rsidRDefault="00A21731">
      <w:pPr>
        <w:pStyle w:val="FootnoteText"/>
      </w:pPr>
      <w:r>
        <w:rPr>
          <w:rStyle w:val="FootnoteReference"/>
        </w:rPr>
        <w:footnoteRef/>
      </w:r>
      <w:r>
        <w:t xml:space="preserve"> </w:t>
      </w:r>
      <w:hyperlink r:id="rId7" w:history="1">
        <w:r>
          <w:rPr>
            <w:rStyle w:val="Hyperlink"/>
            <w:rFonts w:ascii="Segoe UI" w:hAnsi="Segoe UI" w:cs="Segoe UI"/>
            <w:color w:val="007099"/>
            <w:shd w:val="clear" w:color="auto" w:fill="FFFFFF"/>
          </w:rPr>
          <w:t>APS Culturally and Linguistically Diverse Employment Strategy and Action Plan</w:t>
        </w:r>
      </w:hyperlink>
      <w:r>
        <w:t>, 2024</w:t>
      </w:r>
    </w:p>
  </w:footnote>
  <w:footnote w:id="9">
    <w:p w14:paraId="16014C0A" w14:textId="360FAEE7" w:rsidR="00A21731" w:rsidRDefault="00A21731">
      <w:pPr>
        <w:pStyle w:val="FootnoteText"/>
      </w:pPr>
      <w:r>
        <w:rPr>
          <w:rStyle w:val="FootnoteReference"/>
        </w:rPr>
        <w:footnoteRef/>
      </w:r>
      <w:r>
        <w:t xml:space="preserve"> </w:t>
      </w:r>
      <w:hyperlink r:id="rId8" w:history="1">
        <w:r>
          <w:rPr>
            <w:rStyle w:val="Hyperlink"/>
          </w:rPr>
          <w:t>Estimates and characteristics of LGBTI+ populations in Australia, Australian Bureau of Statistics</w:t>
        </w:r>
      </w:hyperlink>
      <w:r>
        <w:t>, 2022</w:t>
      </w:r>
    </w:p>
  </w:footnote>
  <w:footnote w:id="10">
    <w:p w14:paraId="3AF1F50B" w14:textId="12B59615" w:rsidR="00A21731" w:rsidRDefault="00A21731">
      <w:pPr>
        <w:pStyle w:val="FootnoteText"/>
      </w:pPr>
      <w:r>
        <w:rPr>
          <w:rStyle w:val="FootnoteReference"/>
        </w:rPr>
        <w:footnoteRef/>
      </w:r>
      <w:r>
        <w:t xml:space="preserve"> </w:t>
      </w:r>
      <w:hyperlink r:id="rId9" w:history="1">
        <w:r>
          <w:rPr>
            <w:rStyle w:val="Hyperlink"/>
          </w:rPr>
          <w:t>Population, Australian Bureau of Statistics</w:t>
        </w:r>
      </w:hyperlink>
      <w:r>
        <w:t>, APS Census 2021</w:t>
      </w:r>
    </w:p>
  </w:footnote>
  <w:footnote w:id="11">
    <w:p w14:paraId="5778201E" w14:textId="5B4B6604" w:rsidR="00A21731" w:rsidRDefault="00A21731">
      <w:pPr>
        <w:pStyle w:val="FootnoteText"/>
      </w:pPr>
      <w:r>
        <w:rPr>
          <w:rStyle w:val="FootnoteReference"/>
        </w:rPr>
        <w:footnoteRef/>
      </w:r>
      <w:r>
        <w:t xml:space="preserve"> </w:t>
      </w:r>
      <w:hyperlink r:id="rId10" w:history="1">
        <w:r w:rsidRPr="00024F46">
          <w:rPr>
            <w:rStyle w:val="Hyperlink"/>
          </w:rPr>
          <w:t>APS Gender Equality Strategy 2021–26</w:t>
        </w:r>
      </w:hyperlink>
      <w:r w:rsidRPr="00024F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9E26B" w14:textId="0B863C88" w:rsidR="00A21731" w:rsidRDefault="009B7F60" w:rsidP="00180B5B">
    <w:pPr>
      <w:pStyle w:val="Header"/>
      <w:spacing w:after="1320"/>
      <w:jc w:val="left"/>
    </w:pPr>
    <w:r>
      <w:fldChar w:fldCharType="begin"/>
    </w:r>
    <w:r>
      <w:instrText xml:space="preserve"> STYLEREF  "Heading 1" \l  \* MERGEFORMAT </w:instrText>
    </w:r>
    <w:r>
      <w:fldChar w:fldCharType="separate"/>
    </w:r>
    <w:r w:rsidR="00F86FA6">
      <w:rPr>
        <w:noProof/>
      </w:rPr>
      <w:t>Our Strategic Context</w:t>
    </w:r>
    <w:r>
      <w:rPr>
        <w:noProof/>
      </w:rPr>
      <w:fldChar w:fldCharType="end"/>
    </w:r>
  </w:p>
  <w:p w14:paraId="417FF8D0" w14:textId="77777777" w:rsidR="00A21731" w:rsidRDefault="00A217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0D374" w14:textId="07C62956" w:rsidR="00A21731" w:rsidRDefault="009B7F60" w:rsidP="001D659E">
    <w:pPr>
      <w:pStyle w:val="SecurityMarker"/>
    </w:pPr>
    <w:r>
      <w:fldChar w:fldCharType="begin"/>
    </w:r>
    <w:r>
      <w:instrText xml:space="preserve"> STYLEREF  "Security Marker"  \* MERGEFORMAT </w:instrText>
    </w:r>
    <w:r>
      <w:fldChar w:fldCharType="separate"/>
    </w:r>
    <w:r>
      <w:rPr>
        <w:noProof/>
      </w:rPr>
      <w:t>OFFICIAL</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610C" w14:textId="77777777" w:rsidR="00A21731" w:rsidRDefault="00A21731" w:rsidP="00D2335F">
    <w:pPr>
      <w:framePr w:w="11907" w:h="3062" w:wrap="around" w:vAnchor="page" w:hAnchor="page" w:x="12" w:yAlign="top" w:anchorLock="1"/>
      <w:spacing w:before="0" w:after="400"/>
    </w:pPr>
    <w:bookmarkStart w:id="14" w:name="_Hlk148680551"/>
    <w:bookmarkStart w:id="15" w:name="_Hlk168414111"/>
    <w:bookmarkStart w:id="16" w:name="_Hlk168414112"/>
    <w:r>
      <w:rPr>
        <w:noProof/>
      </w:rPr>
      <w:drawing>
        <wp:inline distT="0" distB="0" distL="0" distR="0" wp14:anchorId="6B74F615" wp14:editId="01117A05">
          <wp:extent cx="7553115" cy="1943100"/>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14"/>
  <w:bookmarkEnd w:id="15"/>
  <w:bookmarkEnd w:id="16"/>
  <w:p w14:paraId="0FB4EEF7" w14:textId="77777777" w:rsidR="00A21731" w:rsidRDefault="00A21731" w:rsidP="008E5BFD">
    <w:pPr>
      <w:framePr w:w="6521" w:h="1134" w:hSpace="181" w:wrap="around" w:vAnchor="page" w:hAnchor="page" w:x="1022" w:y="852" w:anchorLock="1"/>
      <w:spacing w:after="0"/>
      <w:rPr>
        <w:noProof/>
      </w:rPr>
    </w:pPr>
    <w:r>
      <w:rPr>
        <w:noProof/>
      </w:rPr>
      <w:drawing>
        <wp:inline distT="0" distB="0" distL="0" distR="0" wp14:anchorId="1682C4FF" wp14:editId="31CC2070">
          <wp:extent cx="4068000" cy="669600"/>
          <wp:effectExtent l="0" t="0" r="0" b="0"/>
          <wp:docPr id="17" name="Picture 17"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2B4038E6" w14:textId="77777777" w:rsidR="00A21731" w:rsidRPr="0069753D" w:rsidRDefault="00A21731"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B9"/>
    <w:multiLevelType w:val="multilevel"/>
    <w:tmpl w:val="9E1E9102"/>
    <w:styleLink w:val="ListNumbered"/>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21AED"/>
    <w:multiLevelType w:val="multilevel"/>
    <w:tmpl w:val="C2EED61A"/>
    <w:numStyleLink w:val="NumberedHeadings"/>
  </w:abstractNum>
  <w:abstractNum w:abstractNumId="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A51938"/>
    <w:multiLevelType w:val="multilevel"/>
    <w:tmpl w:val="298C34E4"/>
    <w:numStyleLink w:val="AppendixNumbers"/>
  </w:abstractNum>
  <w:abstractNum w:abstractNumId="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42707B8B"/>
    <w:multiLevelType w:val="hybridMultilevel"/>
    <w:tmpl w:val="8D3CC092"/>
    <w:lvl w:ilvl="0" w:tplc="34CE137A">
      <w:start w:val="1"/>
      <w:numFmt w:val="decimal"/>
      <w:lvlText w:val="%1."/>
      <w:lvlJc w:val="left"/>
      <w:pPr>
        <w:tabs>
          <w:tab w:val="num" w:pos="720"/>
        </w:tabs>
        <w:ind w:left="720" w:hanging="360"/>
      </w:pPr>
    </w:lvl>
    <w:lvl w:ilvl="1" w:tplc="ACFEFF7E" w:tentative="1">
      <w:start w:val="1"/>
      <w:numFmt w:val="decimal"/>
      <w:lvlText w:val="%2."/>
      <w:lvlJc w:val="left"/>
      <w:pPr>
        <w:tabs>
          <w:tab w:val="num" w:pos="1440"/>
        </w:tabs>
        <w:ind w:left="1440" w:hanging="360"/>
      </w:pPr>
    </w:lvl>
    <w:lvl w:ilvl="2" w:tplc="091E04D8" w:tentative="1">
      <w:start w:val="1"/>
      <w:numFmt w:val="decimal"/>
      <w:lvlText w:val="%3."/>
      <w:lvlJc w:val="left"/>
      <w:pPr>
        <w:tabs>
          <w:tab w:val="num" w:pos="2160"/>
        </w:tabs>
        <w:ind w:left="2160" w:hanging="360"/>
      </w:pPr>
    </w:lvl>
    <w:lvl w:ilvl="3" w:tplc="4DAC38DA" w:tentative="1">
      <w:start w:val="1"/>
      <w:numFmt w:val="decimal"/>
      <w:lvlText w:val="%4."/>
      <w:lvlJc w:val="left"/>
      <w:pPr>
        <w:tabs>
          <w:tab w:val="num" w:pos="2880"/>
        </w:tabs>
        <w:ind w:left="2880" w:hanging="360"/>
      </w:pPr>
    </w:lvl>
    <w:lvl w:ilvl="4" w:tplc="765E647E" w:tentative="1">
      <w:start w:val="1"/>
      <w:numFmt w:val="decimal"/>
      <w:lvlText w:val="%5."/>
      <w:lvlJc w:val="left"/>
      <w:pPr>
        <w:tabs>
          <w:tab w:val="num" w:pos="3600"/>
        </w:tabs>
        <w:ind w:left="3600" w:hanging="360"/>
      </w:pPr>
    </w:lvl>
    <w:lvl w:ilvl="5" w:tplc="A15CDB9C" w:tentative="1">
      <w:start w:val="1"/>
      <w:numFmt w:val="decimal"/>
      <w:lvlText w:val="%6."/>
      <w:lvlJc w:val="left"/>
      <w:pPr>
        <w:tabs>
          <w:tab w:val="num" w:pos="4320"/>
        </w:tabs>
        <w:ind w:left="4320" w:hanging="360"/>
      </w:pPr>
    </w:lvl>
    <w:lvl w:ilvl="6" w:tplc="9D703E06" w:tentative="1">
      <w:start w:val="1"/>
      <w:numFmt w:val="decimal"/>
      <w:lvlText w:val="%7."/>
      <w:lvlJc w:val="left"/>
      <w:pPr>
        <w:tabs>
          <w:tab w:val="num" w:pos="5040"/>
        </w:tabs>
        <w:ind w:left="5040" w:hanging="360"/>
      </w:pPr>
    </w:lvl>
    <w:lvl w:ilvl="7" w:tplc="BB0A26DE" w:tentative="1">
      <w:start w:val="1"/>
      <w:numFmt w:val="decimal"/>
      <w:lvlText w:val="%8."/>
      <w:lvlJc w:val="left"/>
      <w:pPr>
        <w:tabs>
          <w:tab w:val="num" w:pos="5760"/>
        </w:tabs>
        <w:ind w:left="5760" w:hanging="360"/>
      </w:pPr>
    </w:lvl>
    <w:lvl w:ilvl="8" w:tplc="9F88A7BA" w:tentative="1">
      <w:start w:val="1"/>
      <w:numFmt w:val="decimal"/>
      <w:lvlText w:val="%9."/>
      <w:lvlJc w:val="left"/>
      <w:pPr>
        <w:tabs>
          <w:tab w:val="num" w:pos="6480"/>
        </w:tabs>
        <w:ind w:left="6480" w:hanging="360"/>
      </w:pPr>
    </w:lvl>
  </w:abstractNum>
  <w:abstractNum w:abstractNumId="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AF00CFA"/>
    <w:multiLevelType w:val="hybridMultilevel"/>
    <w:tmpl w:val="00BEB8C2"/>
    <w:lvl w:ilvl="0" w:tplc="86C82C46">
      <w:start w:val="1"/>
      <w:numFmt w:val="decimal"/>
      <w:lvlText w:val="%1."/>
      <w:lvlJc w:val="left"/>
      <w:pPr>
        <w:tabs>
          <w:tab w:val="num" w:pos="720"/>
        </w:tabs>
        <w:ind w:left="720" w:hanging="360"/>
      </w:pPr>
    </w:lvl>
    <w:lvl w:ilvl="1" w:tplc="CEF2B7A4" w:tentative="1">
      <w:start w:val="1"/>
      <w:numFmt w:val="decimal"/>
      <w:lvlText w:val="%2."/>
      <w:lvlJc w:val="left"/>
      <w:pPr>
        <w:tabs>
          <w:tab w:val="num" w:pos="1440"/>
        </w:tabs>
        <w:ind w:left="1440" w:hanging="360"/>
      </w:pPr>
    </w:lvl>
    <w:lvl w:ilvl="2" w:tplc="826605B0" w:tentative="1">
      <w:start w:val="1"/>
      <w:numFmt w:val="decimal"/>
      <w:lvlText w:val="%3."/>
      <w:lvlJc w:val="left"/>
      <w:pPr>
        <w:tabs>
          <w:tab w:val="num" w:pos="2160"/>
        </w:tabs>
        <w:ind w:left="2160" w:hanging="360"/>
      </w:pPr>
    </w:lvl>
    <w:lvl w:ilvl="3" w:tplc="6934665A" w:tentative="1">
      <w:start w:val="1"/>
      <w:numFmt w:val="decimal"/>
      <w:lvlText w:val="%4."/>
      <w:lvlJc w:val="left"/>
      <w:pPr>
        <w:tabs>
          <w:tab w:val="num" w:pos="2880"/>
        </w:tabs>
        <w:ind w:left="2880" w:hanging="360"/>
      </w:pPr>
    </w:lvl>
    <w:lvl w:ilvl="4" w:tplc="25A0CC30" w:tentative="1">
      <w:start w:val="1"/>
      <w:numFmt w:val="decimal"/>
      <w:lvlText w:val="%5."/>
      <w:lvlJc w:val="left"/>
      <w:pPr>
        <w:tabs>
          <w:tab w:val="num" w:pos="3600"/>
        </w:tabs>
        <w:ind w:left="3600" w:hanging="360"/>
      </w:pPr>
    </w:lvl>
    <w:lvl w:ilvl="5" w:tplc="FC6C5C5E" w:tentative="1">
      <w:start w:val="1"/>
      <w:numFmt w:val="decimal"/>
      <w:lvlText w:val="%6."/>
      <w:lvlJc w:val="left"/>
      <w:pPr>
        <w:tabs>
          <w:tab w:val="num" w:pos="4320"/>
        </w:tabs>
        <w:ind w:left="4320" w:hanging="360"/>
      </w:pPr>
    </w:lvl>
    <w:lvl w:ilvl="6" w:tplc="187E0E30" w:tentative="1">
      <w:start w:val="1"/>
      <w:numFmt w:val="decimal"/>
      <w:lvlText w:val="%7."/>
      <w:lvlJc w:val="left"/>
      <w:pPr>
        <w:tabs>
          <w:tab w:val="num" w:pos="5040"/>
        </w:tabs>
        <w:ind w:left="5040" w:hanging="360"/>
      </w:pPr>
    </w:lvl>
    <w:lvl w:ilvl="7" w:tplc="B14C5C74" w:tentative="1">
      <w:start w:val="1"/>
      <w:numFmt w:val="decimal"/>
      <w:lvlText w:val="%8."/>
      <w:lvlJc w:val="left"/>
      <w:pPr>
        <w:tabs>
          <w:tab w:val="num" w:pos="5760"/>
        </w:tabs>
        <w:ind w:left="5760" w:hanging="360"/>
      </w:pPr>
    </w:lvl>
    <w:lvl w:ilvl="8" w:tplc="5096FD94" w:tentative="1">
      <w:start w:val="1"/>
      <w:numFmt w:val="decimal"/>
      <w:lvlText w:val="%9."/>
      <w:lvlJc w:val="left"/>
      <w:pPr>
        <w:tabs>
          <w:tab w:val="num" w:pos="6480"/>
        </w:tabs>
        <w:ind w:left="6480" w:hanging="360"/>
      </w:pPr>
    </w:lvl>
  </w:abstractNum>
  <w:abstractNum w:abstractNumId="10" w15:restartNumberingAfterBreak="0">
    <w:nsid w:val="7E554E84"/>
    <w:multiLevelType w:val="multilevel"/>
    <w:tmpl w:val="267257B6"/>
    <w:styleLink w:val="ListLegal"/>
    <w:lvl w:ilvl="0">
      <w:start w:val="1"/>
      <w:numFmt w:val="decimal"/>
      <w:pStyle w:val="ListLegal1"/>
      <w:lvlText w:val="%1."/>
      <w:lvlJc w:val="left"/>
      <w:pPr>
        <w:ind w:left="2269"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5"/>
  </w:num>
  <w:num w:numId="2">
    <w:abstractNumId w:val="10"/>
  </w:num>
  <w:num w:numId="3">
    <w:abstractNumId w:val="0"/>
  </w:num>
  <w:num w:numId="4">
    <w:abstractNumId w:val="4"/>
  </w:num>
  <w:num w:numId="5">
    <w:abstractNumId w:val="1"/>
  </w:num>
  <w:num w:numId="6">
    <w:abstractNumId w:val="2"/>
  </w:num>
  <w:num w:numId="7">
    <w:abstractNumId w:val="3"/>
  </w:num>
  <w:num w:numId="8">
    <w:abstractNumId w:val="7"/>
  </w:num>
  <w:num w:numId="9">
    <w:abstractNumId w:val="8"/>
  </w:num>
  <w:num w:numId="10">
    <w:abstractNumId w:val="8"/>
  </w:num>
  <w:num w:numId="11">
    <w:abstractNumId w:val="5"/>
  </w:num>
  <w:num w:numId="12">
    <w:abstractNumId w:val="5"/>
  </w:num>
  <w:num w:numId="13">
    <w:abstractNumId w:val="5"/>
  </w:num>
  <w:num w:numId="14">
    <w:abstractNumId w:val="5"/>
  </w:num>
  <w:num w:numId="15">
    <w:abstractNumId w:val="5"/>
  </w:num>
  <w:num w:numId="16">
    <w:abstractNumId w:val="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5"/>
  </w:num>
  <w:num w:numId="20">
    <w:abstractNumId w:val="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5"/>
  </w:num>
  <w:num w:numId="40">
    <w:abstractNumId w:val="5"/>
  </w:num>
  <w:num w:numId="41">
    <w:abstractNumId w:val="5"/>
  </w:num>
  <w:num w:numId="4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9C"/>
    <w:rsid w:val="0000131B"/>
    <w:rsid w:val="0001430B"/>
    <w:rsid w:val="00024E97"/>
    <w:rsid w:val="00024F46"/>
    <w:rsid w:val="000341E0"/>
    <w:rsid w:val="000474EB"/>
    <w:rsid w:val="0005429C"/>
    <w:rsid w:val="00060354"/>
    <w:rsid w:val="00062740"/>
    <w:rsid w:val="00064AF5"/>
    <w:rsid w:val="00067445"/>
    <w:rsid w:val="00072740"/>
    <w:rsid w:val="00074404"/>
    <w:rsid w:val="00083CE5"/>
    <w:rsid w:val="00091697"/>
    <w:rsid w:val="0009564F"/>
    <w:rsid w:val="000B08D1"/>
    <w:rsid w:val="000B665E"/>
    <w:rsid w:val="000C1119"/>
    <w:rsid w:val="000D2797"/>
    <w:rsid w:val="000D29FC"/>
    <w:rsid w:val="000D639C"/>
    <w:rsid w:val="000E24BA"/>
    <w:rsid w:val="000E5674"/>
    <w:rsid w:val="000E7E9F"/>
    <w:rsid w:val="000F0130"/>
    <w:rsid w:val="000F0F89"/>
    <w:rsid w:val="000F3AF6"/>
    <w:rsid w:val="001109C3"/>
    <w:rsid w:val="00127398"/>
    <w:rsid w:val="00130D94"/>
    <w:rsid w:val="001349C6"/>
    <w:rsid w:val="00140888"/>
    <w:rsid w:val="00151CF6"/>
    <w:rsid w:val="0015257E"/>
    <w:rsid w:val="001606C9"/>
    <w:rsid w:val="001619FA"/>
    <w:rsid w:val="0016493F"/>
    <w:rsid w:val="001653B4"/>
    <w:rsid w:val="00176BF2"/>
    <w:rsid w:val="00180B5B"/>
    <w:rsid w:val="001A5A80"/>
    <w:rsid w:val="001A73FC"/>
    <w:rsid w:val="001B4E83"/>
    <w:rsid w:val="001B66C2"/>
    <w:rsid w:val="001D47C0"/>
    <w:rsid w:val="001D659E"/>
    <w:rsid w:val="001E1D59"/>
    <w:rsid w:val="001E62CE"/>
    <w:rsid w:val="0020052F"/>
    <w:rsid w:val="00203702"/>
    <w:rsid w:val="00204755"/>
    <w:rsid w:val="002179CC"/>
    <w:rsid w:val="00222177"/>
    <w:rsid w:val="00222611"/>
    <w:rsid w:val="002229F7"/>
    <w:rsid w:val="00224BE3"/>
    <w:rsid w:val="002254D5"/>
    <w:rsid w:val="0022611D"/>
    <w:rsid w:val="00226525"/>
    <w:rsid w:val="00234E65"/>
    <w:rsid w:val="0023777A"/>
    <w:rsid w:val="00246ABC"/>
    <w:rsid w:val="00252323"/>
    <w:rsid w:val="0026422D"/>
    <w:rsid w:val="00266955"/>
    <w:rsid w:val="002773D1"/>
    <w:rsid w:val="00284164"/>
    <w:rsid w:val="00287384"/>
    <w:rsid w:val="002959FB"/>
    <w:rsid w:val="002B3569"/>
    <w:rsid w:val="002B7197"/>
    <w:rsid w:val="002C150F"/>
    <w:rsid w:val="002C656B"/>
    <w:rsid w:val="002D233D"/>
    <w:rsid w:val="002E1ADA"/>
    <w:rsid w:val="002F7111"/>
    <w:rsid w:val="002F73C3"/>
    <w:rsid w:val="00303A17"/>
    <w:rsid w:val="00303F5C"/>
    <w:rsid w:val="003103FC"/>
    <w:rsid w:val="0031759A"/>
    <w:rsid w:val="003304A9"/>
    <w:rsid w:val="00330666"/>
    <w:rsid w:val="003427D3"/>
    <w:rsid w:val="003437AA"/>
    <w:rsid w:val="00356307"/>
    <w:rsid w:val="003720E9"/>
    <w:rsid w:val="00372DCC"/>
    <w:rsid w:val="0038444F"/>
    <w:rsid w:val="003B04B9"/>
    <w:rsid w:val="003B0A3C"/>
    <w:rsid w:val="003C625A"/>
    <w:rsid w:val="003D0100"/>
    <w:rsid w:val="003E16B6"/>
    <w:rsid w:val="003F1371"/>
    <w:rsid w:val="003F1F7E"/>
    <w:rsid w:val="003F2EB4"/>
    <w:rsid w:val="003F5523"/>
    <w:rsid w:val="003F775D"/>
    <w:rsid w:val="004074CA"/>
    <w:rsid w:val="00414220"/>
    <w:rsid w:val="004179A5"/>
    <w:rsid w:val="00420F04"/>
    <w:rsid w:val="00426418"/>
    <w:rsid w:val="00427326"/>
    <w:rsid w:val="00430511"/>
    <w:rsid w:val="004356C7"/>
    <w:rsid w:val="00436294"/>
    <w:rsid w:val="004367EA"/>
    <w:rsid w:val="004413A8"/>
    <w:rsid w:val="00450D0E"/>
    <w:rsid w:val="004532B1"/>
    <w:rsid w:val="00454FED"/>
    <w:rsid w:val="00465968"/>
    <w:rsid w:val="00472F3E"/>
    <w:rsid w:val="004739A7"/>
    <w:rsid w:val="00477E77"/>
    <w:rsid w:val="0048292A"/>
    <w:rsid w:val="00483596"/>
    <w:rsid w:val="004848C1"/>
    <w:rsid w:val="004868DF"/>
    <w:rsid w:val="0049153B"/>
    <w:rsid w:val="004A1E81"/>
    <w:rsid w:val="004A3D0A"/>
    <w:rsid w:val="004A4EB9"/>
    <w:rsid w:val="004B1BE9"/>
    <w:rsid w:val="004B6FB0"/>
    <w:rsid w:val="004C0614"/>
    <w:rsid w:val="004C3600"/>
    <w:rsid w:val="004C458B"/>
    <w:rsid w:val="004D06F0"/>
    <w:rsid w:val="004D3CE7"/>
    <w:rsid w:val="004E1EB0"/>
    <w:rsid w:val="004E28B0"/>
    <w:rsid w:val="004F77AA"/>
    <w:rsid w:val="004F7C20"/>
    <w:rsid w:val="005045B6"/>
    <w:rsid w:val="0052128B"/>
    <w:rsid w:val="00526674"/>
    <w:rsid w:val="00526CD7"/>
    <w:rsid w:val="00541213"/>
    <w:rsid w:val="00546218"/>
    <w:rsid w:val="00550958"/>
    <w:rsid w:val="005653A9"/>
    <w:rsid w:val="0057419C"/>
    <w:rsid w:val="005752FD"/>
    <w:rsid w:val="00580E6C"/>
    <w:rsid w:val="00582A04"/>
    <w:rsid w:val="005912BE"/>
    <w:rsid w:val="005963C4"/>
    <w:rsid w:val="005B3972"/>
    <w:rsid w:val="005B3E6D"/>
    <w:rsid w:val="005C2C10"/>
    <w:rsid w:val="005D50BC"/>
    <w:rsid w:val="005E3DF6"/>
    <w:rsid w:val="005E40CA"/>
    <w:rsid w:val="005F175F"/>
    <w:rsid w:val="005F794B"/>
    <w:rsid w:val="00603BD2"/>
    <w:rsid w:val="00605078"/>
    <w:rsid w:val="00611CC1"/>
    <w:rsid w:val="006127CE"/>
    <w:rsid w:val="006208E6"/>
    <w:rsid w:val="006335BA"/>
    <w:rsid w:val="00644C20"/>
    <w:rsid w:val="00655F3E"/>
    <w:rsid w:val="0066135D"/>
    <w:rsid w:val="00664FF7"/>
    <w:rsid w:val="00670650"/>
    <w:rsid w:val="0067443B"/>
    <w:rsid w:val="006851B3"/>
    <w:rsid w:val="00686A7B"/>
    <w:rsid w:val="0069485B"/>
    <w:rsid w:val="006A0F8A"/>
    <w:rsid w:val="006A266A"/>
    <w:rsid w:val="006B1647"/>
    <w:rsid w:val="006C01FB"/>
    <w:rsid w:val="006C5543"/>
    <w:rsid w:val="006E1ECA"/>
    <w:rsid w:val="006E2A0E"/>
    <w:rsid w:val="006F42E5"/>
    <w:rsid w:val="006F57B0"/>
    <w:rsid w:val="007108B4"/>
    <w:rsid w:val="0072079C"/>
    <w:rsid w:val="0072609F"/>
    <w:rsid w:val="00731006"/>
    <w:rsid w:val="00753EC3"/>
    <w:rsid w:val="00761EDC"/>
    <w:rsid w:val="00765387"/>
    <w:rsid w:val="007660E0"/>
    <w:rsid w:val="00767B6E"/>
    <w:rsid w:val="007738B2"/>
    <w:rsid w:val="00781140"/>
    <w:rsid w:val="00787C46"/>
    <w:rsid w:val="007A05BE"/>
    <w:rsid w:val="007A0CD1"/>
    <w:rsid w:val="007A4BB3"/>
    <w:rsid w:val="007B4BAF"/>
    <w:rsid w:val="007B666C"/>
    <w:rsid w:val="007C119C"/>
    <w:rsid w:val="007D0446"/>
    <w:rsid w:val="007D5441"/>
    <w:rsid w:val="007D7CD4"/>
    <w:rsid w:val="007E40AE"/>
    <w:rsid w:val="0080482C"/>
    <w:rsid w:val="008067A1"/>
    <w:rsid w:val="00810F7B"/>
    <w:rsid w:val="00815008"/>
    <w:rsid w:val="0082273C"/>
    <w:rsid w:val="00822DA7"/>
    <w:rsid w:val="00823E03"/>
    <w:rsid w:val="00825037"/>
    <w:rsid w:val="00831092"/>
    <w:rsid w:val="00833543"/>
    <w:rsid w:val="00835773"/>
    <w:rsid w:val="00840953"/>
    <w:rsid w:val="008456D5"/>
    <w:rsid w:val="0084634B"/>
    <w:rsid w:val="008500E4"/>
    <w:rsid w:val="008538B7"/>
    <w:rsid w:val="008605D5"/>
    <w:rsid w:val="0086201D"/>
    <w:rsid w:val="0086540E"/>
    <w:rsid w:val="00883B98"/>
    <w:rsid w:val="0088466B"/>
    <w:rsid w:val="00884E68"/>
    <w:rsid w:val="00893707"/>
    <w:rsid w:val="008940A8"/>
    <w:rsid w:val="008A1887"/>
    <w:rsid w:val="008A3E38"/>
    <w:rsid w:val="008B3901"/>
    <w:rsid w:val="008B6A81"/>
    <w:rsid w:val="008C3BE8"/>
    <w:rsid w:val="008D4D03"/>
    <w:rsid w:val="008E0116"/>
    <w:rsid w:val="008E2A0D"/>
    <w:rsid w:val="008E2FE4"/>
    <w:rsid w:val="008E5BFD"/>
    <w:rsid w:val="008F27B1"/>
    <w:rsid w:val="008F397C"/>
    <w:rsid w:val="009133BC"/>
    <w:rsid w:val="00913707"/>
    <w:rsid w:val="00924CF8"/>
    <w:rsid w:val="00940201"/>
    <w:rsid w:val="00946BCD"/>
    <w:rsid w:val="00955011"/>
    <w:rsid w:val="00965DC2"/>
    <w:rsid w:val="0096687B"/>
    <w:rsid w:val="00977B1A"/>
    <w:rsid w:val="00981F9A"/>
    <w:rsid w:val="009909EC"/>
    <w:rsid w:val="00990AEE"/>
    <w:rsid w:val="0099647D"/>
    <w:rsid w:val="00996B8C"/>
    <w:rsid w:val="009A2AE5"/>
    <w:rsid w:val="009A315F"/>
    <w:rsid w:val="009B00F2"/>
    <w:rsid w:val="009B2FBB"/>
    <w:rsid w:val="009B7F60"/>
    <w:rsid w:val="009D2704"/>
    <w:rsid w:val="009D3EE4"/>
    <w:rsid w:val="009D6C76"/>
    <w:rsid w:val="009E7E52"/>
    <w:rsid w:val="009F404E"/>
    <w:rsid w:val="009F61D5"/>
    <w:rsid w:val="009F7328"/>
    <w:rsid w:val="00A070A2"/>
    <w:rsid w:val="00A103B6"/>
    <w:rsid w:val="00A146EE"/>
    <w:rsid w:val="00A21731"/>
    <w:rsid w:val="00A31A91"/>
    <w:rsid w:val="00A338A7"/>
    <w:rsid w:val="00A55479"/>
    <w:rsid w:val="00A566D9"/>
    <w:rsid w:val="00A70111"/>
    <w:rsid w:val="00A74060"/>
    <w:rsid w:val="00A80A23"/>
    <w:rsid w:val="00A8164A"/>
    <w:rsid w:val="00A82ADA"/>
    <w:rsid w:val="00A832F0"/>
    <w:rsid w:val="00A84ADF"/>
    <w:rsid w:val="00A95970"/>
    <w:rsid w:val="00A9700E"/>
    <w:rsid w:val="00AB2761"/>
    <w:rsid w:val="00AB3238"/>
    <w:rsid w:val="00AB5341"/>
    <w:rsid w:val="00AC4537"/>
    <w:rsid w:val="00AD4EF7"/>
    <w:rsid w:val="00AD7703"/>
    <w:rsid w:val="00AE1A3E"/>
    <w:rsid w:val="00AE48A5"/>
    <w:rsid w:val="00AE4F99"/>
    <w:rsid w:val="00AE5987"/>
    <w:rsid w:val="00AE7A7F"/>
    <w:rsid w:val="00AF0798"/>
    <w:rsid w:val="00B0484D"/>
    <w:rsid w:val="00B05D37"/>
    <w:rsid w:val="00B211E1"/>
    <w:rsid w:val="00B241FA"/>
    <w:rsid w:val="00B27339"/>
    <w:rsid w:val="00B30CB8"/>
    <w:rsid w:val="00B42AC2"/>
    <w:rsid w:val="00B46F7D"/>
    <w:rsid w:val="00B52A23"/>
    <w:rsid w:val="00B6562C"/>
    <w:rsid w:val="00B666D4"/>
    <w:rsid w:val="00B70ADD"/>
    <w:rsid w:val="00B76013"/>
    <w:rsid w:val="00B800E2"/>
    <w:rsid w:val="00B9430D"/>
    <w:rsid w:val="00BB10B5"/>
    <w:rsid w:val="00BB1F16"/>
    <w:rsid w:val="00BB266D"/>
    <w:rsid w:val="00BB3AAC"/>
    <w:rsid w:val="00BB68A9"/>
    <w:rsid w:val="00BC11ED"/>
    <w:rsid w:val="00BC4E79"/>
    <w:rsid w:val="00BC63DB"/>
    <w:rsid w:val="00BE198C"/>
    <w:rsid w:val="00BE3AD8"/>
    <w:rsid w:val="00BE47FE"/>
    <w:rsid w:val="00BE5DEC"/>
    <w:rsid w:val="00BE6F17"/>
    <w:rsid w:val="00BF19D6"/>
    <w:rsid w:val="00BF2446"/>
    <w:rsid w:val="00BF32AB"/>
    <w:rsid w:val="00BF7454"/>
    <w:rsid w:val="00C009E4"/>
    <w:rsid w:val="00C0455C"/>
    <w:rsid w:val="00C10346"/>
    <w:rsid w:val="00C15F0D"/>
    <w:rsid w:val="00C20388"/>
    <w:rsid w:val="00C2057E"/>
    <w:rsid w:val="00C228D4"/>
    <w:rsid w:val="00C27C02"/>
    <w:rsid w:val="00C36B18"/>
    <w:rsid w:val="00C5653D"/>
    <w:rsid w:val="00C56FDF"/>
    <w:rsid w:val="00C57766"/>
    <w:rsid w:val="00C60146"/>
    <w:rsid w:val="00C762C1"/>
    <w:rsid w:val="00C76D5B"/>
    <w:rsid w:val="00C81DC4"/>
    <w:rsid w:val="00C9035E"/>
    <w:rsid w:val="00C9749D"/>
    <w:rsid w:val="00CB5B28"/>
    <w:rsid w:val="00CC29FD"/>
    <w:rsid w:val="00CD15E3"/>
    <w:rsid w:val="00CD1B08"/>
    <w:rsid w:val="00CD233E"/>
    <w:rsid w:val="00CD5B01"/>
    <w:rsid w:val="00CD660E"/>
    <w:rsid w:val="00CD6739"/>
    <w:rsid w:val="00CE49EF"/>
    <w:rsid w:val="00CF340C"/>
    <w:rsid w:val="00CF6CFD"/>
    <w:rsid w:val="00CF763F"/>
    <w:rsid w:val="00CF78A5"/>
    <w:rsid w:val="00D02062"/>
    <w:rsid w:val="00D12F0F"/>
    <w:rsid w:val="00D23311"/>
    <w:rsid w:val="00D2335F"/>
    <w:rsid w:val="00D2530C"/>
    <w:rsid w:val="00D26896"/>
    <w:rsid w:val="00D3125C"/>
    <w:rsid w:val="00D32D59"/>
    <w:rsid w:val="00D33CD4"/>
    <w:rsid w:val="00D445D8"/>
    <w:rsid w:val="00D56075"/>
    <w:rsid w:val="00D5655E"/>
    <w:rsid w:val="00D62C1B"/>
    <w:rsid w:val="00D635BE"/>
    <w:rsid w:val="00D67DEB"/>
    <w:rsid w:val="00D71E3A"/>
    <w:rsid w:val="00D71FC8"/>
    <w:rsid w:val="00D72C18"/>
    <w:rsid w:val="00D92F6A"/>
    <w:rsid w:val="00D93AEC"/>
    <w:rsid w:val="00D9527C"/>
    <w:rsid w:val="00D95C60"/>
    <w:rsid w:val="00D96BC0"/>
    <w:rsid w:val="00DA6576"/>
    <w:rsid w:val="00DD0523"/>
    <w:rsid w:val="00DD09C2"/>
    <w:rsid w:val="00DD73BD"/>
    <w:rsid w:val="00DE4362"/>
    <w:rsid w:val="00DE4FE2"/>
    <w:rsid w:val="00DF10A1"/>
    <w:rsid w:val="00DF350D"/>
    <w:rsid w:val="00E00BF8"/>
    <w:rsid w:val="00E00CD9"/>
    <w:rsid w:val="00E04908"/>
    <w:rsid w:val="00E16D1E"/>
    <w:rsid w:val="00E2218A"/>
    <w:rsid w:val="00E222E7"/>
    <w:rsid w:val="00E26A00"/>
    <w:rsid w:val="00E30CA7"/>
    <w:rsid w:val="00E30EB4"/>
    <w:rsid w:val="00E34E1F"/>
    <w:rsid w:val="00E51F03"/>
    <w:rsid w:val="00E5432A"/>
    <w:rsid w:val="00E5444D"/>
    <w:rsid w:val="00E55BB2"/>
    <w:rsid w:val="00E7049C"/>
    <w:rsid w:val="00E70F26"/>
    <w:rsid w:val="00E73047"/>
    <w:rsid w:val="00E800D9"/>
    <w:rsid w:val="00E8794A"/>
    <w:rsid w:val="00E94FDD"/>
    <w:rsid w:val="00E95BA5"/>
    <w:rsid w:val="00EA2F9B"/>
    <w:rsid w:val="00EC3A60"/>
    <w:rsid w:val="00EC58A2"/>
    <w:rsid w:val="00EF7FF3"/>
    <w:rsid w:val="00F02214"/>
    <w:rsid w:val="00F11869"/>
    <w:rsid w:val="00F1428D"/>
    <w:rsid w:val="00F42121"/>
    <w:rsid w:val="00F472C5"/>
    <w:rsid w:val="00F512E0"/>
    <w:rsid w:val="00F67CDB"/>
    <w:rsid w:val="00F703CB"/>
    <w:rsid w:val="00F828A2"/>
    <w:rsid w:val="00F86FA6"/>
    <w:rsid w:val="00FA37DB"/>
    <w:rsid w:val="00FA55DA"/>
    <w:rsid w:val="00FA7CDE"/>
    <w:rsid w:val="00FB0296"/>
    <w:rsid w:val="00FB5D36"/>
    <w:rsid w:val="00FC32B2"/>
    <w:rsid w:val="00FC34AF"/>
    <w:rsid w:val="00FC797A"/>
    <w:rsid w:val="00FC7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149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C656B"/>
    <w:pPr>
      <w:keepNext/>
      <w:keepLines/>
      <w:spacing w:before="44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C656B"/>
    <w:pPr>
      <w:keepNext/>
      <w:keepLines/>
      <w:spacing w:before="280" w:after="120"/>
      <w:outlineLvl w:val="1"/>
    </w:pPr>
    <w:rPr>
      <w:rFonts w:asciiTheme="majorHAnsi" w:eastAsiaTheme="majorEastAsia" w:hAnsiTheme="majorHAnsi" w:cstheme="majorBidi"/>
      <w:color w:val="347C7E" w:themeColor="accent2"/>
      <w:sz w:val="28"/>
      <w:szCs w:val="26"/>
    </w:rPr>
  </w:style>
  <w:style w:type="paragraph" w:styleId="Heading3">
    <w:name w:val="heading 3"/>
    <w:basedOn w:val="ListLegal1"/>
    <w:next w:val="Normal"/>
    <w:link w:val="Heading3Char"/>
    <w:uiPriority w:val="9"/>
    <w:unhideWhenUsed/>
    <w:qFormat/>
    <w:rsid w:val="00E7049C"/>
    <w:pPr>
      <w:spacing w:before="360"/>
      <w:outlineLvl w:val="2"/>
    </w:pPr>
    <w:rPr>
      <w:b w:val="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C656B"/>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C656B"/>
    <w:rPr>
      <w:rFonts w:asciiTheme="majorHAnsi" w:eastAsiaTheme="majorEastAsia" w:hAnsiTheme="majorHAnsi" w:cstheme="majorBidi"/>
      <w:color w:val="347C7E" w:themeColor="accent2"/>
      <w:sz w:val="28"/>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E7049C"/>
    <w:rPr>
      <w:lang w:val="x-none"/>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990AEE"/>
    <w:pPr>
      <w:spacing w:before="0" w:after="0"/>
    </w:pPr>
    <w:rPr>
      <w:b/>
      <w:iCs/>
      <w:color w:val="347C7E" w:themeColor="accent2"/>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965DC2"/>
    <w:pPr>
      <w:numPr>
        <w:numId w:val="2"/>
      </w:numPr>
      <w:spacing w:before="120"/>
      <w:ind w:left="284"/>
    </w:pPr>
    <w:rPr>
      <w:b/>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2F73C3"/>
    <w:pPr>
      <w:spacing w:before="80" w:after="240"/>
      <w:ind w:left="284"/>
    </w:pPr>
  </w:style>
  <w:style w:type="paragraph" w:customStyle="1" w:styleId="ListNumbered21">
    <w:name w:val="List Numbered 2.1"/>
    <w:basedOn w:val="ListNumbered1"/>
    <w:uiPriority w:val="3"/>
    <w:rsid w:val="00FC32B2"/>
    <w:pPr>
      <w:numPr>
        <w:ilvl w:val="1"/>
      </w:numPr>
      <w:ind w:left="284"/>
    </w:pPr>
  </w:style>
  <w:style w:type="paragraph" w:customStyle="1" w:styleId="ListNumbered311">
    <w:name w:val="List Numbered 3.1.1"/>
    <w:basedOn w:val="ListNumbered21"/>
    <w:uiPriority w:val="3"/>
    <w:rsid w:val="00FC32B2"/>
    <w:pPr>
      <w:numPr>
        <w:ilvl w:val="2"/>
      </w:numPr>
      <w:ind w:left="284"/>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10"/>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10"/>
      </w:numPr>
    </w:pPr>
    <w:rPr>
      <w:kern w:val="12"/>
      <w:sz w:val="20"/>
      <w:szCs w:val="20"/>
    </w:rPr>
  </w:style>
  <w:style w:type="numbering" w:customStyle="1" w:styleId="BoxedBullets">
    <w:name w:val="Boxed Bullets"/>
    <w:uiPriority w:val="99"/>
    <w:rsid w:val="00430511"/>
    <w:pPr>
      <w:numPr>
        <w:numId w:val="9"/>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styleId="NormalWeb">
    <w:name w:val="Normal (Web)"/>
    <w:basedOn w:val="Normal"/>
    <w:uiPriority w:val="99"/>
    <w:unhideWhenUsed/>
    <w:rsid w:val="00B30CB8"/>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0F0F89"/>
    <w:pPr>
      <w:spacing w:before="0" w:after="0"/>
    </w:pPr>
  </w:style>
  <w:style w:type="character" w:styleId="FollowedHyperlink">
    <w:name w:val="FollowedHyperlink"/>
    <w:basedOn w:val="DefaultParagraphFont"/>
    <w:uiPriority w:val="99"/>
    <w:semiHidden/>
    <w:unhideWhenUsed/>
    <w:rsid w:val="00A566D9"/>
    <w:rPr>
      <w:color w:val="0046FF" w:themeColor="followedHyperlink"/>
      <w:u w:val="single"/>
    </w:rPr>
  </w:style>
  <w:style w:type="paragraph" w:styleId="EndnoteText">
    <w:name w:val="endnote text"/>
    <w:basedOn w:val="Normal"/>
    <w:link w:val="EndnoteTextChar"/>
    <w:uiPriority w:val="99"/>
    <w:semiHidden/>
    <w:unhideWhenUsed/>
    <w:rsid w:val="004D06F0"/>
    <w:pPr>
      <w:spacing w:before="0" w:after="0"/>
    </w:pPr>
    <w:rPr>
      <w:sz w:val="20"/>
      <w:szCs w:val="20"/>
    </w:rPr>
  </w:style>
  <w:style w:type="character" w:customStyle="1" w:styleId="EndnoteTextChar">
    <w:name w:val="Endnote Text Char"/>
    <w:basedOn w:val="DefaultParagraphFont"/>
    <w:link w:val="EndnoteText"/>
    <w:uiPriority w:val="99"/>
    <w:semiHidden/>
    <w:rsid w:val="004D06F0"/>
    <w:rPr>
      <w:sz w:val="20"/>
      <w:szCs w:val="20"/>
    </w:rPr>
  </w:style>
  <w:style w:type="character" w:styleId="EndnoteReference">
    <w:name w:val="endnote reference"/>
    <w:basedOn w:val="DefaultParagraphFont"/>
    <w:uiPriority w:val="99"/>
    <w:semiHidden/>
    <w:unhideWhenUsed/>
    <w:rsid w:val="004D06F0"/>
    <w:rPr>
      <w:vertAlign w:val="superscript"/>
    </w:rPr>
  </w:style>
  <w:style w:type="character" w:styleId="Strong">
    <w:name w:val="Strong"/>
    <w:basedOn w:val="DefaultParagraphFont"/>
    <w:uiPriority w:val="22"/>
    <w:qFormat/>
    <w:rsid w:val="00EC3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4180">
      <w:bodyDiv w:val="1"/>
      <w:marLeft w:val="0"/>
      <w:marRight w:val="0"/>
      <w:marTop w:val="0"/>
      <w:marBottom w:val="0"/>
      <w:divBdr>
        <w:top w:val="none" w:sz="0" w:space="0" w:color="auto"/>
        <w:left w:val="none" w:sz="0" w:space="0" w:color="auto"/>
        <w:bottom w:val="none" w:sz="0" w:space="0" w:color="auto"/>
        <w:right w:val="none" w:sz="0" w:space="0" w:color="auto"/>
      </w:divBdr>
      <w:divsChild>
        <w:div w:id="2104761279">
          <w:marLeft w:val="360"/>
          <w:marRight w:val="0"/>
          <w:marTop w:val="0"/>
          <w:marBottom w:val="0"/>
          <w:divBdr>
            <w:top w:val="none" w:sz="0" w:space="0" w:color="auto"/>
            <w:left w:val="none" w:sz="0" w:space="0" w:color="auto"/>
            <w:bottom w:val="none" w:sz="0" w:space="0" w:color="auto"/>
            <w:right w:val="none" w:sz="0" w:space="0" w:color="auto"/>
          </w:divBdr>
        </w:div>
      </w:divsChild>
    </w:div>
    <w:div w:id="161242572">
      <w:bodyDiv w:val="1"/>
      <w:marLeft w:val="0"/>
      <w:marRight w:val="0"/>
      <w:marTop w:val="0"/>
      <w:marBottom w:val="0"/>
      <w:divBdr>
        <w:top w:val="none" w:sz="0" w:space="0" w:color="auto"/>
        <w:left w:val="none" w:sz="0" w:space="0" w:color="auto"/>
        <w:bottom w:val="none" w:sz="0" w:space="0" w:color="auto"/>
        <w:right w:val="none" w:sz="0" w:space="0" w:color="auto"/>
      </w:divBdr>
      <w:divsChild>
        <w:div w:id="55470408">
          <w:marLeft w:val="360"/>
          <w:marRight w:val="0"/>
          <w:marTop w:val="0"/>
          <w:marBottom w:val="0"/>
          <w:divBdr>
            <w:top w:val="none" w:sz="0" w:space="0" w:color="auto"/>
            <w:left w:val="none" w:sz="0" w:space="0" w:color="auto"/>
            <w:bottom w:val="none" w:sz="0" w:space="0" w:color="auto"/>
            <w:right w:val="none" w:sz="0" w:space="0" w:color="auto"/>
          </w:divBdr>
        </w:div>
      </w:divsChild>
    </w:div>
    <w:div w:id="175770359">
      <w:bodyDiv w:val="1"/>
      <w:marLeft w:val="0"/>
      <w:marRight w:val="0"/>
      <w:marTop w:val="0"/>
      <w:marBottom w:val="0"/>
      <w:divBdr>
        <w:top w:val="none" w:sz="0" w:space="0" w:color="auto"/>
        <w:left w:val="none" w:sz="0" w:space="0" w:color="auto"/>
        <w:bottom w:val="none" w:sz="0" w:space="0" w:color="auto"/>
        <w:right w:val="none" w:sz="0" w:space="0" w:color="auto"/>
      </w:divBdr>
    </w:div>
    <w:div w:id="198513691">
      <w:bodyDiv w:val="1"/>
      <w:marLeft w:val="0"/>
      <w:marRight w:val="0"/>
      <w:marTop w:val="0"/>
      <w:marBottom w:val="0"/>
      <w:divBdr>
        <w:top w:val="none" w:sz="0" w:space="0" w:color="auto"/>
        <w:left w:val="none" w:sz="0" w:space="0" w:color="auto"/>
        <w:bottom w:val="none" w:sz="0" w:space="0" w:color="auto"/>
        <w:right w:val="none" w:sz="0" w:space="0" w:color="auto"/>
      </w:divBdr>
      <w:divsChild>
        <w:div w:id="1327436882">
          <w:marLeft w:val="360"/>
          <w:marRight w:val="0"/>
          <w:marTop w:val="0"/>
          <w:marBottom w:val="0"/>
          <w:divBdr>
            <w:top w:val="none" w:sz="0" w:space="0" w:color="auto"/>
            <w:left w:val="none" w:sz="0" w:space="0" w:color="auto"/>
            <w:bottom w:val="none" w:sz="0" w:space="0" w:color="auto"/>
            <w:right w:val="none" w:sz="0" w:space="0" w:color="auto"/>
          </w:divBdr>
        </w:div>
      </w:divsChild>
    </w:div>
    <w:div w:id="208495888">
      <w:bodyDiv w:val="1"/>
      <w:marLeft w:val="0"/>
      <w:marRight w:val="0"/>
      <w:marTop w:val="0"/>
      <w:marBottom w:val="0"/>
      <w:divBdr>
        <w:top w:val="none" w:sz="0" w:space="0" w:color="auto"/>
        <w:left w:val="none" w:sz="0" w:space="0" w:color="auto"/>
        <w:bottom w:val="none" w:sz="0" w:space="0" w:color="auto"/>
        <w:right w:val="none" w:sz="0" w:space="0" w:color="auto"/>
      </w:divBdr>
    </w:div>
    <w:div w:id="252977601">
      <w:bodyDiv w:val="1"/>
      <w:marLeft w:val="0"/>
      <w:marRight w:val="0"/>
      <w:marTop w:val="0"/>
      <w:marBottom w:val="0"/>
      <w:divBdr>
        <w:top w:val="none" w:sz="0" w:space="0" w:color="auto"/>
        <w:left w:val="none" w:sz="0" w:space="0" w:color="auto"/>
        <w:bottom w:val="none" w:sz="0" w:space="0" w:color="auto"/>
        <w:right w:val="none" w:sz="0" w:space="0" w:color="auto"/>
      </w:divBdr>
    </w:div>
    <w:div w:id="280110366">
      <w:bodyDiv w:val="1"/>
      <w:marLeft w:val="0"/>
      <w:marRight w:val="0"/>
      <w:marTop w:val="0"/>
      <w:marBottom w:val="0"/>
      <w:divBdr>
        <w:top w:val="none" w:sz="0" w:space="0" w:color="auto"/>
        <w:left w:val="none" w:sz="0" w:space="0" w:color="auto"/>
        <w:bottom w:val="none" w:sz="0" w:space="0" w:color="auto"/>
        <w:right w:val="none" w:sz="0" w:space="0" w:color="auto"/>
      </w:divBdr>
    </w:div>
    <w:div w:id="298994725">
      <w:bodyDiv w:val="1"/>
      <w:marLeft w:val="0"/>
      <w:marRight w:val="0"/>
      <w:marTop w:val="0"/>
      <w:marBottom w:val="0"/>
      <w:divBdr>
        <w:top w:val="none" w:sz="0" w:space="0" w:color="auto"/>
        <w:left w:val="none" w:sz="0" w:space="0" w:color="auto"/>
        <w:bottom w:val="none" w:sz="0" w:space="0" w:color="auto"/>
        <w:right w:val="none" w:sz="0" w:space="0" w:color="auto"/>
      </w:divBdr>
    </w:div>
    <w:div w:id="311251764">
      <w:bodyDiv w:val="1"/>
      <w:marLeft w:val="0"/>
      <w:marRight w:val="0"/>
      <w:marTop w:val="0"/>
      <w:marBottom w:val="0"/>
      <w:divBdr>
        <w:top w:val="none" w:sz="0" w:space="0" w:color="auto"/>
        <w:left w:val="none" w:sz="0" w:space="0" w:color="auto"/>
        <w:bottom w:val="none" w:sz="0" w:space="0" w:color="auto"/>
        <w:right w:val="none" w:sz="0" w:space="0" w:color="auto"/>
      </w:divBdr>
    </w:div>
    <w:div w:id="362905561">
      <w:bodyDiv w:val="1"/>
      <w:marLeft w:val="0"/>
      <w:marRight w:val="0"/>
      <w:marTop w:val="0"/>
      <w:marBottom w:val="0"/>
      <w:divBdr>
        <w:top w:val="none" w:sz="0" w:space="0" w:color="auto"/>
        <w:left w:val="none" w:sz="0" w:space="0" w:color="auto"/>
        <w:bottom w:val="none" w:sz="0" w:space="0" w:color="auto"/>
        <w:right w:val="none" w:sz="0" w:space="0" w:color="auto"/>
      </w:divBdr>
    </w:div>
    <w:div w:id="570577414">
      <w:bodyDiv w:val="1"/>
      <w:marLeft w:val="0"/>
      <w:marRight w:val="0"/>
      <w:marTop w:val="0"/>
      <w:marBottom w:val="0"/>
      <w:divBdr>
        <w:top w:val="none" w:sz="0" w:space="0" w:color="auto"/>
        <w:left w:val="none" w:sz="0" w:space="0" w:color="auto"/>
        <w:bottom w:val="none" w:sz="0" w:space="0" w:color="auto"/>
        <w:right w:val="none" w:sz="0" w:space="0" w:color="auto"/>
      </w:divBdr>
    </w:div>
    <w:div w:id="722292006">
      <w:bodyDiv w:val="1"/>
      <w:marLeft w:val="0"/>
      <w:marRight w:val="0"/>
      <w:marTop w:val="0"/>
      <w:marBottom w:val="0"/>
      <w:divBdr>
        <w:top w:val="none" w:sz="0" w:space="0" w:color="auto"/>
        <w:left w:val="none" w:sz="0" w:space="0" w:color="auto"/>
        <w:bottom w:val="none" w:sz="0" w:space="0" w:color="auto"/>
        <w:right w:val="none" w:sz="0" w:space="0" w:color="auto"/>
      </w:divBdr>
    </w:div>
    <w:div w:id="805469066">
      <w:bodyDiv w:val="1"/>
      <w:marLeft w:val="0"/>
      <w:marRight w:val="0"/>
      <w:marTop w:val="0"/>
      <w:marBottom w:val="0"/>
      <w:divBdr>
        <w:top w:val="none" w:sz="0" w:space="0" w:color="auto"/>
        <w:left w:val="none" w:sz="0" w:space="0" w:color="auto"/>
        <w:bottom w:val="none" w:sz="0" w:space="0" w:color="auto"/>
        <w:right w:val="none" w:sz="0" w:space="0" w:color="auto"/>
      </w:divBdr>
    </w:div>
    <w:div w:id="834762462">
      <w:bodyDiv w:val="1"/>
      <w:marLeft w:val="0"/>
      <w:marRight w:val="0"/>
      <w:marTop w:val="0"/>
      <w:marBottom w:val="0"/>
      <w:divBdr>
        <w:top w:val="none" w:sz="0" w:space="0" w:color="auto"/>
        <w:left w:val="none" w:sz="0" w:space="0" w:color="auto"/>
        <w:bottom w:val="none" w:sz="0" w:space="0" w:color="auto"/>
        <w:right w:val="none" w:sz="0" w:space="0" w:color="auto"/>
      </w:divBdr>
      <w:divsChild>
        <w:div w:id="462314447">
          <w:marLeft w:val="360"/>
          <w:marRight w:val="0"/>
          <w:marTop w:val="0"/>
          <w:marBottom w:val="0"/>
          <w:divBdr>
            <w:top w:val="none" w:sz="0" w:space="0" w:color="auto"/>
            <w:left w:val="none" w:sz="0" w:space="0" w:color="auto"/>
            <w:bottom w:val="none" w:sz="0" w:space="0" w:color="auto"/>
            <w:right w:val="none" w:sz="0" w:space="0" w:color="auto"/>
          </w:divBdr>
        </w:div>
      </w:divsChild>
    </w:div>
    <w:div w:id="889001031">
      <w:bodyDiv w:val="1"/>
      <w:marLeft w:val="0"/>
      <w:marRight w:val="0"/>
      <w:marTop w:val="0"/>
      <w:marBottom w:val="0"/>
      <w:divBdr>
        <w:top w:val="none" w:sz="0" w:space="0" w:color="auto"/>
        <w:left w:val="none" w:sz="0" w:space="0" w:color="auto"/>
        <w:bottom w:val="none" w:sz="0" w:space="0" w:color="auto"/>
        <w:right w:val="none" w:sz="0" w:space="0" w:color="auto"/>
      </w:divBdr>
    </w:div>
    <w:div w:id="952173834">
      <w:bodyDiv w:val="1"/>
      <w:marLeft w:val="0"/>
      <w:marRight w:val="0"/>
      <w:marTop w:val="0"/>
      <w:marBottom w:val="0"/>
      <w:divBdr>
        <w:top w:val="none" w:sz="0" w:space="0" w:color="auto"/>
        <w:left w:val="none" w:sz="0" w:space="0" w:color="auto"/>
        <w:bottom w:val="none" w:sz="0" w:space="0" w:color="auto"/>
        <w:right w:val="none" w:sz="0" w:space="0" w:color="auto"/>
      </w:divBdr>
    </w:div>
    <w:div w:id="1019156992">
      <w:bodyDiv w:val="1"/>
      <w:marLeft w:val="0"/>
      <w:marRight w:val="0"/>
      <w:marTop w:val="0"/>
      <w:marBottom w:val="0"/>
      <w:divBdr>
        <w:top w:val="none" w:sz="0" w:space="0" w:color="auto"/>
        <w:left w:val="none" w:sz="0" w:space="0" w:color="auto"/>
        <w:bottom w:val="none" w:sz="0" w:space="0" w:color="auto"/>
        <w:right w:val="none" w:sz="0" w:space="0" w:color="auto"/>
      </w:divBdr>
    </w:div>
    <w:div w:id="1061909294">
      <w:bodyDiv w:val="1"/>
      <w:marLeft w:val="0"/>
      <w:marRight w:val="0"/>
      <w:marTop w:val="0"/>
      <w:marBottom w:val="0"/>
      <w:divBdr>
        <w:top w:val="none" w:sz="0" w:space="0" w:color="auto"/>
        <w:left w:val="none" w:sz="0" w:space="0" w:color="auto"/>
        <w:bottom w:val="none" w:sz="0" w:space="0" w:color="auto"/>
        <w:right w:val="none" w:sz="0" w:space="0" w:color="auto"/>
      </w:divBdr>
    </w:div>
    <w:div w:id="1105882952">
      <w:bodyDiv w:val="1"/>
      <w:marLeft w:val="0"/>
      <w:marRight w:val="0"/>
      <w:marTop w:val="0"/>
      <w:marBottom w:val="0"/>
      <w:divBdr>
        <w:top w:val="none" w:sz="0" w:space="0" w:color="auto"/>
        <w:left w:val="none" w:sz="0" w:space="0" w:color="auto"/>
        <w:bottom w:val="none" w:sz="0" w:space="0" w:color="auto"/>
        <w:right w:val="none" w:sz="0" w:space="0" w:color="auto"/>
      </w:divBdr>
    </w:div>
    <w:div w:id="1174108665">
      <w:bodyDiv w:val="1"/>
      <w:marLeft w:val="0"/>
      <w:marRight w:val="0"/>
      <w:marTop w:val="0"/>
      <w:marBottom w:val="0"/>
      <w:divBdr>
        <w:top w:val="none" w:sz="0" w:space="0" w:color="auto"/>
        <w:left w:val="none" w:sz="0" w:space="0" w:color="auto"/>
        <w:bottom w:val="none" w:sz="0" w:space="0" w:color="auto"/>
        <w:right w:val="none" w:sz="0" w:space="0" w:color="auto"/>
      </w:divBdr>
      <w:divsChild>
        <w:div w:id="541674716">
          <w:marLeft w:val="360"/>
          <w:marRight w:val="0"/>
          <w:marTop w:val="0"/>
          <w:marBottom w:val="0"/>
          <w:divBdr>
            <w:top w:val="none" w:sz="0" w:space="0" w:color="auto"/>
            <w:left w:val="none" w:sz="0" w:space="0" w:color="auto"/>
            <w:bottom w:val="none" w:sz="0" w:space="0" w:color="auto"/>
            <w:right w:val="none" w:sz="0" w:space="0" w:color="auto"/>
          </w:divBdr>
        </w:div>
      </w:divsChild>
    </w:div>
    <w:div w:id="1208881881">
      <w:bodyDiv w:val="1"/>
      <w:marLeft w:val="0"/>
      <w:marRight w:val="0"/>
      <w:marTop w:val="0"/>
      <w:marBottom w:val="0"/>
      <w:divBdr>
        <w:top w:val="none" w:sz="0" w:space="0" w:color="auto"/>
        <w:left w:val="none" w:sz="0" w:space="0" w:color="auto"/>
        <w:bottom w:val="none" w:sz="0" w:space="0" w:color="auto"/>
        <w:right w:val="none" w:sz="0" w:space="0" w:color="auto"/>
      </w:divBdr>
    </w:div>
    <w:div w:id="1274479888">
      <w:bodyDiv w:val="1"/>
      <w:marLeft w:val="0"/>
      <w:marRight w:val="0"/>
      <w:marTop w:val="0"/>
      <w:marBottom w:val="0"/>
      <w:divBdr>
        <w:top w:val="none" w:sz="0" w:space="0" w:color="auto"/>
        <w:left w:val="none" w:sz="0" w:space="0" w:color="auto"/>
        <w:bottom w:val="none" w:sz="0" w:space="0" w:color="auto"/>
        <w:right w:val="none" w:sz="0" w:space="0" w:color="auto"/>
      </w:divBdr>
      <w:divsChild>
        <w:div w:id="1655065073">
          <w:marLeft w:val="360"/>
          <w:marRight w:val="0"/>
          <w:marTop w:val="0"/>
          <w:marBottom w:val="0"/>
          <w:divBdr>
            <w:top w:val="none" w:sz="0" w:space="0" w:color="auto"/>
            <w:left w:val="none" w:sz="0" w:space="0" w:color="auto"/>
            <w:bottom w:val="none" w:sz="0" w:space="0" w:color="auto"/>
            <w:right w:val="none" w:sz="0" w:space="0" w:color="auto"/>
          </w:divBdr>
        </w:div>
      </w:divsChild>
    </w:div>
    <w:div w:id="1501962379">
      <w:bodyDiv w:val="1"/>
      <w:marLeft w:val="0"/>
      <w:marRight w:val="0"/>
      <w:marTop w:val="0"/>
      <w:marBottom w:val="0"/>
      <w:divBdr>
        <w:top w:val="none" w:sz="0" w:space="0" w:color="auto"/>
        <w:left w:val="none" w:sz="0" w:space="0" w:color="auto"/>
        <w:bottom w:val="none" w:sz="0" w:space="0" w:color="auto"/>
        <w:right w:val="none" w:sz="0" w:space="0" w:color="auto"/>
      </w:divBdr>
    </w:div>
    <w:div w:id="1576164593">
      <w:bodyDiv w:val="1"/>
      <w:marLeft w:val="0"/>
      <w:marRight w:val="0"/>
      <w:marTop w:val="0"/>
      <w:marBottom w:val="0"/>
      <w:divBdr>
        <w:top w:val="none" w:sz="0" w:space="0" w:color="auto"/>
        <w:left w:val="none" w:sz="0" w:space="0" w:color="auto"/>
        <w:bottom w:val="none" w:sz="0" w:space="0" w:color="auto"/>
        <w:right w:val="none" w:sz="0" w:space="0" w:color="auto"/>
      </w:divBdr>
    </w:div>
    <w:div w:id="1620140988">
      <w:bodyDiv w:val="1"/>
      <w:marLeft w:val="0"/>
      <w:marRight w:val="0"/>
      <w:marTop w:val="0"/>
      <w:marBottom w:val="0"/>
      <w:divBdr>
        <w:top w:val="none" w:sz="0" w:space="0" w:color="auto"/>
        <w:left w:val="none" w:sz="0" w:space="0" w:color="auto"/>
        <w:bottom w:val="none" w:sz="0" w:space="0" w:color="auto"/>
        <w:right w:val="none" w:sz="0" w:space="0" w:color="auto"/>
      </w:divBdr>
    </w:div>
    <w:div w:id="1654942680">
      <w:bodyDiv w:val="1"/>
      <w:marLeft w:val="0"/>
      <w:marRight w:val="0"/>
      <w:marTop w:val="0"/>
      <w:marBottom w:val="0"/>
      <w:divBdr>
        <w:top w:val="none" w:sz="0" w:space="0" w:color="auto"/>
        <w:left w:val="none" w:sz="0" w:space="0" w:color="auto"/>
        <w:bottom w:val="none" w:sz="0" w:space="0" w:color="auto"/>
        <w:right w:val="none" w:sz="0" w:space="0" w:color="auto"/>
      </w:divBdr>
      <w:divsChild>
        <w:div w:id="1525166636">
          <w:marLeft w:val="360"/>
          <w:marRight w:val="0"/>
          <w:marTop w:val="0"/>
          <w:marBottom w:val="0"/>
          <w:divBdr>
            <w:top w:val="none" w:sz="0" w:space="0" w:color="auto"/>
            <w:left w:val="none" w:sz="0" w:space="0" w:color="auto"/>
            <w:bottom w:val="none" w:sz="0" w:space="0" w:color="auto"/>
            <w:right w:val="none" w:sz="0" w:space="0" w:color="auto"/>
          </w:divBdr>
        </w:div>
      </w:divsChild>
    </w:div>
    <w:div w:id="1729455013">
      <w:bodyDiv w:val="1"/>
      <w:marLeft w:val="0"/>
      <w:marRight w:val="0"/>
      <w:marTop w:val="0"/>
      <w:marBottom w:val="0"/>
      <w:divBdr>
        <w:top w:val="none" w:sz="0" w:space="0" w:color="auto"/>
        <w:left w:val="none" w:sz="0" w:space="0" w:color="auto"/>
        <w:bottom w:val="none" w:sz="0" w:space="0" w:color="auto"/>
        <w:right w:val="none" w:sz="0" w:space="0" w:color="auto"/>
      </w:divBdr>
      <w:divsChild>
        <w:div w:id="439301887">
          <w:marLeft w:val="360"/>
          <w:marRight w:val="0"/>
          <w:marTop w:val="0"/>
          <w:marBottom w:val="0"/>
          <w:divBdr>
            <w:top w:val="none" w:sz="0" w:space="0" w:color="auto"/>
            <w:left w:val="none" w:sz="0" w:space="0" w:color="auto"/>
            <w:bottom w:val="none" w:sz="0" w:space="0" w:color="auto"/>
            <w:right w:val="none" w:sz="0" w:space="0" w:color="auto"/>
          </w:divBdr>
        </w:div>
      </w:divsChild>
    </w:div>
    <w:div w:id="1753964374">
      <w:bodyDiv w:val="1"/>
      <w:marLeft w:val="0"/>
      <w:marRight w:val="0"/>
      <w:marTop w:val="0"/>
      <w:marBottom w:val="0"/>
      <w:divBdr>
        <w:top w:val="none" w:sz="0" w:space="0" w:color="auto"/>
        <w:left w:val="none" w:sz="0" w:space="0" w:color="auto"/>
        <w:bottom w:val="none" w:sz="0" w:space="0" w:color="auto"/>
        <w:right w:val="none" w:sz="0" w:space="0" w:color="auto"/>
      </w:divBdr>
    </w:div>
    <w:div w:id="1989430021">
      <w:bodyDiv w:val="1"/>
      <w:marLeft w:val="0"/>
      <w:marRight w:val="0"/>
      <w:marTop w:val="0"/>
      <w:marBottom w:val="0"/>
      <w:divBdr>
        <w:top w:val="none" w:sz="0" w:space="0" w:color="auto"/>
        <w:left w:val="none" w:sz="0" w:space="0" w:color="auto"/>
        <w:bottom w:val="none" w:sz="0" w:space="0" w:color="auto"/>
        <w:right w:val="none" w:sz="0" w:space="0" w:color="auto"/>
      </w:divBdr>
      <w:divsChild>
        <w:div w:id="158271128">
          <w:marLeft w:val="360"/>
          <w:marRight w:val="0"/>
          <w:marTop w:val="0"/>
          <w:marBottom w:val="0"/>
          <w:divBdr>
            <w:top w:val="none" w:sz="0" w:space="0" w:color="auto"/>
            <w:left w:val="none" w:sz="0" w:space="0" w:color="auto"/>
            <w:bottom w:val="none" w:sz="0" w:space="0" w:color="auto"/>
            <w:right w:val="none" w:sz="0" w:space="0" w:color="auto"/>
          </w:divBdr>
        </w:div>
      </w:divsChild>
    </w:div>
    <w:div w:id="2113477712">
      <w:bodyDiv w:val="1"/>
      <w:marLeft w:val="0"/>
      <w:marRight w:val="0"/>
      <w:marTop w:val="0"/>
      <w:marBottom w:val="0"/>
      <w:divBdr>
        <w:top w:val="none" w:sz="0" w:space="0" w:color="auto"/>
        <w:left w:val="none" w:sz="0" w:space="0" w:color="auto"/>
        <w:bottom w:val="none" w:sz="0" w:space="0" w:color="auto"/>
        <w:right w:val="none" w:sz="0" w:space="0" w:color="auto"/>
      </w:divBdr>
    </w:div>
    <w:div w:id="2128347221">
      <w:bodyDiv w:val="1"/>
      <w:marLeft w:val="0"/>
      <w:marRight w:val="0"/>
      <w:marTop w:val="0"/>
      <w:marBottom w:val="0"/>
      <w:divBdr>
        <w:top w:val="none" w:sz="0" w:space="0" w:color="auto"/>
        <w:left w:val="none" w:sz="0" w:space="0" w:color="auto"/>
        <w:bottom w:val="none" w:sz="0" w:space="0" w:color="auto"/>
        <w:right w:val="none" w:sz="0" w:space="0" w:color="auto"/>
      </w:divBdr>
      <w:divsChild>
        <w:div w:id="164334218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www.abs.gov.au/statistics/people/people-and-communities/estimates-and-characteristics-lgbti-populations-australia/latest-release" TargetMode="External"/><Relationship Id="rId3" Type="http://schemas.openxmlformats.org/officeDocument/2006/relationships/hyperlink" Target="https://www.abs.gov.au/statistics/health/disability/disability-ageing-and-carers-australia-summary-findings/2022" TargetMode="External"/><Relationship Id="rId7" Type="http://schemas.openxmlformats.org/officeDocument/2006/relationships/hyperlink" Target="https://www.apsc.gov.au/sites/default/files/2024-05/APS%20Culturally%20and%20Linguistically%20Diverse%20Employment%20Strategy%20and%20Action%20Plan%20-%20Accessible_0.pdf" TargetMode="External"/><Relationship Id="rId2" Type="http://schemas.openxmlformats.org/officeDocument/2006/relationships/hyperlink" Target="https://www.apsc.gov.au/initiatives-and-programs/workforce-information/research-analysis-and-publications/state-service/state-service-report-2023-24/aps-profile/boosting-first-nations-employment" TargetMode="External"/><Relationship Id="rId1" Type="http://schemas.openxmlformats.org/officeDocument/2006/relationships/hyperlink" Target="https://www.abs.gov.au/statistics/people/aboriginal-and-torres-strait-islander-peoples/estimates-aboriginal-and-torres-strait-islander-australians/latest-release" TargetMode="External"/><Relationship Id="rId6" Type="http://schemas.openxmlformats.org/officeDocument/2006/relationships/hyperlink" Target="https://www.apsc.gov.au/sites/default/files/2024-05/APS%20Culturally%20and%20Linguistically%20Diverse%20Employment%20Strategy%20and%20Action%20Plan%20-%20Accessible_0.pdf" TargetMode="External"/><Relationship Id="rId5" Type="http://schemas.openxmlformats.org/officeDocument/2006/relationships/hyperlink" Target="https://australiandisabilitynetwork.org.au/wp-content/uploads/2024/11/What-is-neurodiversity.pdf" TargetMode="External"/><Relationship Id="rId10" Type="http://schemas.openxmlformats.org/officeDocument/2006/relationships/hyperlink" Target="https://www.apsc.gov.au/publication/australian-public-service-gender-equality-strategy-2021-26/our-vision" TargetMode="External"/><Relationship Id="rId4" Type="http://schemas.openxmlformats.org/officeDocument/2006/relationships/hyperlink" Target="https://www.apsc.gov.au/sites/default/files/2020-12/apsc_-_disability_strategy.pdf" TargetMode="External"/><Relationship Id="rId9" Type="http://schemas.openxmlformats.org/officeDocument/2006/relationships/hyperlink" Target="https://www.abs.gov.au/statistics/people/population/population-census/202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91EA8DBD1548CFA4DDD28E3CB8DCC3"/>
        <w:category>
          <w:name w:val="General"/>
          <w:gallery w:val="placeholder"/>
        </w:category>
        <w:types>
          <w:type w:val="bbPlcHdr"/>
        </w:types>
        <w:behaviors>
          <w:behavior w:val="content"/>
        </w:behaviors>
        <w:guid w:val="{5EB7223F-49BF-4978-9D3F-C185E8236582}"/>
      </w:docPartPr>
      <w:docPartBody>
        <w:p w:rsidR="00CB0F39" w:rsidRDefault="00CB0F39">
          <w:pPr>
            <w:pStyle w:val="A791EA8DBD1548CFA4DDD28E3CB8DCC3"/>
          </w:pPr>
          <w:r w:rsidRPr="007F28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39"/>
    <w:rsid w:val="000C144A"/>
    <w:rsid w:val="000D016D"/>
    <w:rsid w:val="00107C45"/>
    <w:rsid w:val="002225C8"/>
    <w:rsid w:val="002249DD"/>
    <w:rsid w:val="00257EF4"/>
    <w:rsid w:val="002E5436"/>
    <w:rsid w:val="00313971"/>
    <w:rsid w:val="00345082"/>
    <w:rsid w:val="00375D7C"/>
    <w:rsid w:val="006A75A0"/>
    <w:rsid w:val="007A5CC8"/>
    <w:rsid w:val="00922F4E"/>
    <w:rsid w:val="00A42E93"/>
    <w:rsid w:val="00A945F6"/>
    <w:rsid w:val="00B6214D"/>
    <w:rsid w:val="00CB0F39"/>
    <w:rsid w:val="00CD5B3A"/>
    <w:rsid w:val="00E62853"/>
    <w:rsid w:val="00FE66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791EA8DBD1548CFA4DDD28E3CB8DCC3">
    <w:name w:val="A791EA8DBD1548CFA4DDD28E3CB8DCC3"/>
  </w:style>
  <w:style w:type="paragraph" w:customStyle="1" w:styleId="1ED7BB723EA04A0BAB20190E9658AC6E">
    <w:name w:val="1ED7BB723EA04A0BAB20190E9658AC6E"/>
  </w:style>
  <w:style w:type="paragraph" w:customStyle="1" w:styleId="773123636FBE4951B6524AA51759403D">
    <w:name w:val="773123636FBE4951B6524AA517594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f525247b-2dd6-4cf0-8edb-36827e7927fa">INTRANET-1820400631-3771</_dlc_DocId>
    <_dlc_DocIdUrl xmlns="f525247b-2dd6-4cf0-8edb-36827e7927fa">
      <Url>https://connect.internal.dotars.gov.au/sites/intranet/_layouts/15/DocIdRedir.aspx?ID=INTRANET-1820400631-3771</Url>
      <Description>INTRANET-1820400631-3771</Description>
    </_dlc_DocIdUrl>
    <Month_x0020__x002d__x0020_Year xmlns="0d6417ab-c317-4a2d-8375-ec9c8adf81e5" xsi:nil="true"/>
    <Pre_x002d_archived xmlns="0d6417ab-c317-4a2d-8375-ec9c8adf81e5" xsi:nil="true"/>
    <ResourceHubPage xmlns="0d6417ab-c317-4a2d-8375-ec9c8adf81e5">7899</ResourceHubPage>
    <SkipGeneration xmlns="0d6417ab-c317-4a2d-8375-ec9c8adf81e5" xsi:nil="true"/>
    <Comments xmlns="0d6417ab-c317-4a2d-8375-ec9c8adf81e5" xsi:nil="true"/>
    <DivPortalsPublicationDate xmlns="f525247b-2dd6-4cf0-8edb-36827e7927fa" xsi:nil="true"/>
    <DivPortalsApprovedBy xmlns="f525247b-2dd6-4cf0-8edb-36827e7927fa" xsi:nil="true"/>
    <Division xmlns="0d6417ab-c317-4a2d-8375-ec9c8adf81e5" xsi:nil="true"/>
    <Jim_x0020_email_x0020_date xmlns="0d6417ab-c317-4a2d-8375-ec9c8adf81e5" xsi:nil="true"/>
    <TaxCatchAll xmlns="f525247b-2dd6-4cf0-8edb-36827e7927fa"/>
    <Skip xmlns="0d6417ab-c317-4a2d-8375-ec9c8adf81e5">true</Ski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6C7FE15E086FE438DB9DC092DE337E9" ma:contentTypeVersion="27" ma:contentTypeDescription="Create a new document." ma:contentTypeScope="" ma:versionID="3f9b5b3eee6c6a1fd4caed6c7b11de54">
  <xsd:schema xmlns:xsd="http://www.w3.org/2001/XMLSchema" xmlns:xs="http://www.w3.org/2001/XMLSchema" xmlns:p="http://schemas.microsoft.com/office/2006/metadata/properties" xmlns:ns2="0d6417ab-c317-4a2d-8375-ec9c8adf81e5" xmlns:ns3="f525247b-2dd6-4cf0-8edb-36827e7927fa" targetNamespace="http://schemas.microsoft.com/office/2006/metadata/properties" ma:root="true" ma:fieldsID="d2ac9a7b93741427fc1524fd00c613b8" ns2:_="" ns3:_="">
    <xsd:import namespace="0d6417ab-c317-4a2d-8375-ec9c8adf81e5"/>
    <xsd:import namespace="f525247b-2dd6-4cf0-8edb-36827e7927fa"/>
    <xsd:element name="properties">
      <xsd:complexType>
        <xsd:sequence>
          <xsd:element name="documentManagement">
            <xsd:complexType>
              <xsd:all>
                <xsd:element ref="ns2:ResourceHubPage" minOccurs="0"/>
                <xsd:element ref="ns2:SkipGeneration" minOccurs="0"/>
                <xsd:element ref="ns2:Skip" minOccurs="0"/>
                <xsd:element ref="ns3:_dlc_DocId" minOccurs="0"/>
                <xsd:element ref="ns3:_dlc_DocIdUrl" minOccurs="0"/>
                <xsd:element ref="ns3:_dlc_DocIdPersistId" minOccurs="0"/>
                <xsd:element ref="ns2:Comments" minOccurs="0"/>
                <xsd:element ref="ns3:DivPortalsPublicationDate" minOccurs="0"/>
                <xsd:element ref="ns3:DivPortalsApprovedBy" minOccurs="0"/>
                <xsd:element ref="ns3:SharedWithUsers" minOccurs="0"/>
                <xsd:element ref="ns3:SharedWithDetails" minOccurs="0"/>
                <xsd:element ref="ns3:TaxCatchAll" minOccurs="0"/>
                <xsd:element ref="ns2:Division" minOccurs="0"/>
                <xsd:element ref="ns2:Jim_x0020_email_x0020_date" minOccurs="0"/>
                <xsd:element ref="ns2:Month_x0020__x002d__x0020_Year" minOccurs="0"/>
                <xsd:element ref="ns2:Pre_x002d_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417ab-c317-4a2d-8375-ec9c8adf81e5" elementFormDefault="qualified">
    <xsd:import namespace="http://schemas.microsoft.com/office/2006/documentManagement/types"/>
    <xsd:import namespace="http://schemas.microsoft.com/office/infopath/2007/PartnerControls"/>
    <xsd:element name="ResourceHubPage" ma:index="8" nillable="true" ma:displayName="ResourceHubPage" ma:indexed="true" ma:list="{de82dd9b-593d-4425-a1a0-8b42d0d727ea}" ma:internalName="ResourceHubPage" ma:showField="Title">
      <xsd:simpleType>
        <xsd:restriction base="dms:Lookup"/>
      </xsd:simpleType>
    </xsd:element>
    <xsd:element name="SkipGeneration" ma:index="9" nillable="true" ma:displayName="SkipGeneration" ma:format="Dropdown" ma:internalName="SkipGeneration">
      <xsd:simpleType>
        <xsd:restriction base="dms:Choice">
          <xsd:enumeration value="Skip"/>
        </xsd:restriction>
      </xsd:simpleType>
    </xsd:element>
    <xsd:element name="Skip" ma:index="10" nillable="true" ma:displayName="Skip" ma:default="1" ma:internalName="Skip">
      <xsd:simpleType>
        <xsd:restriction base="dms:Boolean"/>
      </xsd:simpleType>
    </xsd:element>
    <xsd:element name="Comments" ma:index="14" nillable="true" ma:displayName="Comments" ma:internalName="Comments">
      <xsd:simpleType>
        <xsd:restriction base="dms:Note">
          <xsd:maxLength value="255"/>
        </xsd:restriction>
      </xsd:simpleType>
    </xsd:element>
    <xsd:element name="Division" ma:index="21" nillable="true" ma:displayName="Division" ma:list="{5ea714aa-605f-440f-bc7e-653a68467797}" ma:internalName="Division" ma:readOnly="false" ma:showField="Title">
      <xsd:simpleType>
        <xsd:restriction base="dms:Lookup"/>
      </xsd:simpleType>
    </xsd:element>
    <xsd:element name="Jim_x0020_email_x0020_date" ma:index="22" nillable="true" ma:displayName="Jim email date" ma:description="Date Jim sent his email" ma:format="DateTime" ma:indexed="true" ma:internalName="Jim_x0020_email_x0020_date">
      <xsd:simpleType>
        <xsd:restriction base="dms:DateTime"/>
      </xsd:simpleType>
    </xsd:element>
    <xsd:element name="Month_x0020__x002d__x0020_Year" ma:index="23" nillable="true" ma:displayName="Month - Year" ma:description="Enter month and year of email" ma:internalName="Month_x0020__x002d__x0020_Year">
      <xsd:simpleType>
        <xsd:restriction base="dms:Text">
          <xsd:maxLength value="255"/>
        </xsd:restriction>
      </xsd:simpleType>
    </xsd:element>
    <xsd:element name="Pre_x002d_archived" ma:index="24" nillable="true" ma:displayName="Pre-archived" ma:internalName="Pre_x002d_archiv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5247b-2dd6-4cf0-8edb-36827e7927f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ivPortalsPublicationDate" ma:index="15" nillable="true" ma:displayName="Publication Date" ma:format="DateOnly" ma:internalName="DivPortalsPublicationDate" ma:readOnly="false">
      <xsd:simpleType>
        <xsd:restriction base="dms:DateTime"/>
      </xsd:simpleType>
    </xsd:element>
    <xsd:element name="DivPortalsApprovedBy" ma:index="16" nillable="true" ma:displayName="Approved By" ma:internalName="DivPortalsApprovedBy" ma:readOnly="false">
      <xsd:simpleType>
        <xsd:restriction base="dms:Text"/>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970842-1b43-4ca5-8ac1-c3c952c54851}" ma:internalName="TaxCatchAll" ma:showField="CatchAllData" ma:web="f525247b-2dd6-4cf0-8edb-36827e792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b:Source>
    <b:Tag>Com</b:Tag>
    <b:SourceType>InternetSite</b:SourceType>
    <b:Guid>{A1407D73-B9A3-44AE-A245-FCBBD7E05B46}</b:Guid>
    <b:URL>Commonwealth Aboriginal and Torres Strait Islander Workforce Strategy 2020-2024. 5% representation at APS4 to 6 levels by 2022, and EL1 and EL2 levels by 2024.  3% representation at SES levels by 2024.</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E6CF72-50CF-4593-A7EC-448651AE07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d6417ab-c317-4a2d-8375-ec9c8adf81e5"/>
    <ds:schemaRef ds:uri="f525247b-2dd6-4cf0-8edb-36827e7927fa"/>
    <ds:schemaRef ds:uri="http://www.w3.org/XML/1998/namespace"/>
  </ds:schemaRefs>
</ds:datastoreItem>
</file>

<file path=customXml/itemProps3.xml><?xml version="1.0" encoding="utf-8"?>
<ds:datastoreItem xmlns:ds="http://schemas.openxmlformats.org/officeDocument/2006/customXml" ds:itemID="{426C0C95-E658-4D1B-AD20-C25B80798D2F}">
  <ds:schemaRefs>
    <ds:schemaRef ds:uri="http://schemas.microsoft.com/sharepoint/v3/contenttype/forms"/>
  </ds:schemaRefs>
</ds:datastoreItem>
</file>

<file path=customXml/itemProps4.xml><?xml version="1.0" encoding="utf-8"?>
<ds:datastoreItem xmlns:ds="http://schemas.openxmlformats.org/officeDocument/2006/customXml" ds:itemID="{04C65DBA-7295-4836-8E8C-77CF90A3300E}">
  <ds:schemaRefs>
    <ds:schemaRef ds:uri="http://schemas.microsoft.com/sharepoint/events"/>
  </ds:schemaRefs>
</ds:datastoreItem>
</file>

<file path=customXml/itemProps5.xml><?xml version="1.0" encoding="utf-8"?>
<ds:datastoreItem xmlns:ds="http://schemas.openxmlformats.org/officeDocument/2006/customXml" ds:itemID="{A1125D59-9B70-4097-B1D8-ABD74CE57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417ab-c317-4a2d-8375-ec9c8adf81e5"/>
    <ds:schemaRef ds:uri="f525247b-2dd6-4cf0-8edb-36827e792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2E5CC6-E5C4-401D-B584-2549F3EE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2708</Words>
  <Characters>15436</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Equity and Inclusion Strategy Roadmap 2025-26</dc:title>
  <dc:subject/>
  <dc:creator>Australian Government, Department of Infrastructure, Transport, Regional Development, Communications, Sport and the Arts</dc:creator>
  <cp:keywords/>
  <dc:description/>
  <cp:lastModifiedBy/>
  <cp:revision>1</cp:revision>
  <dcterms:created xsi:type="dcterms:W3CDTF">2025-10-01T00:41:00Z</dcterms:created>
  <dcterms:modified xsi:type="dcterms:W3CDTF">2025-10-01T00:41:00Z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0x010100C6C7FE15E086FE438DB9DC092DE337E9</vt:lpwstr>
  </property>
  <property fmtid="{D5CDD505-2E9C-101B-9397-08002B2CF9AE}" pid="3" name="_dlc_DocIdItemGuid">
    <vt:lpwstr>aef86aab-0fc5-420e-bd00-72a96493e2d4</vt:lpwstr>
  </property>
</Properties>
</file>