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8F7BCE4" w14:textId="77777777" w:rsidR="00567FAF" w:rsidRDefault="00297528" w:rsidP="00297528">
      <w:pPr>
        <w:ind w:left="-1418"/>
        <w:sectPr w:rsidR="00567FAF" w:rsidSect="0084603E">
          <w:footerReference w:type="default" r:id="rId11"/>
          <w:pgSz w:w="11906" w:h="16838"/>
          <w:pgMar w:top="0" w:right="1440" w:bottom="1440" w:left="1440" w:header="0" w:footer="0" w:gutter="0"/>
          <w:cols w:space="708"/>
          <w:docGrid w:linePitch="360"/>
        </w:sectPr>
      </w:pPr>
      <w:r>
        <w:rPr>
          <w:noProof/>
          <w:lang w:eastAsia="en-AU"/>
        </w:rPr>
        <w:drawing>
          <wp:inline distT="0" distB="0" distL="0" distR="0" wp14:anchorId="6D15FCFF" wp14:editId="7F97C3CF">
            <wp:extent cx="7537757" cy="1349375"/>
            <wp:effectExtent l="0" t="0" r="6350" b="3175"/>
            <wp:docPr id="1" name="Picture 1" descr="Logo: Australian Government, Department of Communications and the Arts.&#10;http://www.communications.gov.au&#10;http://arts.gov.au&#10;&#10;GPO Box 2154, Canberra ACT 2601 Australia.&#10;Telephone 02 6271 1000" title="Logo banner for the Australian Government's Department of Communictions and the 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t comms &amp; Arts header.png"/>
                    <pic:cNvPicPr/>
                  </pic:nvPicPr>
                  <pic:blipFill>
                    <a:blip r:embed="rId12">
                      <a:extLst>
                        <a:ext uri="{28A0092B-C50C-407E-A947-70E740481C1C}">
                          <a14:useLocalDpi xmlns:a14="http://schemas.microsoft.com/office/drawing/2010/main" val="0"/>
                        </a:ext>
                      </a:extLst>
                    </a:blip>
                    <a:stretch>
                      <a:fillRect/>
                    </a:stretch>
                  </pic:blipFill>
                  <pic:spPr>
                    <a:xfrm>
                      <a:off x="0" y="0"/>
                      <a:ext cx="7565339" cy="1354313"/>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73162D86" w14:textId="77777777" w:rsidR="00232E25" w:rsidRPr="004E3940" w:rsidRDefault="00232E25" w:rsidP="00232E25">
      <w:pPr>
        <w:pStyle w:val="Heading1"/>
      </w:pPr>
      <w:r w:rsidRPr="004E3940">
        <w:t>Australian Gover</w:t>
      </w:r>
      <w:bookmarkStart w:id="0" w:name="_GoBack"/>
      <w:bookmarkEnd w:id="0"/>
      <w:r w:rsidRPr="004E3940">
        <w:t xml:space="preserve">nment </w:t>
      </w:r>
      <w:r>
        <w:t xml:space="preserve">draft </w:t>
      </w:r>
      <w:r w:rsidRPr="004E3940">
        <w:t xml:space="preserve">guidelines for the use of </w:t>
      </w:r>
      <w:r>
        <w:t>s</w:t>
      </w:r>
      <w:r w:rsidRPr="004E3940">
        <w:t xml:space="preserve">ection 313(3) of the </w:t>
      </w:r>
      <w:r w:rsidRPr="002E3C5A">
        <w:rPr>
          <w:i/>
        </w:rPr>
        <w:t>Telecommunications Act 1997</w:t>
      </w:r>
      <w:r w:rsidRPr="004E3940">
        <w:t xml:space="preserve"> by government agencies for the lawful disruption of access to online services</w:t>
      </w:r>
    </w:p>
    <w:p w14:paraId="34DD5E73" w14:textId="77777777" w:rsidR="00232E25" w:rsidRPr="002E3C5A" w:rsidRDefault="00232E25" w:rsidP="00232E25">
      <w:pPr>
        <w:pStyle w:val="Subtitle"/>
        <w:rPr>
          <w:color w:val="auto"/>
        </w:rPr>
      </w:pPr>
      <w:r>
        <w:rPr>
          <w:color w:val="auto"/>
        </w:rPr>
        <w:t>April</w:t>
      </w:r>
      <w:r w:rsidRPr="002E3C5A">
        <w:rPr>
          <w:color w:val="auto"/>
        </w:rPr>
        <w:t xml:space="preserve"> 2016</w:t>
      </w:r>
    </w:p>
    <w:p w14:paraId="2B7D237E" w14:textId="77777777" w:rsidR="00232E25" w:rsidRPr="0009516A" w:rsidRDefault="00232E25" w:rsidP="00232E25">
      <w:pPr>
        <w:pStyle w:val="Heading2-notshowingincontentsindocument"/>
      </w:pPr>
      <w:r>
        <w:t>Disclaimer</w:t>
      </w:r>
    </w:p>
    <w:p w14:paraId="7AC757B6" w14:textId="77777777" w:rsidR="00232E25" w:rsidRPr="006628F3" w:rsidRDefault="00232E25" w:rsidP="00232E25">
      <w:r>
        <w:t>The material in these guidelines are</w:t>
      </w:r>
      <w:r w:rsidRPr="006628F3">
        <w:t xml:space="preserve"> of a general nature and should not be regarded as legal advice or relied on for assistance in any particular circumstance or emergency situation. In any important matter, you should seek appropriate independent professional advice in relation to your own circumstances.</w:t>
      </w:r>
    </w:p>
    <w:p w14:paraId="4C7CD122" w14:textId="77777777" w:rsidR="00232E25" w:rsidRPr="006628F3" w:rsidRDefault="00232E25" w:rsidP="00232E25">
      <w:r w:rsidRPr="006628F3">
        <w:t>The Commonwealth accepts no responsibility or liability for any damage, loss or expense incurred as a result of the reliance</w:t>
      </w:r>
      <w:r>
        <w:t xml:space="preserve"> on information contained in these guidelines.</w:t>
      </w:r>
    </w:p>
    <w:p w14:paraId="6B6FF478" w14:textId="77777777" w:rsidR="00232E25" w:rsidRPr="0009516A" w:rsidRDefault="00232E25" w:rsidP="00232E25">
      <w:pPr>
        <w:pStyle w:val="Heading2-notshowingincontentsindocument"/>
      </w:pPr>
      <w:r w:rsidRPr="0009516A">
        <w:t>Co</w:t>
      </w:r>
      <w:r>
        <w:t>pyright</w:t>
      </w:r>
    </w:p>
    <w:p w14:paraId="410287BF" w14:textId="77777777" w:rsidR="00232E25" w:rsidRPr="006628F3" w:rsidRDefault="00232E25" w:rsidP="00232E25">
      <w:r w:rsidRPr="006628F3">
        <w:t xml:space="preserve">© Commonwealth of Australia </w:t>
      </w:r>
      <w:r>
        <w:t>2016</w:t>
      </w:r>
    </w:p>
    <w:p w14:paraId="191E7073" w14:textId="77777777" w:rsidR="00232E25" w:rsidRPr="006628F3" w:rsidRDefault="00232E25" w:rsidP="00232E25">
      <w:r w:rsidRPr="006628F3">
        <w:rPr>
          <w:noProof/>
          <w:lang w:eastAsia="en-AU"/>
        </w:rPr>
        <w:drawing>
          <wp:inline distT="0" distB="0" distL="0" distR="0" wp14:anchorId="7C3FE218" wp14:editId="39D1A356">
            <wp:extent cx="836930" cy="293370"/>
            <wp:effectExtent l="0" t="0" r="1270" b="0"/>
            <wp:docPr id="14" name="Picture 14" descr="Logo:  Creative Commons." title="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jpg@01CF4DB8.C9F87BE0"/>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836930" cy="293370"/>
                    </a:xfrm>
                    <a:prstGeom prst="rect">
                      <a:avLst/>
                    </a:prstGeom>
                    <a:noFill/>
                    <a:ln>
                      <a:noFill/>
                    </a:ln>
                  </pic:spPr>
                </pic:pic>
              </a:graphicData>
            </a:graphic>
          </wp:inline>
        </w:drawing>
      </w:r>
      <w:r>
        <w:t>  The material in these guidelines</w:t>
      </w:r>
      <w:r w:rsidRPr="006628F3">
        <w:t xml:space="preserve"> is licensed under a Creative Commons Attribution—3.0 Australia license, with the exception of:</w:t>
      </w:r>
    </w:p>
    <w:p w14:paraId="3FCC98E2" w14:textId="77777777" w:rsidR="00232E25" w:rsidRPr="006628F3" w:rsidRDefault="00232E25" w:rsidP="00232E25">
      <w:pPr>
        <w:pStyle w:val="Bulletlevel1"/>
      </w:pPr>
      <w:r>
        <w:t>the Commonwealth Coat of Arms</w:t>
      </w:r>
    </w:p>
    <w:p w14:paraId="2711FD48" w14:textId="77777777" w:rsidR="00232E25" w:rsidRPr="006628F3" w:rsidRDefault="00232E25" w:rsidP="00232E25">
      <w:pPr>
        <w:pStyle w:val="Bulletlevel1"/>
      </w:pPr>
      <w:r w:rsidRPr="006628F3">
        <w:t>this Department’s logo</w:t>
      </w:r>
    </w:p>
    <w:p w14:paraId="782E6B33" w14:textId="77777777" w:rsidR="00232E25" w:rsidRPr="006628F3" w:rsidRDefault="00232E25" w:rsidP="00232E25">
      <w:pPr>
        <w:pStyle w:val="Bulletlevel1"/>
      </w:pPr>
      <w:r w:rsidRPr="006628F3">
        <w:t>any third party material</w:t>
      </w:r>
    </w:p>
    <w:p w14:paraId="27D37EA3" w14:textId="77777777" w:rsidR="00232E25" w:rsidRPr="006628F3" w:rsidRDefault="00232E25" w:rsidP="00232E25">
      <w:pPr>
        <w:pStyle w:val="Bulletlevel1"/>
      </w:pPr>
      <w:r w:rsidRPr="006628F3">
        <w:t>any material protected by a trademark</w:t>
      </w:r>
      <w:r>
        <w:t>,</w:t>
      </w:r>
      <w:r w:rsidRPr="006628F3">
        <w:t xml:space="preserve"> and</w:t>
      </w:r>
    </w:p>
    <w:p w14:paraId="77ADF779" w14:textId="77777777" w:rsidR="00232E25" w:rsidRPr="006628F3" w:rsidRDefault="00232E25" w:rsidP="00232E25">
      <w:pPr>
        <w:pStyle w:val="Bulletlevel1"/>
      </w:pPr>
      <w:proofErr w:type="gramStart"/>
      <w:r w:rsidRPr="006628F3">
        <w:t>any</w:t>
      </w:r>
      <w:proofErr w:type="gramEnd"/>
      <w:r w:rsidRPr="006628F3">
        <w:t xml:space="preserve"> images and/or photographs.</w:t>
      </w:r>
    </w:p>
    <w:p w14:paraId="67FBC900" w14:textId="77777777" w:rsidR="00232E25" w:rsidRPr="006628F3" w:rsidRDefault="00232E25" w:rsidP="00232E25">
      <w:r w:rsidRPr="006628F3">
        <w:t xml:space="preserve">More information on this CC BY license is set out at the creative commons website: </w:t>
      </w:r>
      <w:hyperlink r:id="rId15" w:history="1">
        <w:r w:rsidRPr="006628F3">
          <w:rPr>
            <w:rStyle w:val="Hyperlink"/>
          </w:rPr>
          <w:t>www.creativecommons.org/licenses/by/3.0/au/</w:t>
        </w:r>
      </w:hyperlink>
      <w:r w:rsidRPr="006628F3">
        <w:t xml:space="preserve">. Enquiries about this license and any use of </w:t>
      </w:r>
      <w:r>
        <w:t>these guidelines</w:t>
      </w:r>
      <w:r w:rsidRPr="006628F3">
        <w:t xml:space="preserve"> can be sent to: </w:t>
      </w:r>
      <w:r>
        <w:t xml:space="preserve">Infrastructure Security and Resilience Branch, </w:t>
      </w:r>
      <w:r w:rsidRPr="006628F3">
        <w:t>Department of Communications and the Arts, GPO Box 2154, Canberra, ACT, 2601.</w:t>
      </w:r>
    </w:p>
    <w:p w14:paraId="415B0281" w14:textId="77777777" w:rsidR="00A7176A" w:rsidRDefault="00A7176A" w:rsidP="00A7176A">
      <w:r>
        <w:br w:type="page"/>
      </w:r>
    </w:p>
    <w:p w14:paraId="5B7BF238" w14:textId="77777777" w:rsidR="00232E25" w:rsidRPr="00A12EDA" w:rsidRDefault="00232E25" w:rsidP="00232E25">
      <w:pPr>
        <w:pStyle w:val="Heading2"/>
      </w:pPr>
      <w:r w:rsidRPr="00A12EDA">
        <w:lastRenderedPageBreak/>
        <w:t>Introduction</w:t>
      </w:r>
    </w:p>
    <w:p w14:paraId="3D0822A3" w14:textId="77777777" w:rsidR="00232E25" w:rsidRDefault="00232E25" w:rsidP="00232E25">
      <w:r>
        <w:t xml:space="preserve">These whole-of-government guidelines have been released in response to the June 2015 report, </w:t>
      </w:r>
      <w:r w:rsidRPr="00A12EDA">
        <w:t xml:space="preserve">Balancing Freedom and Protection, Inquiry into the use of subsection 313(3) of the </w:t>
      </w:r>
      <w:r w:rsidRPr="002E3C5A">
        <w:rPr>
          <w:i/>
        </w:rPr>
        <w:t>Telecommunications Act 1997</w:t>
      </w:r>
      <w:r w:rsidRPr="00A12EDA">
        <w:t xml:space="preserve"> by government agencies to disrupt the operation of illegal online services</w:t>
      </w:r>
      <w:r>
        <w:t xml:space="preserve"> by the former </w:t>
      </w:r>
      <w:r w:rsidRPr="00A12EDA">
        <w:t>House of Representatives</w:t>
      </w:r>
      <w:r>
        <w:t xml:space="preserve"> </w:t>
      </w:r>
      <w:r w:rsidRPr="00A12EDA">
        <w:t>Standing Committee on Infrastructure and Communications</w:t>
      </w:r>
      <w:r>
        <w:t>.</w:t>
      </w:r>
      <w:r>
        <w:rPr>
          <w:rStyle w:val="FootnoteReference"/>
          <w:rFonts w:ascii="Times New Roman" w:hAnsi="Times New Roman" w:cs="Times New Roman"/>
          <w:sz w:val="24"/>
          <w:szCs w:val="24"/>
        </w:rPr>
        <w:footnoteReference w:id="1"/>
      </w:r>
    </w:p>
    <w:p w14:paraId="7C25AE50" w14:textId="77777777" w:rsidR="00232E25" w:rsidRDefault="00232E25" w:rsidP="00232E25">
      <w:r>
        <w:t xml:space="preserve">In July 2014, the then Minister for Communications referred the use of section 313 of the </w:t>
      </w:r>
      <w:r w:rsidRPr="002E3C5A">
        <w:rPr>
          <w:i/>
        </w:rPr>
        <w:t>Telecommunications Act 1997</w:t>
      </w:r>
      <w:r>
        <w:t xml:space="preserve"> to disrupt access to online services to the Committee for inquiry and report. The Minister made the referral following the inadvertent disruption of a number of online services in 2013 as a result of a request relying on section 313(3). The incident prompted concerns about the transparency and accountability associated with such requests, as well as in regard to technical implementation.</w:t>
      </w:r>
    </w:p>
    <w:p w14:paraId="4C9D30DE" w14:textId="77777777" w:rsidR="00232E25" w:rsidRDefault="00232E25" w:rsidP="00232E25">
      <w:r>
        <w:t>In its report, the Committee recommended that the Australian Government adopt whole-of-government guidelines for the use of section 313 by government agencies to disrupt access to online services. The Committee also recommended that agencies using the section to disrupt access to online services have the requisite level of technical expertise to carry out such activity or have access to the expertise</w:t>
      </w:r>
    </w:p>
    <w:p w14:paraId="45688D97" w14:textId="77777777" w:rsidR="00232E25" w:rsidRDefault="00232E25" w:rsidP="00232E25">
      <w:r>
        <w:t>In its response to the report, the Australian Government indicated that it supports the Committee’s recommendations.</w:t>
      </w:r>
    </w:p>
    <w:p w14:paraId="570CA4A2" w14:textId="77777777" w:rsidR="00232E25" w:rsidRDefault="00232E25" w:rsidP="00232E25">
      <w:pPr>
        <w:pStyle w:val="Heading2"/>
      </w:pPr>
      <w:r>
        <w:t>Scope</w:t>
      </w:r>
    </w:p>
    <w:p w14:paraId="1B14BF55" w14:textId="77777777" w:rsidR="00232E25" w:rsidRPr="00ED3F5E" w:rsidRDefault="00232E25" w:rsidP="00232E25">
      <w:r w:rsidRPr="00872EFF">
        <w:t>These guidelines relate to government agencies’ use of section 313(3) to request internet service providers disrupt access to certain online services by blocking websites.</w:t>
      </w:r>
      <w:r w:rsidRPr="00872EFF">
        <w:rPr>
          <w:rStyle w:val="FootnoteReference"/>
          <w:rFonts w:ascii="Times New Roman" w:hAnsi="Times New Roman" w:cs="Times New Roman"/>
          <w:sz w:val="24"/>
          <w:szCs w:val="24"/>
        </w:rPr>
        <w:footnoteReference w:id="2"/>
      </w:r>
    </w:p>
    <w:p w14:paraId="05FCE99D" w14:textId="77777777" w:rsidR="00232E25" w:rsidRPr="00E752DF" w:rsidRDefault="00232E25" w:rsidP="00232E25">
      <w:r>
        <w:t xml:space="preserve">Section 313(3) of the </w:t>
      </w:r>
      <w:r w:rsidRPr="00E752DF">
        <w:rPr>
          <w:i/>
        </w:rPr>
        <w:t>Telecommunications Act 1997</w:t>
      </w:r>
      <w:r>
        <w:t xml:space="preserve"> requires carriers and carriage service providers, in connection with their operation of telecommunications networks and facilities or the supply of carriage services, give officers and authorities of the Commonwealth, states and territories </w:t>
      </w:r>
      <w:r w:rsidRPr="00E752DF">
        <w:t xml:space="preserve">such help as is reasonably necessary </w:t>
      </w:r>
      <w:r>
        <w:t>to:</w:t>
      </w:r>
    </w:p>
    <w:p w14:paraId="529AD552" w14:textId="77777777" w:rsidR="00232E25" w:rsidRPr="00E752DF" w:rsidRDefault="00232E25" w:rsidP="00232E25">
      <w:pPr>
        <w:pStyle w:val="Bulletlevel1"/>
        <w:spacing w:after="200"/>
      </w:pPr>
      <w:r w:rsidRPr="00E752DF">
        <w:t>enforce the criminal law and laws imposing pecuniary penalties;</w:t>
      </w:r>
    </w:p>
    <w:p w14:paraId="18F687DA" w14:textId="77777777" w:rsidR="00232E25" w:rsidRPr="00E752DF" w:rsidRDefault="00232E25" w:rsidP="00232E25">
      <w:pPr>
        <w:pStyle w:val="Bulletlevel1"/>
        <w:spacing w:after="200"/>
      </w:pPr>
      <w:r w:rsidRPr="00E752DF">
        <w:t>assist in the enforcement of the criminal laws in force in a foreign country;</w:t>
      </w:r>
    </w:p>
    <w:p w14:paraId="44C68099" w14:textId="77777777" w:rsidR="00232E25" w:rsidRPr="00E752DF" w:rsidRDefault="00232E25" w:rsidP="00232E25">
      <w:pPr>
        <w:pStyle w:val="Bulletlevel1"/>
        <w:spacing w:after="200"/>
      </w:pPr>
      <w:r w:rsidRPr="00E752DF">
        <w:t>protect the public revenue;</w:t>
      </w:r>
      <w:r>
        <w:t xml:space="preserve"> and</w:t>
      </w:r>
    </w:p>
    <w:p w14:paraId="0E405596" w14:textId="77777777" w:rsidR="00232E25" w:rsidRPr="00E752DF" w:rsidRDefault="00232E25" w:rsidP="00232E25">
      <w:pPr>
        <w:pStyle w:val="Bulletlevel1"/>
        <w:spacing w:after="200"/>
      </w:pPr>
      <w:proofErr w:type="gramStart"/>
      <w:r w:rsidRPr="00E752DF">
        <w:t>safeguard</w:t>
      </w:r>
      <w:proofErr w:type="gramEnd"/>
      <w:r w:rsidRPr="00E752DF">
        <w:t xml:space="preserve"> national security.</w:t>
      </w:r>
    </w:p>
    <w:p w14:paraId="55201376" w14:textId="77777777" w:rsidR="00232E25" w:rsidRPr="00B41321" w:rsidRDefault="00232E25" w:rsidP="00232E25">
      <w:pPr>
        <w:pStyle w:val="Heading2"/>
      </w:pPr>
      <w:r w:rsidRPr="00B41321">
        <w:t>Applicability</w:t>
      </w:r>
    </w:p>
    <w:p w14:paraId="4A978A01" w14:textId="77777777" w:rsidR="00232E25" w:rsidRDefault="00232E25" w:rsidP="00232E25">
      <w:r w:rsidRPr="00CD0E37">
        <w:t xml:space="preserve">These guidelines apply to Australian Government agencies. </w:t>
      </w:r>
      <w:r>
        <w:t>State and Territory agencies are encouraged to follow these guidelines should they rely on section 313(3) to disrupt access to online services.</w:t>
      </w:r>
    </w:p>
    <w:p w14:paraId="32963709" w14:textId="77777777" w:rsidR="00232E25" w:rsidRPr="00495D77" w:rsidRDefault="00232E25" w:rsidP="00232E25">
      <w:pPr>
        <w:pStyle w:val="Heading2"/>
      </w:pPr>
      <w:r>
        <w:lastRenderedPageBreak/>
        <w:t>Good</w:t>
      </w:r>
      <w:r w:rsidRPr="00495D77">
        <w:t xml:space="preserve"> practice use of section 313</w:t>
      </w:r>
      <w:r>
        <w:t>(3)</w:t>
      </w:r>
    </w:p>
    <w:p w14:paraId="47CA129C" w14:textId="77777777" w:rsidR="00232E25" w:rsidRDefault="00232E25" w:rsidP="00232E25">
      <w:r w:rsidRPr="00872EFF">
        <w:t xml:space="preserve">A summary of </w:t>
      </w:r>
      <w:r>
        <w:t>good</w:t>
      </w:r>
      <w:r w:rsidRPr="00872EFF">
        <w:t xml:space="preserve"> practice measures for agencies to follow when making section 313(3) requests is provided below</w:t>
      </w:r>
      <w:r>
        <w:t xml:space="preserve">. These are consistent with the recommendations of the </w:t>
      </w:r>
      <w:r w:rsidRPr="00086FBD">
        <w:t>House of Representatives Standing Committee on Infrastructure and Communications</w:t>
      </w:r>
      <w:r>
        <w:t xml:space="preserve"> and are further explained on the following pages.</w:t>
      </w:r>
    </w:p>
    <w:p w14:paraId="2E38C94F" w14:textId="77777777" w:rsidR="00232E25" w:rsidRDefault="00232E25" w:rsidP="00232E25">
      <w:r>
        <w:t xml:space="preserve">The measures promote the transparent, accountable and responsible use of the section while recognising that agencies have different operational needs. Such an approach helps ensure that </w:t>
      </w:r>
      <w:r w:rsidRPr="001A5D06">
        <w:t>agenc</w:t>
      </w:r>
      <w:r>
        <w:t>ies</w:t>
      </w:r>
      <w:r w:rsidRPr="001A5D06">
        <w:t xml:space="preserve"> online disruption activities </w:t>
      </w:r>
      <w:r>
        <w:t xml:space="preserve">are effective and </w:t>
      </w:r>
      <w:r w:rsidRPr="001A5D06">
        <w:t>in line with community expectations.</w:t>
      </w:r>
    </w:p>
    <w:p w14:paraId="538F9EFC" w14:textId="77777777" w:rsidR="00232E25" w:rsidRPr="00D82F8E" w:rsidRDefault="00232E25" w:rsidP="00232E25">
      <w:pPr>
        <w:pStyle w:val="Heading2"/>
      </w:pPr>
      <w:r>
        <w:t>Summary of good practice measures</w:t>
      </w:r>
    </w:p>
    <w:p w14:paraId="47D307BB" w14:textId="77777777" w:rsidR="00232E25" w:rsidRPr="002E3C5A" w:rsidRDefault="00232E25" w:rsidP="00232E25">
      <w:pPr>
        <w:pStyle w:val="ListParagraph"/>
        <w:numPr>
          <w:ilvl w:val="0"/>
          <w:numId w:val="18"/>
        </w:numPr>
        <w:spacing w:after="0"/>
        <w:ind w:left="567" w:hanging="567"/>
      </w:pPr>
      <w:r w:rsidRPr="002E3C5A">
        <w:t xml:space="preserve">Obtain authority from the agency head as a minimum to be able to make use of section 313(3) to disrupt access to online services </w:t>
      </w:r>
    </w:p>
    <w:p w14:paraId="05DC7724" w14:textId="77777777" w:rsidR="00232E25" w:rsidRPr="00812CF1" w:rsidRDefault="00232E25" w:rsidP="00232E25">
      <w:pPr>
        <w:pStyle w:val="Bulletlevel1"/>
        <w:spacing w:after="0"/>
        <w:ind w:left="1134"/>
      </w:pPr>
      <w:r w:rsidRPr="00812CF1">
        <w:t xml:space="preserve">Ensure each request </w:t>
      </w:r>
      <w:r w:rsidRPr="00163158">
        <w:t>to an internet service provider</w:t>
      </w:r>
      <w:r>
        <w:t xml:space="preserve"> </w:t>
      </w:r>
      <w:r w:rsidRPr="00812CF1">
        <w:t xml:space="preserve">is approved by </w:t>
      </w:r>
      <w:r>
        <w:t>an SES officer or equivalent</w:t>
      </w:r>
    </w:p>
    <w:p w14:paraId="75D34A43" w14:textId="77777777" w:rsidR="00232E25" w:rsidRPr="002E3C5A" w:rsidRDefault="00232E25" w:rsidP="00232E25">
      <w:pPr>
        <w:pStyle w:val="ListParagraph"/>
        <w:numPr>
          <w:ilvl w:val="0"/>
          <w:numId w:val="18"/>
        </w:numPr>
        <w:spacing w:after="0"/>
        <w:ind w:left="567" w:hanging="567"/>
      </w:pPr>
      <w:r w:rsidRPr="002E3C5A">
        <w:t xml:space="preserve">Develop, maintain and publish internal policies and procedures for disruption requests </w:t>
      </w:r>
    </w:p>
    <w:p w14:paraId="45D4D04B" w14:textId="77777777" w:rsidR="00232E25" w:rsidRDefault="00232E25" w:rsidP="00232E25">
      <w:pPr>
        <w:pStyle w:val="Bulletlevel1"/>
        <w:spacing w:after="0"/>
        <w:ind w:left="1134"/>
      </w:pPr>
      <w:r>
        <w:t>S</w:t>
      </w:r>
      <w:r w:rsidRPr="008D06BE">
        <w:t>pecify how long a disruption is to remain in place</w:t>
      </w:r>
    </w:p>
    <w:p w14:paraId="1047B314" w14:textId="77777777" w:rsidR="00232E25" w:rsidRPr="00ED3F5E" w:rsidRDefault="00232E25" w:rsidP="00232E25">
      <w:pPr>
        <w:pStyle w:val="Bulletlevel1"/>
        <w:spacing w:after="0"/>
        <w:ind w:left="1134"/>
      </w:pPr>
      <w:r w:rsidRPr="00ED3F5E">
        <w:t>Monitor and evaluate disruptions</w:t>
      </w:r>
    </w:p>
    <w:p w14:paraId="29ADB3F9" w14:textId="77777777" w:rsidR="00232E25" w:rsidRPr="002E3C5A" w:rsidRDefault="00232E25" w:rsidP="00232E25">
      <w:pPr>
        <w:pStyle w:val="ListParagraph"/>
        <w:numPr>
          <w:ilvl w:val="0"/>
          <w:numId w:val="18"/>
        </w:numPr>
        <w:spacing w:after="0"/>
        <w:ind w:left="567" w:hanging="567"/>
      </w:pPr>
      <w:r w:rsidRPr="002E3C5A">
        <w:t>Limit disruptions to serious criminal or civil offences, or threats to national security</w:t>
      </w:r>
    </w:p>
    <w:p w14:paraId="07DE29A8" w14:textId="77777777" w:rsidR="00232E25" w:rsidRDefault="00232E25" w:rsidP="00232E25">
      <w:pPr>
        <w:pStyle w:val="Bulletlevel1"/>
        <w:spacing w:after="0"/>
        <w:ind w:left="1134"/>
      </w:pPr>
      <w:r>
        <w:t>Make requests as targeted as possible</w:t>
      </w:r>
    </w:p>
    <w:p w14:paraId="70F0CF78" w14:textId="77777777" w:rsidR="00232E25" w:rsidRPr="00ED3F5E" w:rsidRDefault="00232E25" w:rsidP="00232E25">
      <w:pPr>
        <w:pStyle w:val="Bulletlevel1"/>
        <w:spacing w:after="0"/>
        <w:ind w:left="1134"/>
      </w:pPr>
      <w:r w:rsidRPr="00ED3F5E">
        <w:t>Consult internet service providers prior to making a request</w:t>
      </w:r>
      <w:r w:rsidRPr="00ED3F5E" w:rsidDel="008852C2">
        <w:t xml:space="preserve"> </w:t>
      </w:r>
    </w:p>
    <w:p w14:paraId="61542CB2" w14:textId="77777777" w:rsidR="00232E25" w:rsidRPr="002E3C5A" w:rsidRDefault="00232E25" w:rsidP="00232E25">
      <w:pPr>
        <w:pStyle w:val="ListParagraph"/>
        <w:numPr>
          <w:ilvl w:val="0"/>
          <w:numId w:val="18"/>
        </w:numPr>
        <w:spacing w:after="0"/>
        <w:ind w:left="567" w:hanging="567"/>
      </w:pPr>
      <w:r w:rsidRPr="002E3C5A">
        <w:t>Provide information to the public through media releases, online posts, ‘stop pages’ and annual reporting</w:t>
      </w:r>
    </w:p>
    <w:p w14:paraId="75439D79" w14:textId="77777777" w:rsidR="00232E25" w:rsidRPr="002E3C5A" w:rsidRDefault="00232E25" w:rsidP="00232E25">
      <w:pPr>
        <w:pStyle w:val="ListParagraph"/>
        <w:numPr>
          <w:ilvl w:val="0"/>
          <w:numId w:val="18"/>
        </w:numPr>
        <w:spacing w:after="0"/>
        <w:ind w:left="567" w:hanging="567"/>
      </w:pPr>
      <w:r w:rsidRPr="002E3C5A">
        <w:t>Have procedures in place to support complaints and reviews</w:t>
      </w:r>
    </w:p>
    <w:p w14:paraId="3DFD31FA" w14:textId="77777777" w:rsidR="00232E25" w:rsidRPr="002E3C5A" w:rsidRDefault="00232E25" w:rsidP="00232E25">
      <w:pPr>
        <w:pStyle w:val="ListParagraph"/>
        <w:numPr>
          <w:ilvl w:val="0"/>
          <w:numId w:val="18"/>
        </w:numPr>
        <w:spacing w:after="200"/>
        <w:ind w:left="567" w:hanging="567"/>
      </w:pPr>
      <w:r w:rsidRPr="002E3C5A">
        <w:t>Have access to the appropriate technical expertise</w:t>
      </w:r>
      <w:r>
        <w:t>.</w:t>
      </w:r>
    </w:p>
    <w:p w14:paraId="357329F3" w14:textId="77777777" w:rsidR="00232E25" w:rsidRPr="00232E25" w:rsidRDefault="00232E25" w:rsidP="00232E25">
      <w:pPr>
        <w:pStyle w:val="Heading3"/>
        <w:ind w:left="0" w:firstLine="0"/>
      </w:pPr>
      <w:r>
        <w:t>1.</w:t>
      </w:r>
      <w:r>
        <w:tab/>
      </w:r>
      <w:r w:rsidRPr="00232E25">
        <w:t>Authority and subsequent approvals</w:t>
      </w:r>
    </w:p>
    <w:p w14:paraId="1E1D18DC" w14:textId="77777777" w:rsidR="00232E25" w:rsidRDefault="00232E25" w:rsidP="00232E25">
      <w:r>
        <w:t xml:space="preserve">Agencies should obtain the authority of their agency head as a minimum </w:t>
      </w:r>
      <w:r w:rsidRPr="00163158">
        <w:t>to use sectio</w:t>
      </w:r>
      <w:r>
        <w:t>n 313(3). The authority should s</w:t>
      </w:r>
      <w:r w:rsidRPr="00163158">
        <w:t xml:space="preserve">et out </w:t>
      </w:r>
      <w:r>
        <w:t>Delegations for</w:t>
      </w:r>
      <w:r w:rsidRPr="00163158">
        <w:t xml:space="preserve"> appro</w:t>
      </w:r>
      <w:r>
        <w:t>ving</w:t>
      </w:r>
      <w:r w:rsidRPr="00163158">
        <w:t xml:space="preserve"> </w:t>
      </w:r>
      <w:r>
        <w:t xml:space="preserve">individual </w:t>
      </w:r>
      <w:r w:rsidRPr="007D4F4F">
        <w:t xml:space="preserve">requests to </w:t>
      </w:r>
      <w:r>
        <w:t>disrupt access to</w:t>
      </w:r>
      <w:r w:rsidRPr="007D4F4F">
        <w:t xml:space="preserve"> </w:t>
      </w:r>
      <w:r>
        <w:t xml:space="preserve">online </w:t>
      </w:r>
      <w:r w:rsidRPr="007D4F4F">
        <w:t xml:space="preserve">services. </w:t>
      </w:r>
      <w:r>
        <w:t>The</w:t>
      </w:r>
      <w:r w:rsidRPr="007D4F4F">
        <w:t xml:space="preserve"> level</w:t>
      </w:r>
      <w:r>
        <w:t xml:space="preserve"> of officer </w:t>
      </w:r>
      <w:r w:rsidRPr="007D4F4F">
        <w:t xml:space="preserve">should be </w:t>
      </w:r>
      <w:r>
        <w:t>an SES officer or equivalent,</w:t>
      </w:r>
      <w:r w:rsidRPr="007D4F4F">
        <w:t xml:space="preserve"> and specified in the agency’s internal policies and procedures.</w:t>
      </w:r>
    </w:p>
    <w:p w14:paraId="5D4F71A2" w14:textId="77777777" w:rsidR="00232E25" w:rsidRPr="00232E25" w:rsidRDefault="00232E25" w:rsidP="00232E25">
      <w:pPr>
        <w:pStyle w:val="Heading3"/>
      </w:pPr>
      <w:r>
        <w:t>2.</w:t>
      </w:r>
      <w:r>
        <w:tab/>
      </w:r>
      <w:r w:rsidRPr="00232E25">
        <w:t>Internal policies and procedures</w:t>
      </w:r>
    </w:p>
    <w:p w14:paraId="4BC73927" w14:textId="77777777" w:rsidR="00232E25" w:rsidRDefault="00232E25" w:rsidP="00232E25">
      <w:r>
        <w:t>To promote transparency and consistency, agencies should develop and maintain policies and procedures for disruption requests.</w:t>
      </w:r>
    </w:p>
    <w:p w14:paraId="34E87D30" w14:textId="77777777" w:rsidR="00232E25" w:rsidRDefault="00232E25" w:rsidP="00232E25">
      <w:r>
        <w:t xml:space="preserve">Where an agency is not able to apply all of these guidelines due to operational, security or other reasons, </w:t>
      </w:r>
      <w:r w:rsidRPr="00163158">
        <w:t>it should</w:t>
      </w:r>
      <w:r>
        <w:t xml:space="preserve"> </w:t>
      </w:r>
      <w:r w:rsidRPr="00163158">
        <w:t>document such departures in its policies and procedures.</w:t>
      </w:r>
    </w:p>
    <w:p w14:paraId="5617631E" w14:textId="77777777" w:rsidR="00232E25" w:rsidRDefault="00232E25" w:rsidP="00232E25">
      <w:r>
        <w:t xml:space="preserve">Agencies should publish their policies and procedures online, noting that Australian Government agencies may be required to do so under the </w:t>
      </w:r>
      <w:r w:rsidRPr="00961D1C">
        <w:t xml:space="preserve">Information Publication Scheme </w:t>
      </w:r>
      <w:r>
        <w:t xml:space="preserve">contained in the </w:t>
      </w:r>
      <w:r w:rsidRPr="00961D1C">
        <w:rPr>
          <w:i/>
        </w:rPr>
        <w:t>Freedom of Information Act 1982</w:t>
      </w:r>
      <w:r>
        <w:rPr>
          <w:i/>
        </w:rPr>
        <w:t xml:space="preserve"> </w:t>
      </w:r>
      <w:r w:rsidRPr="00685466">
        <w:t>(</w:t>
      </w:r>
      <w:proofErr w:type="spellStart"/>
      <w:r w:rsidRPr="00685466">
        <w:t>Cth</w:t>
      </w:r>
      <w:proofErr w:type="spellEnd"/>
      <w:r w:rsidRPr="00685466">
        <w:t>)</w:t>
      </w:r>
      <w:r w:rsidRPr="00961D1C">
        <w:t>.</w:t>
      </w:r>
    </w:p>
    <w:p w14:paraId="5A425714" w14:textId="77777777" w:rsidR="00232E25" w:rsidRDefault="00232E25" w:rsidP="00232E25">
      <w:r w:rsidRPr="00C806AE">
        <w:t>Where it would not be appropriate to publish</w:t>
      </w:r>
      <w:r>
        <w:t xml:space="preserve"> the entire set of policies and procedures</w:t>
      </w:r>
      <w:r w:rsidRPr="00C806AE">
        <w:t xml:space="preserve">, </w:t>
      </w:r>
      <w:r>
        <w:t xml:space="preserve">agencies </w:t>
      </w:r>
      <w:r w:rsidRPr="0054411A">
        <w:t xml:space="preserve">should </w:t>
      </w:r>
      <w:r>
        <w:t xml:space="preserve">consult their portfolio Minister on the decision not to publish. At a minimum agencies should </w:t>
      </w:r>
      <w:r w:rsidRPr="00F80A37">
        <w:t>publish a statement on their website</w:t>
      </w:r>
      <w:r>
        <w:t xml:space="preserve"> noting that they may make requests to disrupt access to online services in </w:t>
      </w:r>
      <w:r>
        <w:lastRenderedPageBreak/>
        <w:t>reliance on section 313(3), but have</w:t>
      </w:r>
      <w:r w:rsidRPr="00DC3561">
        <w:t xml:space="preserve"> determined that it would be inappropriate to publish specific </w:t>
      </w:r>
      <w:r>
        <w:t>policies and procedures.</w:t>
      </w:r>
    </w:p>
    <w:p w14:paraId="3E138AA9" w14:textId="77777777" w:rsidR="00232E25" w:rsidRPr="00424644" w:rsidRDefault="00232E25" w:rsidP="00232E25">
      <w:r>
        <w:t>Section 313(3) r</w:t>
      </w:r>
      <w:r w:rsidRPr="00424644">
        <w:t>equests</w:t>
      </w:r>
      <w:r>
        <w:t xml:space="preserve"> </w:t>
      </w:r>
      <w:r w:rsidRPr="00424644">
        <w:t xml:space="preserve">to </w:t>
      </w:r>
      <w:r>
        <w:t xml:space="preserve">disrupt </w:t>
      </w:r>
      <w:r w:rsidRPr="00424644">
        <w:t xml:space="preserve">access to </w:t>
      </w:r>
      <w:r>
        <w:t xml:space="preserve">online </w:t>
      </w:r>
      <w:r w:rsidRPr="00424644">
        <w:t xml:space="preserve">services should </w:t>
      </w:r>
      <w:r>
        <w:t>expire after a specified time</w:t>
      </w:r>
      <w:r w:rsidRPr="00424644">
        <w:t xml:space="preserve">. </w:t>
      </w:r>
      <w:r>
        <w:t>A</w:t>
      </w:r>
      <w:r w:rsidRPr="00424644">
        <w:t>gencies should evaluate their processes and the outcome after each disruption.</w:t>
      </w:r>
      <w:r>
        <w:t xml:space="preserve"> With</w:t>
      </w:r>
      <w:r w:rsidRPr="00424644">
        <w:t xml:space="preserve"> the transient nature of the internet</w:t>
      </w:r>
      <w:r>
        <w:t xml:space="preserve">, </w:t>
      </w:r>
      <w:r w:rsidRPr="00424644">
        <w:t xml:space="preserve">agencies should have ‘self-review’ procedures to </w:t>
      </w:r>
      <w:r>
        <w:t>monitor</w:t>
      </w:r>
      <w:r w:rsidRPr="00424644">
        <w:t xml:space="preserve"> </w:t>
      </w:r>
      <w:r>
        <w:t>ongoing disruptions and</w:t>
      </w:r>
      <w:r w:rsidRPr="00424644">
        <w:t xml:space="preserve"> ensure </w:t>
      </w:r>
      <w:r>
        <w:t>they remain appropriate.</w:t>
      </w:r>
    </w:p>
    <w:p w14:paraId="0EBB3A8F" w14:textId="77777777" w:rsidR="00232E25" w:rsidRPr="00ED3F5E" w:rsidRDefault="00232E25" w:rsidP="00232E25">
      <w:pPr>
        <w:pStyle w:val="Heading3"/>
      </w:pPr>
      <w:r>
        <w:t>3.</w:t>
      </w:r>
      <w:r>
        <w:tab/>
      </w:r>
      <w:r w:rsidRPr="00232E25">
        <w:t>Limiting</w:t>
      </w:r>
      <w:r>
        <w:t xml:space="preserve"> disruption</w:t>
      </w:r>
      <w:r w:rsidRPr="00ED3F5E">
        <w:t xml:space="preserve"> </w:t>
      </w:r>
    </w:p>
    <w:p w14:paraId="3FC2262A" w14:textId="77777777" w:rsidR="00232E25" w:rsidRDefault="00232E25" w:rsidP="00232E25">
      <w:r>
        <w:t>A</w:t>
      </w:r>
      <w:r w:rsidRPr="002C42CE">
        <w:t xml:space="preserve">gencies </w:t>
      </w:r>
      <w:r>
        <w:t xml:space="preserve">should </w:t>
      </w:r>
      <w:r w:rsidRPr="002C42CE">
        <w:t>limit disruptions to cases involving serious criminal or civil offences, or threats to national security.</w:t>
      </w:r>
      <w:r>
        <w:t xml:space="preserve"> A</w:t>
      </w:r>
      <w:r w:rsidRPr="002C42CE">
        <w:t xml:space="preserve">n appropriate threshold would be </w:t>
      </w:r>
      <w:r w:rsidRPr="00F3741A">
        <w:t xml:space="preserve">offences </w:t>
      </w:r>
      <w:r w:rsidRPr="002C42CE">
        <w:t xml:space="preserve">that carry a </w:t>
      </w:r>
      <w:r>
        <w:t xml:space="preserve">maximum </w:t>
      </w:r>
      <w:r w:rsidRPr="002C42CE">
        <w:t>prison term of at least two years or</w:t>
      </w:r>
      <w:r>
        <w:t>,</w:t>
      </w:r>
      <w:r w:rsidRPr="002C42CE">
        <w:t xml:space="preserve"> </w:t>
      </w:r>
      <w:r w:rsidRPr="00F3741A">
        <w:t>if the offence does not carry a prison term, a financial penalty of at least 120 Commonwealth penalty units.</w:t>
      </w:r>
      <w:r w:rsidRPr="00F3741A">
        <w:rPr>
          <w:rStyle w:val="FootnoteReference"/>
          <w:rFonts w:ascii="Times New Roman" w:hAnsi="Times New Roman" w:cs="Times New Roman"/>
          <w:sz w:val="24"/>
          <w:szCs w:val="24"/>
        </w:rPr>
        <w:footnoteReference w:id="3"/>
      </w:r>
    </w:p>
    <w:p w14:paraId="163EE52A" w14:textId="77777777" w:rsidR="00232E25" w:rsidRDefault="00232E25" w:rsidP="00232E25">
      <w:r w:rsidRPr="003F35F3">
        <w:t xml:space="preserve">Agencies </w:t>
      </w:r>
      <w:r w:rsidRPr="00163158">
        <w:t>should</w:t>
      </w:r>
      <w:r>
        <w:t xml:space="preserve"> </w:t>
      </w:r>
      <w:r w:rsidRPr="003F35F3">
        <w:t xml:space="preserve">consider a variety of factors </w:t>
      </w:r>
      <w:r>
        <w:t>when</w:t>
      </w:r>
      <w:r w:rsidRPr="003F35F3">
        <w:t xml:space="preserve"> determining whether a request to disrupt </w:t>
      </w:r>
      <w:r>
        <w:t xml:space="preserve">access </w:t>
      </w:r>
      <w:r w:rsidRPr="003F35F3">
        <w:t>is appropriate</w:t>
      </w:r>
      <w:r>
        <w:t>. General factors that should always be considered are:</w:t>
      </w:r>
    </w:p>
    <w:p w14:paraId="05EA2FD0" w14:textId="77777777" w:rsidR="00232E25" w:rsidRPr="003F35F3" w:rsidRDefault="00232E25" w:rsidP="00232E25">
      <w:pPr>
        <w:pStyle w:val="Bulletlevel1"/>
        <w:spacing w:after="200"/>
      </w:pPr>
      <w:r w:rsidRPr="003F35F3">
        <w:t>the availability of other enforcement tools;</w:t>
      </w:r>
    </w:p>
    <w:p w14:paraId="0438F0D8" w14:textId="77777777" w:rsidR="00232E25" w:rsidRDefault="00232E25" w:rsidP="00232E25">
      <w:pPr>
        <w:pStyle w:val="Bulletlevel1"/>
        <w:spacing w:after="200"/>
      </w:pPr>
      <w:r w:rsidRPr="003F35F3">
        <w:t>the services on the site;</w:t>
      </w:r>
    </w:p>
    <w:p w14:paraId="177C3D60" w14:textId="77777777" w:rsidR="00232E25" w:rsidRDefault="00232E25" w:rsidP="00232E25">
      <w:pPr>
        <w:pStyle w:val="Bulletlevel1"/>
        <w:spacing w:after="200"/>
      </w:pPr>
      <w:r>
        <w:t>the view of the Internet Service Provider (ISP);</w:t>
      </w:r>
    </w:p>
    <w:p w14:paraId="144B5A7A" w14:textId="77777777" w:rsidR="00232E25" w:rsidRDefault="00232E25" w:rsidP="00232E25">
      <w:pPr>
        <w:pStyle w:val="Bulletlevel1"/>
        <w:spacing w:after="200"/>
      </w:pPr>
      <w:r>
        <w:t>technical feasibility and costs;</w:t>
      </w:r>
    </w:p>
    <w:p w14:paraId="29DAC28E" w14:textId="77777777" w:rsidR="00232E25" w:rsidRPr="003F35F3" w:rsidRDefault="00232E25" w:rsidP="00232E25">
      <w:pPr>
        <w:pStyle w:val="Bulletlevel1"/>
        <w:spacing w:after="200"/>
      </w:pPr>
      <w:r>
        <w:t>potential consequences and/or damage to government;</w:t>
      </w:r>
    </w:p>
    <w:p w14:paraId="486678F5" w14:textId="77777777" w:rsidR="00232E25" w:rsidRDefault="00232E25" w:rsidP="00232E25">
      <w:pPr>
        <w:pStyle w:val="Bulletlevel1"/>
        <w:spacing w:after="200"/>
      </w:pPr>
      <w:r w:rsidRPr="003F35F3">
        <w:t>the</w:t>
      </w:r>
      <w:r>
        <w:t xml:space="preserve"> nature of the offence; and </w:t>
      </w:r>
    </w:p>
    <w:p w14:paraId="1E3B31C3" w14:textId="77777777" w:rsidR="00232E25" w:rsidRPr="003F35F3" w:rsidRDefault="00232E25" w:rsidP="00232E25">
      <w:pPr>
        <w:pStyle w:val="Bulletlevel1"/>
        <w:spacing w:after="200"/>
      </w:pPr>
      <w:proofErr w:type="gramStart"/>
      <w:r w:rsidRPr="003F35F3">
        <w:t>whether</w:t>
      </w:r>
      <w:proofErr w:type="gramEnd"/>
      <w:r w:rsidRPr="003F35F3">
        <w:t xml:space="preserve"> there is a public or national interest to do so.</w:t>
      </w:r>
    </w:p>
    <w:p w14:paraId="5FF0C8C0" w14:textId="77777777" w:rsidR="00232E25" w:rsidRPr="007B703E" w:rsidRDefault="00232E25" w:rsidP="00232E25">
      <w:r>
        <w:t>A</w:t>
      </w:r>
      <w:r w:rsidRPr="002C42CE">
        <w:t xml:space="preserve">gencies </w:t>
      </w:r>
      <w:r>
        <w:t xml:space="preserve">should </w:t>
      </w:r>
      <w:r w:rsidRPr="002C42CE">
        <w:t xml:space="preserve">specify, in their internal policies and procedures, the types of activities that may be subject </w:t>
      </w:r>
      <w:r>
        <w:t>to</w:t>
      </w:r>
      <w:r w:rsidRPr="002C42CE">
        <w:t xml:space="preserve"> a section 313(3)</w:t>
      </w:r>
      <w:r>
        <w:t xml:space="preserve"> request.</w:t>
      </w:r>
    </w:p>
    <w:p w14:paraId="33524F75" w14:textId="77777777" w:rsidR="00232E25" w:rsidRPr="001D4660" w:rsidRDefault="00232E25" w:rsidP="00232E25">
      <w:pPr>
        <w:pStyle w:val="Heading3"/>
      </w:pPr>
      <w:r>
        <w:t>4.</w:t>
      </w:r>
      <w:r>
        <w:tab/>
      </w:r>
      <w:r w:rsidRPr="001D4660">
        <w:t>Public information</w:t>
      </w:r>
    </w:p>
    <w:p w14:paraId="77BF0FF2" w14:textId="77777777" w:rsidR="00232E25" w:rsidRDefault="00232E25" w:rsidP="00232E25">
      <w:r>
        <w:t>Providing timely and relevant information to the public about disruption requests improves transparency and will help to increase</w:t>
      </w:r>
      <w:r w:rsidRPr="00C9414D">
        <w:t xml:space="preserve"> public awareness </w:t>
      </w:r>
      <w:r>
        <w:t>about section 313(3).</w:t>
      </w:r>
    </w:p>
    <w:p w14:paraId="77D3ABF3" w14:textId="77777777" w:rsidR="00232E25" w:rsidRDefault="00232E25" w:rsidP="00232E25">
      <w:r>
        <w:t xml:space="preserve">Agencies should publish each request and include (wherever practicable and reasonable in the particular circumstance) </w:t>
      </w:r>
      <w:r w:rsidRPr="008C6913">
        <w:t xml:space="preserve">why the request has been </w:t>
      </w:r>
      <w:r>
        <w:t xml:space="preserve">made. Public notification can occur through </w:t>
      </w:r>
      <w:r w:rsidRPr="008C6913">
        <w:t xml:space="preserve">means such as </w:t>
      </w:r>
      <w:r>
        <w:t>media releases and</w:t>
      </w:r>
      <w:r w:rsidRPr="008C6913">
        <w:t xml:space="preserve"> </w:t>
      </w:r>
      <w:r>
        <w:t>online posts.</w:t>
      </w:r>
    </w:p>
    <w:p w14:paraId="0E787EFE" w14:textId="77777777" w:rsidR="00232E25" w:rsidRDefault="00232E25" w:rsidP="00232E25">
      <w:r>
        <w:t>As part of the notification agencies may also choose to provide information about online criminal activity and support for victims, such as links to the Australian Cybercrime Online Reporting Network (ACORN).</w:t>
      </w:r>
    </w:p>
    <w:p w14:paraId="3FAC9789" w14:textId="77777777" w:rsidR="00232E25" w:rsidRPr="00F63757" w:rsidRDefault="00232E25" w:rsidP="00232E25">
      <w:pPr>
        <w:keepNext/>
      </w:pPr>
      <w:r>
        <w:t xml:space="preserve">Where appropriate, agencies should provide internet service providers with a generic government ‘stop page’ to be shown to members of the public if they try to access a disrupted site. The ‘stop page’ should </w:t>
      </w:r>
      <w:r w:rsidRPr="00F63757">
        <w:t>include, where appropriate:</w:t>
      </w:r>
    </w:p>
    <w:p w14:paraId="5B3E44A0" w14:textId="77777777" w:rsidR="00232E25" w:rsidRPr="004E24B8" w:rsidRDefault="00232E25" w:rsidP="00232E25">
      <w:pPr>
        <w:pStyle w:val="Bulletlevel1"/>
        <w:keepNext/>
        <w:spacing w:after="200"/>
      </w:pPr>
      <w:r w:rsidRPr="004E24B8">
        <w:t>the name of the agency requesting the disruption;</w:t>
      </w:r>
    </w:p>
    <w:p w14:paraId="7EDB9081" w14:textId="77777777" w:rsidR="00232E25" w:rsidRPr="004E24B8" w:rsidRDefault="00232E25" w:rsidP="00232E25">
      <w:pPr>
        <w:pStyle w:val="Bulletlevel1"/>
        <w:keepNext/>
        <w:spacing w:after="200"/>
      </w:pPr>
      <w:r w:rsidRPr="004E24B8">
        <w:t>the reason (at a high level) that the disruption has been requested;</w:t>
      </w:r>
    </w:p>
    <w:p w14:paraId="484391A9" w14:textId="77777777" w:rsidR="00232E25" w:rsidRPr="004E24B8" w:rsidRDefault="00232E25" w:rsidP="00232E25">
      <w:pPr>
        <w:pStyle w:val="Bulletlevel1"/>
        <w:keepNext/>
        <w:spacing w:after="200"/>
      </w:pPr>
      <w:r w:rsidRPr="004E24B8">
        <w:t>an agency contact point for more information; and</w:t>
      </w:r>
    </w:p>
    <w:p w14:paraId="6337D057" w14:textId="77777777" w:rsidR="00232E25" w:rsidRPr="001F1076" w:rsidRDefault="00232E25" w:rsidP="00232E25">
      <w:pPr>
        <w:pStyle w:val="Bulletlevel1"/>
        <w:spacing w:after="200"/>
      </w:pPr>
      <w:proofErr w:type="gramStart"/>
      <w:r>
        <w:t>i</w:t>
      </w:r>
      <w:r w:rsidRPr="006225E5">
        <w:t>nformation</w:t>
      </w:r>
      <w:proofErr w:type="gramEnd"/>
      <w:r w:rsidRPr="006225E5">
        <w:t xml:space="preserve"> </w:t>
      </w:r>
      <w:r>
        <w:t>about</w:t>
      </w:r>
      <w:r w:rsidRPr="006225E5">
        <w:t xml:space="preserve"> how a </w:t>
      </w:r>
      <w:r>
        <w:t>party</w:t>
      </w:r>
      <w:r w:rsidRPr="006225E5">
        <w:t xml:space="preserve"> </w:t>
      </w:r>
      <w:r>
        <w:t>adversely affected by the disruption could make a complaint or seek a review (see below).</w:t>
      </w:r>
      <w:r w:rsidRPr="006225E5">
        <w:rPr>
          <w:rStyle w:val="FootnoteReference"/>
          <w:rFonts w:ascii="Times New Roman" w:hAnsi="Times New Roman" w:cs="Times New Roman"/>
          <w:sz w:val="24"/>
          <w:szCs w:val="24"/>
        </w:rPr>
        <w:footnoteReference w:id="4"/>
      </w:r>
    </w:p>
    <w:p w14:paraId="6F40928A" w14:textId="77777777" w:rsidR="00232E25" w:rsidRDefault="00232E25" w:rsidP="00232E25">
      <w:r>
        <w:t xml:space="preserve">Agencies should also report </w:t>
      </w:r>
      <w:r w:rsidRPr="00163158">
        <w:t xml:space="preserve">use of section 313(3) </w:t>
      </w:r>
      <w:r>
        <w:t>to</w:t>
      </w:r>
      <w:r w:rsidRPr="00163158">
        <w:t xml:space="preserve"> disrupt access to online services to the Australian Communications and Media Authority </w:t>
      </w:r>
      <w:r w:rsidRPr="002C42CE">
        <w:t>(ACMA) for inclusion in the ACMA’s Annual Report</w:t>
      </w:r>
      <w:r>
        <w:t xml:space="preserve"> (the Report). The Report will provide statistical information about the use of section 313(3). Agencies should report within one month after the end of the financial year, or as determined by the ACMA</w:t>
      </w:r>
      <w:r w:rsidRPr="002C42CE">
        <w:t>.</w:t>
      </w:r>
      <w:r w:rsidRPr="00163158">
        <w:t xml:space="preserve"> </w:t>
      </w:r>
    </w:p>
    <w:p w14:paraId="1B42986B" w14:textId="77777777" w:rsidR="00232E25" w:rsidRPr="00163158" w:rsidRDefault="00232E25" w:rsidP="00232E25">
      <w:r>
        <w:t>For the purposes of these guidelines, t</w:t>
      </w:r>
      <w:r w:rsidRPr="00163158">
        <w:t>h</w:t>
      </w:r>
      <w:r>
        <w:t xml:space="preserve">e role of the ACMA is to collect and report statistical information about disruption requests under section 313(3), and to be a </w:t>
      </w:r>
      <w:r w:rsidRPr="00163158">
        <w:t xml:space="preserve">single repository of </w:t>
      </w:r>
      <w:r>
        <w:t xml:space="preserve">this </w:t>
      </w:r>
      <w:r w:rsidRPr="00163158">
        <w:t>information</w:t>
      </w:r>
      <w:r>
        <w:t>. This role will improve the overall transparency around the disruption of online services</w:t>
      </w:r>
      <w:r w:rsidRPr="00163158">
        <w:t>.</w:t>
      </w:r>
      <w:r>
        <w:t xml:space="preserve"> Information provided by a</w:t>
      </w:r>
      <w:r w:rsidRPr="00163158">
        <w:t xml:space="preserve">gencies </w:t>
      </w:r>
      <w:r>
        <w:t>to</w:t>
      </w:r>
      <w:r w:rsidRPr="00163158">
        <w:t xml:space="preserve"> the ACMA </w:t>
      </w:r>
      <w:r>
        <w:t>should include:</w:t>
      </w:r>
    </w:p>
    <w:p w14:paraId="64DE0414" w14:textId="77777777" w:rsidR="00232E25" w:rsidRPr="00163158" w:rsidRDefault="00232E25" w:rsidP="00232E25">
      <w:pPr>
        <w:pStyle w:val="Bulletlevel1"/>
        <w:spacing w:after="200"/>
      </w:pPr>
      <w:r w:rsidRPr="00163158">
        <w:t>the authority to use section 313(3) for disruption requests (including when and by whom the authority was provided);</w:t>
      </w:r>
    </w:p>
    <w:p w14:paraId="344F70D9" w14:textId="77777777" w:rsidR="00232E25" w:rsidRPr="00163158" w:rsidRDefault="00232E25" w:rsidP="00232E25">
      <w:pPr>
        <w:pStyle w:val="Bulletlevel1"/>
        <w:spacing w:after="200"/>
      </w:pPr>
      <w:proofErr w:type="gramStart"/>
      <w:r>
        <w:t>t</w:t>
      </w:r>
      <w:r w:rsidRPr="00163158">
        <w:t>he</w:t>
      </w:r>
      <w:proofErr w:type="gramEnd"/>
      <w:r>
        <w:t xml:space="preserve"> existence of </w:t>
      </w:r>
      <w:r w:rsidRPr="00163158">
        <w:t>internal policies and procedures for disruption requests (including whether they have been published online, the relevant web address or the reason why they have not been published</w:t>
      </w:r>
      <w:r>
        <w:t xml:space="preserve"> (Agencies may use a web address to provide further information. This information will be published in the Report</w:t>
      </w:r>
      <w:r w:rsidRPr="00163158">
        <w:t>;</w:t>
      </w:r>
    </w:p>
    <w:p w14:paraId="66A8F8CA" w14:textId="77777777" w:rsidR="00232E25" w:rsidRPr="00163158" w:rsidRDefault="00232E25" w:rsidP="00232E25">
      <w:pPr>
        <w:pStyle w:val="Bulletlevel1"/>
        <w:spacing w:after="200"/>
      </w:pPr>
      <w:proofErr w:type="gramStart"/>
      <w:r w:rsidRPr="00163158">
        <w:t>any</w:t>
      </w:r>
      <w:proofErr w:type="gramEnd"/>
      <w:r w:rsidRPr="00163158">
        <w:t xml:space="preserve"> requests made to internet service providers to disrupt online services in reliance on section 313(3) in the previous 12 months (including the number</w:t>
      </w:r>
      <w:r>
        <w:t xml:space="preserve"> of requests</w:t>
      </w:r>
      <w:r w:rsidRPr="00163158">
        <w:t>, reasons</w:t>
      </w:r>
      <w:r w:rsidRPr="00163158">
        <w:rPr>
          <w:rStyle w:val="FootnoteReference"/>
          <w:rFonts w:ascii="Times New Roman" w:hAnsi="Times New Roman" w:cs="Times New Roman"/>
          <w:sz w:val="24"/>
          <w:szCs w:val="24"/>
        </w:rPr>
        <w:footnoteReference w:id="5"/>
      </w:r>
      <w:r w:rsidRPr="00163158">
        <w:t xml:space="preserve"> and </w:t>
      </w:r>
      <w:r>
        <w:t>number of websites blocked</w:t>
      </w:r>
      <w:r w:rsidRPr="00163158">
        <w:t>).</w:t>
      </w:r>
      <w:r w:rsidRPr="00163158">
        <w:rPr>
          <w:rStyle w:val="FootnoteReference"/>
          <w:rFonts w:ascii="Times New Roman" w:hAnsi="Times New Roman" w:cs="Times New Roman"/>
          <w:sz w:val="24"/>
          <w:szCs w:val="24"/>
        </w:rPr>
        <w:footnoteReference w:id="6"/>
      </w:r>
    </w:p>
    <w:p w14:paraId="7B5D53EB" w14:textId="77777777" w:rsidR="00232E25" w:rsidRDefault="00232E25" w:rsidP="00232E25">
      <w:r w:rsidRPr="00872EFF">
        <w:t>Agencies</w:t>
      </w:r>
      <w:r w:rsidRPr="007C53BE">
        <w:t xml:space="preserve"> are not required to publish requests where the report may </w:t>
      </w:r>
      <w:r w:rsidRPr="00872EFF">
        <w:t>jeopardise ongoing or planned investigations</w:t>
      </w:r>
      <w:r>
        <w:t>, operational activities</w:t>
      </w:r>
      <w:r w:rsidRPr="00872EFF">
        <w:t xml:space="preserve"> or give</w:t>
      </w:r>
      <w:r>
        <w:t xml:space="preserve"> rise to other law enforcement or </w:t>
      </w:r>
      <w:r w:rsidRPr="00872EFF">
        <w:t>national secur</w:t>
      </w:r>
      <w:r>
        <w:t>ity concerns.</w:t>
      </w:r>
      <w:r w:rsidRPr="00872EFF">
        <w:t xml:space="preserve"> </w:t>
      </w:r>
      <w:r>
        <w:t xml:space="preserve">Agencies with requests of this nature should provide an </w:t>
      </w:r>
      <w:r w:rsidRPr="009E2B9D">
        <w:t xml:space="preserve">annual aggregate number of requests </w:t>
      </w:r>
      <w:r>
        <w:t>to the ACMA for publication.</w:t>
      </w:r>
    </w:p>
    <w:p w14:paraId="466945D9" w14:textId="77777777" w:rsidR="00232E25" w:rsidRPr="00ED3F5E" w:rsidRDefault="00232E25" w:rsidP="00232E25">
      <w:pPr>
        <w:pStyle w:val="Heading3"/>
      </w:pPr>
      <w:r>
        <w:t>5.</w:t>
      </w:r>
      <w:r>
        <w:tab/>
      </w:r>
      <w:r w:rsidRPr="00ED3F5E">
        <w:t>Complaints and review</w:t>
      </w:r>
    </w:p>
    <w:p w14:paraId="4FA969D3" w14:textId="77777777" w:rsidR="00232E25" w:rsidRDefault="00232E25" w:rsidP="00232E25">
      <w:r w:rsidRPr="00424644">
        <w:t>In line with established accountability practices, agenc</w:t>
      </w:r>
      <w:r>
        <w:t>ies</w:t>
      </w:r>
      <w:r w:rsidRPr="00424644">
        <w:t xml:space="preserve"> internal policies and procedures should set out </w:t>
      </w:r>
      <w:r>
        <w:t xml:space="preserve">complaints and review </w:t>
      </w:r>
      <w:r w:rsidRPr="00424644">
        <w:t>processes that</w:t>
      </w:r>
      <w:r>
        <w:t xml:space="preserve"> </w:t>
      </w:r>
      <w:r w:rsidRPr="00424644">
        <w:t xml:space="preserve">allow affected parties to contest </w:t>
      </w:r>
      <w:r>
        <w:t>a decision to disrupt access</w:t>
      </w:r>
      <w:r w:rsidRPr="00424644">
        <w:t>.</w:t>
      </w:r>
      <w:r>
        <w:t xml:space="preserve"> </w:t>
      </w:r>
      <w:r w:rsidRPr="00F6589C">
        <w:t>This should include internal and external complaints and review mechanisms.</w:t>
      </w:r>
      <w:r>
        <w:t xml:space="preserve"> Affected parties should be directed to the agency, rather than the carrier or carriage service provider.</w:t>
      </w:r>
    </w:p>
    <w:p w14:paraId="314DB53F" w14:textId="77777777" w:rsidR="00232E25" w:rsidRDefault="00232E25" w:rsidP="00232E25">
      <w:pPr>
        <w:rPr>
          <w:b/>
        </w:rPr>
      </w:pPr>
      <w:r>
        <w:t>A</w:t>
      </w:r>
      <w:r w:rsidRPr="00424644">
        <w:t xml:space="preserve">gencies </w:t>
      </w:r>
      <w:r>
        <w:t>should</w:t>
      </w:r>
      <w:r w:rsidRPr="00424644">
        <w:t xml:space="preserve"> review a disruption upon request by an affected party</w:t>
      </w:r>
      <w:r>
        <w:t xml:space="preserve"> within timeframes consistent with their established complaints and review procedures. Agencies should</w:t>
      </w:r>
      <w:r w:rsidRPr="00424644">
        <w:t xml:space="preserve"> contact the relevant carrier or carriage service provider to arrange for the disruption to be lifted if their </w:t>
      </w:r>
      <w:r>
        <w:t>review</w:t>
      </w:r>
      <w:r w:rsidRPr="00424644">
        <w:t xml:space="preserve"> reveals that the disruption is no longer appropriate.</w:t>
      </w:r>
    </w:p>
    <w:p w14:paraId="0D2EF374" w14:textId="77777777" w:rsidR="00232E25" w:rsidRPr="00ED3F5E" w:rsidRDefault="00232E25" w:rsidP="00232E25">
      <w:pPr>
        <w:pStyle w:val="Heading3"/>
      </w:pPr>
      <w:r>
        <w:t>6.</w:t>
      </w:r>
      <w:r>
        <w:tab/>
      </w:r>
      <w:r w:rsidRPr="00ED3F5E">
        <w:t>Technical implementation</w:t>
      </w:r>
    </w:p>
    <w:p w14:paraId="5D3E5A24" w14:textId="77777777" w:rsidR="00232E25" w:rsidRDefault="00232E25" w:rsidP="00232E25">
      <w:r>
        <w:t xml:space="preserve">Agencies should have </w:t>
      </w:r>
      <w:r w:rsidRPr="00504AF5">
        <w:t>the requisite level of technical expertise</w:t>
      </w:r>
      <w:r>
        <w:t>,</w:t>
      </w:r>
      <w:r w:rsidRPr="00504AF5">
        <w:t xml:space="preserve"> or procedures for drawing on the expertise of other agencies</w:t>
      </w:r>
      <w:r>
        <w:t xml:space="preserve"> or external experts. This will help ensure that a request is </w:t>
      </w:r>
      <w:r w:rsidRPr="00614BDE">
        <w:t xml:space="preserve">effective, responsible and </w:t>
      </w:r>
      <w:r>
        <w:t>executed appropriately.</w:t>
      </w:r>
    </w:p>
    <w:p w14:paraId="3C150F57" w14:textId="77777777" w:rsidR="00232E25" w:rsidRDefault="00232E25" w:rsidP="00232E25">
      <w:r>
        <w:t>Prior to making a request, agencies should consult internet service providers about how assistance may be best provided. This would also assist in managing costs.</w:t>
      </w:r>
      <w:r>
        <w:rPr>
          <w:rStyle w:val="FootnoteReference"/>
          <w:rFonts w:ascii="Times New Roman" w:hAnsi="Times New Roman" w:cs="Times New Roman"/>
          <w:sz w:val="24"/>
          <w:szCs w:val="24"/>
        </w:rPr>
        <w:footnoteReference w:id="7"/>
      </w:r>
    </w:p>
    <w:p w14:paraId="0EFA448A" w14:textId="77777777" w:rsidR="00232E25" w:rsidRDefault="00232E25" w:rsidP="00232E25">
      <w:r>
        <w:t>When making a request, agencies should endeavour to make it as targeted as possible. This usually means r</w:t>
      </w:r>
      <w:r w:rsidRPr="00872EFF">
        <w:t>equesting that a Uniform Resource Locater (URL)</w:t>
      </w:r>
      <w:r>
        <w:t>—</w:t>
      </w:r>
      <w:r w:rsidRPr="00872EFF">
        <w:t>the specific address of a website</w:t>
      </w:r>
      <w:r>
        <w:t>—</w:t>
      </w:r>
      <w:r w:rsidRPr="00872EFF">
        <w:t>be blocked</w:t>
      </w:r>
      <w:r>
        <w:t xml:space="preserve">, rather than </w:t>
      </w:r>
      <w:r w:rsidRPr="00872EFF">
        <w:t>Internet Protocol (IP) addresses.</w:t>
      </w:r>
      <w:r>
        <w:t xml:space="preserve"> </w:t>
      </w:r>
      <w:r w:rsidRPr="001C06B1">
        <w:t xml:space="preserve">IP addresses </w:t>
      </w:r>
      <w:r w:rsidRPr="003034FA">
        <w:t>generally</w:t>
      </w:r>
      <w:r>
        <w:t xml:space="preserve"> </w:t>
      </w:r>
      <w:r w:rsidRPr="001C06B1">
        <w:t>host multiple websites</w:t>
      </w:r>
      <w:r>
        <w:t>, requests to block these risks disrupting access to non-target websites.</w:t>
      </w:r>
      <w:r>
        <w:rPr>
          <w:rStyle w:val="FootnoteReference"/>
          <w:rFonts w:ascii="Times New Roman" w:hAnsi="Times New Roman" w:cs="Times New Roman"/>
          <w:sz w:val="24"/>
          <w:szCs w:val="24"/>
        </w:rPr>
        <w:footnoteReference w:id="8"/>
      </w:r>
    </w:p>
    <w:p w14:paraId="322423FF" w14:textId="77777777" w:rsidR="00232E25" w:rsidRDefault="00232E25">
      <w:pPr>
        <w:spacing w:after="160" w:line="259" w:lineRule="auto"/>
      </w:pPr>
      <w:r>
        <w:br w:type="page"/>
      </w:r>
    </w:p>
    <w:p w14:paraId="2F85BA84" w14:textId="77777777" w:rsidR="00232E25" w:rsidRDefault="00232E25" w:rsidP="00232E25">
      <w:pPr>
        <w:pStyle w:val="Heading2"/>
      </w:pPr>
      <w:r w:rsidRPr="00142BDE">
        <w:t xml:space="preserve">Diagram: overview of </w:t>
      </w:r>
      <w:r>
        <w:t>good</w:t>
      </w:r>
      <w:r w:rsidRPr="00142BDE">
        <w:t xml:space="preserve"> practice arrangements</w:t>
      </w:r>
    </w:p>
    <w:p w14:paraId="38511B5E" w14:textId="77777777" w:rsidR="00232E25" w:rsidRDefault="00232E25" w:rsidP="00232E25">
      <w:r w:rsidRPr="00B67076">
        <w:rPr>
          <w:noProof/>
          <w:lang w:eastAsia="en-AU"/>
        </w:rPr>
        <w:drawing>
          <wp:inline distT="0" distB="0" distL="0" distR="0" wp14:anchorId="3A73F462" wp14:editId="0D731AC9">
            <wp:extent cx="5926455" cy="5072644"/>
            <wp:effectExtent l="0" t="0" r="0" b="0"/>
            <wp:docPr id="4" name="Picture 4" descr="This infographic provdes a visual summary of the good practice measures for agencies to follow when making section 313(3) requests. The following text is on the page: Obtain authority from the agency head, have agency-specific policies and procedures, limit disruptions to serious offences or threats to national security, make requests as targeted as possible, consult internet service providers, provide stop page and other information to nternet service providers, announce disruption, consider complaints and reviews, monitor disruption, evaluate processes and outcomes and report information to the ACMA.&#10;&#10;&#10;" title="Overview of good practice measures for the use of section 3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arjan\AppData\Local\Microsoft\Windows\INetCache\Content.Outlook\MNZ3D85X\Overview of good practice arrangements.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26455" cy="5072644"/>
                    </a:xfrm>
                    <a:prstGeom prst="rect">
                      <a:avLst/>
                    </a:prstGeom>
                    <a:noFill/>
                    <a:ln>
                      <a:noFill/>
                    </a:ln>
                  </pic:spPr>
                </pic:pic>
              </a:graphicData>
            </a:graphic>
          </wp:inline>
        </w:drawing>
      </w:r>
    </w:p>
    <w:p w14:paraId="1A93AE95" w14:textId="77777777" w:rsidR="00232E25" w:rsidRDefault="00232E25" w:rsidP="00232E25">
      <w:pPr>
        <w:rPr>
          <w:rFonts w:ascii="Times New Roman" w:hAnsi="Times New Roman" w:cs="Times New Roman"/>
          <w:b/>
          <w:sz w:val="24"/>
          <w:szCs w:val="24"/>
        </w:rPr>
      </w:pPr>
      <w:r>
        <w:br w:type="page"/>
      </w:r>
    </w:p>
    <w:p w14:paraId="2E9D3DE8" w14:textId="77777777" w:rsidR="00232E25" w:rsidRPr="00C4541C" w:rsidRDefault="00232E25" w:rsidP="00232E25">
      <w:pPr>
        <w:pStyle w:val="Heading2"/>
      </w:pPr>
      <w:r>
        <w:t>APPENDIX A</w:t>
      </w:r>
    </w:p>
    <w:p w14:paraId="615CB476" w14:textId="77777777" w:rsidR="00232E25" w:rsidRPr="001D4660" w:rsidRDefault="00232E25" w:rsidP="00232E25">
      <w:pPr>
        <w:pStyle w:val="Heading3"/>
      </w:pPr>
      <w:r w:rsidRPr="001D4660">
        <w:t>Example Interpol stop page used by the Australian Federal Police</w:t>
      </w:r>
    </w:p>
    <w:p w14:paraId="3C840223" w14:textId="77777777" w:rsidR="00232E25" w:rsidRDefault="00232E25" w:rsidP="00232E25"/>
    <w:p w14:paraId="2F52C871" w14:textId="77777777" w:rsidR="00232E25" w:rsidRDefault="00232E25" w:rsidP="00232E25">
      <w:r w:rsidRPr="00062477">
        <w:rPr>
          <w:noProof/>
          <w:lang w:eastAsia="en-AU"/>
        </w:rPr>
        <w:drawing>
          <wp:inline distT="0" distB="0" distL="0" distR="0" wp14:anchorId="13D759EE" wp14:editId="47A1A8D2">
            <wp:extent cx="5669280" cy="6452329"/>
            <wp:effectExtent l="0" t="0" r="7620" b="5715"/>
            <wp:docPr id="10" name="Picture 10" descr="Image of an example of Interpol stop page used by the Australian federal police.  The following text is on the page;&#10;‘Your browser has tried to contact a domain that is distributing child sexual abuse material.  Access to this domain has been blocked by your Access Service Provider in co-operation with INTERPOL.&#10;This is a preventive measure to protect the children that have been victims of documented sexual abuse and to prevent further dissemination of the evidence of this abuse.&#10;All domains that experience redirection have been checked by police officer at INTERPOL in co-operation with CIRCAMP, and were found to contain child sexual abuse material according to very strict criteria.&#10;The content on the domain may change over time and/or be hidden from plain view, so that the domain may appear legal if accessed.  If you strongly believe that the domain is wrongly blocked, you may contact INTERPOL.&#10;If you are the domain owner, you may complain about the inclusion of your domain on this list via EUROPOL.&#10;If you would like to report content that you have come across on the internet or use your local hotline, go to INHOPE for an overview of national hotlines in many countries.’" title="Interpol stop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73534" cy="6457171"/>
                    </a:xfrm>
                    <a:prstGeom prst="rect">
                      <a:avLst/>
                    </a:prstGeom>
                    <a:noFill/>
                    <a:ln>
                      <a:noFill/>
                    </a:ln>
                  </pic:spPr>
                </pic:pic>
              </a:graphicData>
            </a:graphic>
          </wp:inline>
        </w:drawing>
      </w:r>
    </w:p>
    <w:p w14:paraId="15E054B8" w14:textId="77777777" w:rsidR="00232E25" w:rsidRPr="00EF57E7" w:rsidRDefault="00232E25" w:rsidP="00232E25">
      <w:r w:rsidRPr="00EF57E7">
        <w:t xml:space="preserve">Source: Australian Federal Police, submission number 20.3, House of Representatives Standing Committee on Infrastructure and Communications’ Inquiry into the use of subsection 313(3) of the </w:t>
      </w:r>
      <w:r w:rsidRPr="00EF57E7">
        <w:rPr>
          <w:i/>
        </w:rPr>
        <w:t>Telecommunications Act 1997</w:t>
      </w:r>
      <w:r w:rsidRPr="00EF57E7">
        <w:t xml:space="preserve"> by government agencies to disrupt the operation of illegal online services</w:t>
      </w:r>
      <w:r>
        <w:t>.</w:t>
      </w:r>
    </w:p>
    <w:p w14:paraId="5A1EDD20" w14:textId="77777777" w:rsidR="00876729" w:rsidRDefault="00876729"/>
    <w:sectPr w:rsidR="00876729" w:rsidSect="00232E25">
      <w:headerReference w:type="default" r:id="rId18"/>
      <w:footerReference w:type="default" r:id="rId19"/>
      <w:type w:val="continuous"/>
      <w:pgSz w:w="11906" w:h="16838"/>
      <w:pgMar w:top="1702" w:right="1133" w:bottom="1418" w:left="1440" w:header="0"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90596B9" w14:textId="77777777" w:rsidR="00232E25" w:rsidRDefault="00232E25" w:rsidP="003F0A2D">
      <w:pPr>
        <w:spacing w:after="0"/>
      </w:pPr>
      <w:r>
        <w:separator/>
      </w:r>
    </w:p>
  </w:endnote>
  <w:endnote w:type="continuationSeparator" w:id="0">
    <w:p w14:paraId="5E82423C" w14:textId="77777777" w:rsidR="00232E25" w:rsidRDefault="00232E25" w:rsidP="003F0A2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F1FE5D" w14:textId="77777777" w:rsidR="00A70B60" w:rsidRDefault="00A70B60" w:rsidP="00297528">
    <w:pPr>
      <w:pStyle w:val="Footer"/>
      <w:ind w:left="-1418"/>
    </w:pPr>
    <w:r>
      <w:rPr>
        <w:noProof/>
        <w:lang w:eastAsia="en-AU"/>
      </w:rPr>
      <w:drawing>
        <wp:inline distT="0" distB="0" distL="0" distR="0" wp14:anchorId="0F5EA09D" wp14:editId="3C446201">
          <wp:extent cx="7550988" cy="721970"/>
          <wp:effectExtent l="0" t="0" r="0" b="2540"/>
          <wp:docPr id="2" name="Picture 2" descr="GPO Box 2154, Canberra ACT 2601 Australia.&#10;Telephone: 02 6271 1000&#10;Web: www.communications.gov.au." title="Address for Department of Communications and the 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ocument-footer-bann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22051" cy="738326"/>
                  </a:xfrm>
                  <a:prstGeom prst="rect">
                    <a:avLst/>
                  </a:prstGeom>
                </pic:spPr>
              </pic:pic>
            </a:graphicData>
          </a:graphic>
        </wp:inline>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6E2789" w14:textId="77777777" w:rsidR="00A70B60" w:rsidRPr="000249BC" w:rsidRDefault="00232E25" w:rsidP="00232E25">
    <w:pPr>
      <w:pStyle w:val="Footer"/>
      <w:tabs>
        <w:tab w:val="clear" w:pos="4513"/>
        <w:tab w:val="clear" w:pos="9026"/>
        <w:tab w:val="center" w:pos="4678"/>
        <w:tab w:val="right" w:pos="9333"/>
      </w:tabs>
      <w:ind w:left="-567"/>
      <w:rPr>
        <w:sz w:val="18"/>
        <w:szCs w:val="18"/>
      </w:rPr>
    </w:pPr>
    <w:r w:rsidRPr="00116290">
      <w:rPr>
        <w:sz w:val="18"/>
        <w:szCs w:val="18"/>
      </w:rPr>
      <w:t xml:space="preserve">Guidelines for the use of section 313(3) of the </w:t>
    </w:r>
    <w:r>
      <w:rPr>
        <w:sz w:val="18"/>
        <w:szCs w:val="18"/>
      </w:rPr>
      <w:br/>
    </w:r>
    <w:r w:rsidRPr="00116290">
      <w:rPr>
        <w:i/>
        <w:sz w:val="18"/>
        <w:szCs w:val="18"/>
      </w:rPr>
      <w:t>Telecommunications Act 1997</w:t>
    </w:r>
    <w:r w:rsidRPr="00116290">
      <w:rPr>
        <w:sz w:val="18"/>
        <w:szCs w:val="18"/>
      </w:rPr>
      <w:t xml:space="preserve"> by government </w:t>
    </w:r>
    <w:r>
      <w:rPr>
        <w:sz w:val="18"/>
        <w:szCs w:val="18"/>
      </w:rPr>
      <w:br/>
    </w:r>
    <w:r w:rsidRPr="00116290">
      <w:rPr>
        <w:sz w:val="18"/>
        <w:szCs w:val="18"/>
      </w:rPr>
      <w:t>agencies for the lawful disruption to online services</w:t>
    </w:r>
    <w:r w:rsidR="00A70B60">
      <w:rPr>
        <w:sz w:val="18"/>
        <w:szCs w:val="18"/>
      </w:rPr>
      <w:tab/>
    </w:r>
    <w:r w:rsidR="00A70B60" w:rsidRPr="009A56D0">
      <w:rPr>
        <w:color w:val="07478C"/>
        <w:sz w:val="18"/>
        <w:szCs w:val="18"/>
      </w:rPr>
      <w:t>www.communications.gov.au</w:t>
    </w:r>
    <w:r w:rsidR="00A70B60">
      <w:rPr>
        <w:sz w:val="18"/>
        <w:szCs w:val="18"/>
      </w:rPr>
      <w:tab/>
    </w:r>
    <w:sdt>
      <w:sdtPr>
        <w:rPr>
          <w:sz w:val="18"/>
          <w:szCs w:val="18"/>
        </w:rPr>
        <w:id w:val="1404184380"/>
        <w:docPartObj>
          <w:docPartGallery w:val="Page Numbers (Top of Page)"/>
          <w:docPartUnique/>
        </w:docPartObj>
      </w:sdtPr>
      <w:sdtEndPr/>
      <w:sdtContent>
        <w:r w:rsidR="00A70B60" w:rsidRPr="000249BC">
          <w:rPr>
            <w:sz w:val="18"/>
            <w:szCs w:val="18"/>
          </w:rPr>
          <w:t xml:space="preserve">Page </w:t>
        </w:r>
        <w:r w:rsidR="00A70B60" w:rsidRPr="000249BC">
          <w:rPr>
            <w:bCs/>
            <w:sz w:val="18"/>
            <w:szCs w:val="18"/>
          </w:rPr>
          <w:fldChar w:fldCharType="begin"/>
        </w:r>
        <w:r w:rsidR="00A70B60" w:rsidRPr="000249BC">
          <w:rPr>
            <w:bCs/>
            <w:sz w:val="18"/>
            <w:szCs w:val="18"/>
          </w:rPr>
          <w:instrText xml:space="preserve"> PAGE </w:instrText>
        </w:r>
        <w:r w:rsidR="00A70B60" w:rsidRPr="000249BC">
          <w:rPr>
            <w:bCs/>
            <w:sz w:val="18"/>
            <w:szCs w:val="18"/>
          </w:rPr>
          <w:fldChar w:fldCharType="separate"/>
        </w:r>
        <w:r w:rsidR="00F42BA1">
          <w:rPr>
            <w:bCs/>
            <w:noProof/>
            <w:sz w:val="18"/>
            <w:szCs w:val="18"/>
          </w:rPr>
          <w:t>2</w:t>
        </w:r>
        <w:r w:rsidR="00A70B60" w:rsidRPr="000249BC">
          <w:rPr>
            <w:bCs/>
            <w:sz w:val="18"/>
            <w:szCs w:val="18"/>
          </w:rPr>
          <w:fldChar w:fldCharType="end"/>
        </w:r>
        <w:r w:rsidR="00A70B60" w:rsidRPr="000249BC">
          <w:rPr>
            <w:sz w:val="18"/>
            <w:szCs w:val="18"/>
          </w:rPr>
          <w:t xml:space="preserve"> of </w:t>
        </w:r>
        <w:r w:rsidR="00A70B60" w:rsidRPr="000249BC">
          <w:rPr>
            <w:bCs/>
            <w:sz w:val="18"/>
            <w:szCs w:val="18"/>
          </w:rPr>
          <w:fldChar w:fldCharType="begin"/>
        </w:r>
        <w:r w:rsidR="00A70B60" w:rsidRPr="000249BC">
          <w:rPr>
            <w:bCs/>
            <w:sz w:val="18"/>
            <w:szCs w:val="18"/>
          </w:rPr>
          <w:instrText xml:space="preserve"> NUMPAGES  </w:instrText>
        </w:r>
        <w:r w:rsidR="00A70B60" w:rsidRPr="000249BC">
          <w:rPr>
            <w:bCs/>
            <w:sz w:val="18"/>
            <w:szCs w:val="18"/>
          </w:rPr>
          <w:fldChar w:fldCharType="separate"/>
        </w:r>
        <w:r w:rsidR="00F42BA1">
          <w:rPr>
            <w:bCs/>
            <w:noProof/>
            <w:sz w:val="18"/>
            <w:szCs w:val="18"/>
          </w:rPr>
          <w:t>8</w:t>
        </w:r>
        <w:r w:rsidR="00A70B60" w:rsidRPr="000249BC">
          <w:rPr>
            <w:bCs/>
            <w:sz w:val="18"/>
            <w:szCs w:val="18"/>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ED36411" w14:textId="77777777" w:rsidR="00232E25" w:rsidRDefault="00232E25" w:rsidP="003F0A2D">
      <w:pPr>
        <w:spacing w:after="0"/>
      </w:pPr>
      <w:r>
        <w:separator/>
      </w:r>
    </w:p>
  </w:footnote>
  <w:footnote w:type="continuationSeparator" w:id="0">
    <w:p w14:paraId="018461E6" w14:textId="77777777" w:rsidR="00232E25" w:rsidRDefault="00232E25" w:rsidP="003F0A2D">
      <w:pPr>
        <w:spacing w:after="0"/>
      </w:pPr>
      <w:r>
        <w:continuationSeparator/>
      </w:r>
    </w:p>
  </w:footnote>
  <w:footnote w:id="1">
    <w:p w14:paraId="7201AC6F" w14:textId="77777777" w:rsidR="00232E25" w:rsidRPr="00DC5D2F" w:rsidRDefault="00232E25" w:rsidP="00232E25">
      <w:pPr>
        <w:pStyle w:val="FootnoteText"/>
        <w:rPr>
          <w:rFonts w:asciiTheme="majorHAnsi" w:hAnsiTheme="majorHAnsi" w:cs="Times New Roman"/>
        </w:rPr>
      </w:pPr>
      <w:r w:rsidRPr="00DC5D2F">
        <w:rPr>
          <w:rStyle w:val="FootnoteReference"/>
          <w:rFonts w:asciiTheme="majorHAnsi" w:hAnsiTheme="majorHAnsi" w:cs="Times New Roman"/>
        </w:rPr>
        <w:footnoteRef/>
      </w:r>
      <w:r w:rsidRPr="00DC5D2F">
        <w:rPr>
          <w:rFonts w:asciiTheme="majorHAnsi" w:hAnsiTheme="majorHAnsi" w:cs="Times New Roman"/>
        </w:rPr>
        <w:t xml:space="preserve"> The report is available at </w:t>
      </w:r>
      <w:hyperlink r:id="rId1" w:history="1">
        <w:r w:rsidRPr="00DC5D2F">
          <w:rPr>
            <w:rStyle w:val="Hyperlink"/>
            <w:rFonts w:asciiTheme="majorHAnsi" w:hAnsiTheme="majorHAnsi" w:cs="Times New Roman"/>
          </w:rPr>
          <w:t>http://www.aph.gov.au/Parliamentary_Business/Committees/House/Infrastructure_and_Communications/Inquiry_into_the_use_of_section_313_of_the_Telecommunications_Act_to_disrupt_the_operation_of_illegal_online_services/Report</w:t>
        </w:r>
      </w:hyperlink>
      <w:r>
        <w:rPr>
          <w:rFonts w:asciiTheme="majorHAnsi" w:hAnsiTheme="majorHAnsi" w:cs="Times New Roman"/>
        </w:rPr>
        <w:t>.</w:t>
      </w:r>
    </w:p>
  </w:footnote>
  <w:footnote w:id="2">
    <w:p w14:paraId="4541098C" w14:textId="77777777" w:rsidR="00232E25" w:rsidRPr="00DC5D2F" w:rsidRDefault="00232E25" w:rsidP="00232E25">
      <w:pPr>
        <w:pStyle w:val="FootnoteText"/>
        <w:rPr>
          <w:rFonts w:asciiTheme="majorHAnsi" w:hAnsiTheme="majorHAnsi"/>
        </w:rPr>
      </w:pPr>
      <w:r w:rsidRPr="00DC5D2F">
        <w:rPr>
          <w:rStyle w:val="FootnoteReference"/>
          <w:rFonts w:asciiTheme="majorHAnsi" w:hAnsiTheme="majorHAnsi" w:cs="Times New Roman"/>
        </w:rPr>
        <w:footnoteRef/>
      </w:r>
      <w:r w:rsidRPr="00DC5D2F">
        <w:rPr>
          <w:rFonts w:asciiTheme="majorHAnsi" w:hAnsiTheme="majorHAnsi" w:cs="Times New Roman"/>
        </w:rPr>
        <w:t xml:space="preserve"> For example, the Australian Federal Police has used the section to disrupt access to child exploitation material on the INTERPOL ‘Worst of’ list and for instances of cybercrime.</w:t>
      </w:r>
    </w:p>
  </w:footnote>
  <w:footnote w:id="3">
    <w:p w14:paraId="6B181700" w14:textId="77777777" w:rsidR="00232E25" w:rsidRPr="00DC5D2F" w:rsidRDefault="00232E25" w:rsidP="00232E25">
      <w:pPr>
        <w:pStyle w:val="FootnoteText"/>
        <w:rPr>
          <w:rFonts w:asciiTheme="majorHAnsi" w:hAnsiTheme="majorHAnsi" w:cs="Times New Roman"/>
        </w:rPr>
      </w:pPr>
      <w:r w:rsidRPr="00DC5D2F">
        <w:rPr>
          <w:rStyle w:val="FootnoteReference"/>
          <w:rFonts w:asciiTheme="majorHAnsi" w:hAnsiTheme="majorHAnsi" w:cs="Times New Roman"/>
        </w:rPr>
        <w:footnoteRef/>
      </w:r>
      <w:r w:rsidRPr="00DC5D2F">
        <w:rPr>
          <w:rFonts w:asciiTheme="majorHAnsi" w:hAnsiTheme="majorHAnsi" w:cs="Times New Roman"/>
        </w:rPr>
        <w:t xml:space="preserve"> The formula in section 4B of the </w:t>
      </w:r>
      <w:r w:rsidRPr="00DC5D2F">
        <w:rPr>
          <w:rFonts w:asciiTheme="majorHAnsi" w:hAnsiTheme="majorHAnsi" w:cs="Times New Roman"/>
          <w:i/>
        </w:rPr>
        <w:t>Crimes Act 1914</w:t>
      </w:r>
      <w:r w:rsidRPr="00DC5D2F">
        <w:rPr>
          <w:rFonts w:asciiTheme="majorHAnsi" w:hAnsiTheme="majorHAnsi" w:cs="Times New Roman"/>
        </w:rPr>
        <w:t xml:space="preserve"> (</w:t>
      </w:r>
      <w:proofErr w:type="spellStart"/>
      <w:r w:rsidRPr="00DC5D2F">
        <w:rPr>
          <w:rFonts w:asciiTheme="majorHAnsi" w:hAnsiTheme="majorHAnsi" w:cs="Times New Roman"/>
        </w:rPr>
        <w:t>Cth</w:t>
      </w:r>
      <w:proofErr w:type="spellEnd"/>
      <w:r w:rsidRPr="00DC5D2F">
        <w:rPr>
          <w:rFonts w:asciiTheme="majorHAnsi" w:hAnsiTheme="majorHAnsi" w:cs="Times New Roman"/>
        </w:rPr>
        <w:t>) has been used as a guide to determine the equivalent financial penalty. At the time of writing, a penalty unit under Commonwealth law was $180, therefore the financial penalty threshold was $21,600.</w:t>
      </w:r>
    </w:p>
  </w:footnote>
  <w:footnote w:id="4">
    <w:p w14:paraId="16373E5C" w14:textId="77777777" w:rsidR="00232E25" w:rsidRPr="00DC5D2F" w:rsidRDefault="00232E25" w:rsidP="00232E25">
      <w:pPr>
        <w:pStyle w:val="FootnoteText"/>
        <w:rPr>
          <w:rFonts w:asciiTheme="majorHAnsi" w:hAnsiTheme="majorHAnsi" w:cs="Times New Roman"/>
        </w:rPr>
      </w:pPr>
      <w:r w:rsidRPr="00DC5D2F">
        <w:rPr>
          <w:rStyle w:val="FootnoteReference"/>
          <w:rFonts w:asciiTheme="majorHAnsi" w:hAnsiTheme="majorHAnsi" w:cs="Times New Roman"/>
        </w:rPr>
        <w:footnoteRef/>
      </w:r>
      <w:r w:rsidRPr="00DC5D2F">
        <w:rPr>
          <w:rFonts w:asciiTheme="majorHAnsi" w:hAnsiTheme="majorHAnsi" w:cs="Times New Roman"/>
        </w:rPr>
        <w:t xml:space="preserve"> An example of an INTERPOL stop page used by the Australian Federal Police for child exploitation material is included in </w:t>
      </w:r>
      <w:r w:rsidRPr="00DC5D2F">
        <w:rPr>
          <w:rFonts w:asciiTheme="majorHAnsi" w:hAnsiTheme="majorHAnsi" w:cs="Times New Roman"/>
          <w:b/>
        </w:rPr>
        <w:t>Appendix A</w:t>
      </w:r>
      <w:r w:rsidRPr="00DC5D2F">
        <w:rPr>
          <w:rFonts w:asciiTheme="majorHAnsi" w:hAnsiTheme="majorHAnsi" w:cs="Times New Roman"/>
        </w:rPr>
        <w:t>.</w:t>
      </w:r>
    </w:p>
  </w:footnote>
  <w:footnote w:id="5">
    <w:p w14:paraId="605FFD80" w14:textId="77777777" w:rsidR="00232E25" w:rsidRPr="00DC5D2F" w:rsidRDefault="00232E25" w:rsidP="00232E25">
      <w:pPr>
        <w:pStyle w:val="FootnoteText"/>
        <w:rPr>
          <w:rFonts w:asciiTheme="majorHAnsi" w:hAnsiTheme="majorHAnsi" w:cs="Times New Roman"/>
        </w:rPr>
      </w:pPr>
      <w:r w:rsidRPr="00DC5D2F">
        <w:rPr>
          <w:rStyle w:val="FootnoteReference"/>
          <w:rFonts w:asciiTheme="majorHAnsi" w:hAnsiTheme="majorHAnsi" w:cs="Times New Roman"/>
        </w:rPr>
        <w:footnoteRef/>
      </w:r>
      <w:r w:rsidRPr="00DC5D2F">
        <w:rPr>
          <w:rFonts w:asciiTheme="majorHAnsi" w:hAnsiTheme="majorHAnsi" w:cs="Times New Roman"/>
        </w:rPr>
        <w:t xml:space="preserve"> The reason for the request would be the relevant category in paragraphs (c) to (e) of section 313(3).</w:t>
      </w:r>
    </w:p>
  </w:footnote>
  <w:footnote w:id="6">
    <w:p w14:paraId="5D8D0C89" w14:textId="77777777" w:rsidR="00232E25" w:rsidRPr="00DC5D2F" w:rsidRDefault="00232E25" w:rsidP="00232E25">
      <w:pPr>
        <w:pStyle w:val="FootnoteText"/>
        <w:tabs>
          <w:tab w:val="left" w:pos="8287"/>
        </w:tabs>
        <w:rPr>
          <w:rFonts w:asciiTheme="majorHAnsi" w:hAnsiTheme="majorHAnsi" w:cs="Times New Roman"/>
        </w:rPr>
      </w:pPr>
      <w:r w:rsidRPr="00DC5D2F">
        <w:rPr>
          <w:rStyle w:val="FootnoteReference"/>
          <w:rFonts w:asciiTheme="majorHAnsi" w:hAnsiTheme="majorHAnsi" w:cs="Times New Roman"/>
        </w:rPr>
        <w:footnoteRef/>
      </w:r>
      <w:r w:rsidRPr="00DC5D2F">
        <w:rPr>
          <w:rFonts w:asciiTheme="majorHAnsi" w:hAnsiTheme="majorHAnsi" w:cs="Times New Roman"/>
        </w:rPr>
        <w:t xml:space="preserve"> A form detailing what to report and when is available on the ACMA’s website (link).</w:t>
      </w:r>
    </w:p>
  </w:footnote>
  <w:footnote w:id="7">
    <w:p w14:paraId="0726D956" w14:textId="77777777" w:rsidR="00232E25" w:rsidRPr="00DC5D2F" w:rsidRDefault="00232E25" w:rsidP="00232E25">
      <w:pPr>
        <w:pStyle w:val="FootnoteText"/>
        <w:rPr>
          <w:rFonts w:asciiTheme="majorHAnsi" w:hAnsiTheme="majorHAnsi"/>
        </w:rPr>
      </w:pPr>
      <w:r w:rsidRPr="00DC5D2F">
        <w:rPr>
          <w:rStyle w:val="FootnoteReference"/>
          <w:rFonts w:asciiTheme="majorHAnsi" w:hAnsiTheme="majorHAnsi" w:cs="Times New Roman"/>
        </w:rPr>
        <w:footnoteRef/>
      </w:r>
      <w:r w:rsidRPr="00DC5D2F">
        <w:rPr>
          <w:rFonts w:asciiTheme="majorHAnsi" w:hAnsiTheme="majorHAnsi" w:cs="Times New Roman"/>
        </w:rPr>
        <w:t xml:space="preserve"> Under section 314 of the </w:t>
      </w:r>
      <w:r w:rsidRPr="00DC5D2F">
        <w:rPr>
          <w:rFonts w:asciiTheme="majorHAnsi" w:hAnsiTheme="majorHAnsi" w:cs="Times New Roman"/>
          <w:i/>
        </w:rPr>
        <w:t>Telecommunications Act 1997</w:t>
      </w:r>
      <w:r w:rsidRPr="00DC5D2F">
        <w:rPr>
          <w:rFonts w:asciiTheme="majorHAnsi" w:hAnsiTheme="majorHAnsi" w:cs="Times New Roman"/>
        </w:rPr>
        <w:t>, a carrier or carriage service provider can recover its costs of providing help under section 313(3) from the relevant government agency on the basis that it ‘neither profits from, nor bears the costs of’ giving that help.</w:t>
      </w:r>
    </w:p>
  </w:footnote>
  <w:footnote w:id="8">
    <w:p w14:paraId="786C6B7D" w14:textId="77777777" w:rsidR="00232E25" w:rsidRDefault="00232E25" w:rsidP="00232E25">
      <w:pPr>
        <w:pStyle w:val="FootnoteText"/>
      </w:pPr>
      <w:r w:rsidRPr="00DC5D2F">
        <w:rPr>
          <w:rStyle w:val="FootnoteReference"/>
          <w:rFonts w:asciiTheme="majorHAnsi" w:hAnsiTheme="majorHAnsi"/>
        </w:rPr>
        <w:footnoteRef/>
      </w:r>
      <w:r w:rsidRPr="00DC5D2F">
        <w:rPr>
          <w:rFonts w:asciiTheme="majorHAnsi" w:hAnsiTheme="majorHAnsi"/>
        </w:rPr>
        <w:t xml:space="preserve"> </w:t>
      </w:r>
      <w:r w:rsidRPr="00DC5D2F">
        <w:rPr>
          <w:rFonts w:asciiTheme="majorHAnsi" w:hAnsiTheme="majorHAnsi" w:cs="Times New Roman"/>
        </w:rPr>
        <w:t>The inadvertent disruption of websites in 2013 was the result of a request that IP addresses be blocked.</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3EF329" w14:textId="77777777" w:rsidR="00A70B60" w:rsidRDefault="00A70B60" w:rsidP="003F0A2D">
    <w:pPr>
      <w:pStyle w:val="Header"/>
      <w:ind w:left="-1418"/>
    </w:pPr>
    <w:r>
      <w:rPr>
        <w:noProof/>
        <w:lang w:eastAsia="en-AU"/>
      </w:rPr>
      <w:drawing>
        <wp:inline distT="0" distB="0" distL="0" distR="0" wp14:anchorId="26709855" wp14:editId="4890B1CC">
          <wp:extent cx="7634630" cy="406359"/>
          <wp:effectExtent l="0" t="0" r="0" b="0"/>
          <wp:docPr id="3" name="Picture 3" descr="Background image for decoration only." title="backgroun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t of Comms A4 Header2-02.jpg"/>
                  <pic:cNvPicPr/>
                </pic:nvPicPr>
                <pic:blipFill>
                  <a:blip r:embed="rId1">
                    <a:extLst>
                      <a:ext uri="{28A0092B-C50C-407E-A947-70E740481C1C}">
                        <a14:useLocalDpi xmlns:a14="http://schemas.microsoft.com/office/drawing/2010/main" val="0"/>
                      </a:ext>
                    </a:extLst>
                  </a:blip>
                  <a:stretch>
                    <a:fillRect/>
                  </a:stretch>
                </pic:blipFill>
                <pic:spPr>
                  <a:xfrm>
                    <a:off x="0" y="0"/>
                    <a:ext cx="7634630" cy="406359"/>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35032BA9" w14:textId="77777777" w:rsidR="00A70B60" w:rsidRPr="009A56D0" w:rsidRDefault="00A70B60" w:rsidP="00FF486B">
    <w:pPr>
      <w:pStyle w:val="Header"/>
      <w:tabs>
        <w:tab w:val="clear" w:pos="4513"/>
        <w:tab w:val="clear" w:pos="9026"/>
        <w:tab w:val="center" w:pos="5954"/>
        <w:tab w:val="right" w:pos="9333"/>
      </w:tabs>
      <w:rPr>
        <w:color w:val="07478C"/>
      </w:rPr>
    </w:pPr>
    <w:r w:rsidRPr="009A56D0">
      <w:rPr>
        <w:color w:val="07478C"/>
      </w:rPr>
      <w:t>Department of Communications and the Arts</w:t>
    </w:r>
    <w:r w:rsidRPr="009A56D0">
      <w:rPr>
        <w:color w:val="07478C"/>
      </w:rPr>
      <w:tab/>
    </w:r>
    <w:r w:rsidR="00FF486B" w:rsidRPr="00FF486B">
      <w:rPr>
        <w:b/>
        <w:color w:val="07478C"/>
        <w:sz w:val="24"/>
        <w:szCs w:val="24"/>
      </w:rPr>
      <w:t>Draft document</w:t>
    </w:r>
    <w:r w:rsidRPr="009A56D0">
      <w:rPr>
        <w:color w:val="07478C"/>
      </w:rPr>
      <w:tab/>
    </w:r>
    <w:r w:rsidR="00232E25">
      <w:rPr>
        <w:color w:val="07478C"/>
      </w:rPr>
      <w:t>April 2016</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9E9C6DF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ECE226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1C0C13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EA2D43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2DA41F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508468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9226C3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EA4216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DF2584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A88E0A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E4167DE"/>
    <w:multiLevelType w:val="hybridMultilevel"/>
    <w:tmpl w:val="02364640"/>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22F2D20"/>
    <w:multiLevelType w:val="hybridMultilevel"/>
    <w:tmpl w:val="CA689DC2"/>
    <w:lvl w:ilvl="0" w:tplc="C286136A">
      <w:start w:val="1"/>
      <w:numFmt w:val="bullet"/>
      <w:pStyle w:val="Bulletlevel1"/>
      <w:lvlText w:val=""/>
      <w:lvlJc w:val="left"/>
      <w:pPr>
        <w:ind w:left="720" w:hanging="360"/>
      </w:pPr>
      <w:rPr>
        <w:rFonts w:ascii="Symbol" w:hAnsi="Symbol" w:hint="default"/>
        <w:caps w:val="0"/>
        <w:strike w:val="0"/>
        <w:dstrike w:val="0"/>
        <w:vanish w:val="0"/>
        <w:color w:val="005391"/>
        <w:sz w:val="22"/>
        <w:vertAlign w:val="base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55D1806"/>
    <w:multiLevelType w:val="hybridMultilevel"/>
    <w:tmpl w:val="AC7EF5B2"/>
    <w:lvl w:ilvl="0" w:tplc="30242C7E">
      <w:start w:val="6"/>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30526CBD"/>
    <w:multiLevelType w:val="hybridMultilevel"/>
    <w:tmpl w:val="5F6875D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456A468F"/>
    <w:multiLevelType w:val="hybridMultilevel"/>
    <w:tmpl w:val="43B2995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4F0F4896"/>
    <w:multiLevelType w:val="hybridMultilevel"/>
    <w:tmpl w:val="DE446150"/>
    <w:lvl w:ilvl="0" w:tplc="FCEA5AF4">
      <w:start w:val="1"/>
      <w:numFmt w:val="bullet"/>
      <w:pStyle w:val="Tickedboxbulletpoint"/>
      <w:lvlText w:val=""/>
      <w:lvlJc w:val="left"/>
      <w:pPr>
        <w:ind w:left="720" w:hanging="360"/>
      </w:pPr>
      <w:rPr>
        <w:rFonts w:ascii="Wingdings" w:hAnsi="Wingdings" w:hint="default"/>
        <w:caps w:val="0"/>
        <w:strike w:val="0"/>
        <w:dstrike w:val="0"/>
        <w:vanish w:val="0"/>
        <w:webHidden w:val="0"/>
        <w:color w:val="005391"/>
        <w:sz w:val="22"/>
        <w:u w:val="none"/>
        <w:effect w:val="none"/>
        <w:vertAlign w:val="baseline"/>
        <w:specVanish w:val="0"/>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6" w15:restartNumberingAfterBreak="0">
    <w:nsid w:val="56B054F7"/>
    <w:multiLevelType w:val="multilevel"/>
    <w:tmpl w:val="09F8E82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5E2862AE"/>
    <w:multiLevelType w:val="hybridMultilevel"/>
    <w:tmpl w:val="5628C65C"/>
    <w:lvl w:ilvl="0" w:tplc="8BB88BEE">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75B504F0"/>
    <w:multiLevelType w:val="hybridMultilevel"/>
    <w:tmpl w:val="EFD0BD80"/>
    <w:lvl w:ilvl="0" w:tplc="9776F6D6">
      <w:start w:val="1"/>
      <w:numFmt w:val="bullet"/>
      <w:pStyle w:val="Checkboxemptybulletpoint"/>
      <w:lvlText w:val=""/>
      <w:lvlJc w:val="left"/>
      <w:pPr>
        <w:ind w:left="927" w:hanging="360"/>
      </w:pPr>
      <w:rPr>
        <w:rFonts w:ascii="Wingdings" w:hAnsi="Wingdings" w:hint="default"/>
        <w:caps w:val="0"/>
        <w:strike w:val="0"/>
        <w:dstrike w:val="0"/>
        <w:vanish w:val="0"/>
        <w:webHidden w:val="0"/>
        <w:color w:val="005391"/>
        <w:sz w:val="22"/>
        <w:u w:val="none"/>
        <w:effect w:val="none"/>
        <w:vertAlign w:val="baseline"/>
        <w:specVanish w:val="0"/>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9" w15:restartNumberingAfterBreak="0">
    <w:nsid w:val="7C662BDD"/>
    <w:multiLevelType w:val="hybridMultilevel"/>
    <w:tmpl w:val="491AD0D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1"/>
  </w:num>
  <w:num w:numId="2">
    <w:abstractNumId w:val="14"/>
  </w:num>
  <w:num w:numId="3">
    <w:abstractNumId w:val="13"/>
  </w:num>
  <w:num w:numId="4">
    <w:abstractNumId w:val="16"/>
  </w:num>
  <w:num w:numId="5">
    <w:abstractNumId w:val="9"/>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11"/>
  </w:num>
  <w:num w:numId="16">
    <w:abstractNumId w:val="15"/>
  </w:num>
  <w:num w:numId="17">
    <w:abstractNumId w:val="18"/>
  </w:num>
  <w:num w:numId="18">
    <w:abstractNumId w:val="10"/>
  </w:num>
  <w:num w:numId="19">
    <w:abstractNumId w:val="17"/>
  </w:num>
  <w:num w:numId="20">
    <w:abstractNumId w:val="12"/>
  </w:num>
  <w:num w:numId="2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stylePaneFormatFilter w:val="1228" w:allStyles="0" w:customStyles="0" w:latentStyles="0" w:stylesInUse="1" w:headingStyles="1" w:numberingStyles="0" w:tableStyles="0" w:directFormattingOnRuns="0" w:directFormattingOnParagraphs="1"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2E25"/>
    <w:rsid w:val="00010C8C"/>
    <w:rsid w:val="000249BC"/>
    <w:rsid w:val="000E1A93"/>
    <w:rsid w:val="0012570D"/>
    <w:rsid w:val="001F3924"/>
    <w:rsid w:val="00232E25"/>
    <w:rsid w:val="002506AF"/>
    <w:rsid w:val="00285881"/>
    <w:rsid w:val="00297528"/>
    <w:rsid w:val="003509FE"/>
    <w:rsid w:val="00393CB8"/>
    <w:rsid w:val="003F0A2D"/>
    <w:rsid w:val="0040012A"/>
    <w:rsid w:val="004048E1"/>
    <w:rsid w:val="0040622C"/>
    <w:rsid w:val="0043221A"/>
    <w:rsid w:val="00442D65"/>
    <w:rsid w:val="0047530F"/>
    <w:rsid w:val="00507E41"/>
    <w:rsid w:val="00535ADA"/>
    <w:rsid w:val="00567FAF"/>
    <w:rsid w:val="005F08D5"/>
    <w:rsid w:val="00612C84"/>
    <w:rsid w:val="0064771D"/>
    <w:rsid w:val="00660BB9"/>
    <w:rsid w:val="00686BEC"/>
    <w:rsid w:val="006A19A2"/>
    <w:rsid w:val="006D014F"/>
    <w:rsid w:val="006F5CF8"/>
    <w:rsid w:val="00704775"/>
    <w:rsid w:val="00794442"/>
    <w:rsid w:val="007D02EC"/>
    <w:rsid w:val="00813016"/>
    <w:rsid w:val="00832492"/>
    <w:rsid w:val="0084603E"/>
    <w:rsid w:val="00852E5C"/>
    <w:rsid w:val="00853419"/>
    <w:rsid w:val="00876729"/>
    <w:rsid w:val="008A312B"/>
    <w:rsid w:val="008C6C53"/>
    <w:rsid w:val="00933ABA"/>
    <w:rsid w:val="009A56D0"/>
    <w:rsid w:val="00A625B3"/>
    <w:rsid w:val="00A669A1"/>
    <w:rsid w:val="00A70B60"/>
    <w:rsid w:val="00A7176A"/>
    <w:rsid w:val="00AD66A7"/>
    <w:rsid w:val="00AF277C"/>
    <w:rsid w:val="00B370BC"/>
    <w:rsid w:val="00B82933"/>
    <w:rsid w:val="00BA2E1F"/>
    <w:rsid w:val="00C61D2E"/>
    <w:rsid w:val="00D24D05"/>
    <w:rsid w:val="00DB095A"/>
    <w:rsid w:val="00DD4718"/>
    <w:rsid w:val="00E240F8"/>
    <w:rsid w:val="00F41896"/>
    <w:rsid w:val="00F42BA1"/>
    <w:rsid w:val="00F977DF"/>
    <w:rsid w:val="00FA414F"/>
    <w:rsid w:val="00FB4064"/>
    <w:rsid w:val="00FF180D"/>
    <w:rsid w:val="00FF486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3390588"/>
  <w15:chartTrackingRefBased/>
  <w15:docId w15:val="{61E29721-A44A-4E1E-90C5-49C8A3E146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53419"/>
    <w:pPr>
      <w:spacing w:after="240" w:line="240" w:lineRule="auto"/>
    </w:pPr>
  </w:style>
  <w:style w:type="paragraph" w:styleId="Heading1">
    <w:name w:val="heading 1"/>
    <w:basedOn w:val="Normal"/>
    <w:next w:val="Normal"/>
    <w:link w:val="Heading1Char"/>
    <w:uiPriority w:val="9"/>
    <w:qFormat/>
    <w:rsid w:val="00660BB9"/>
    <w:pPr>
      <w:keepNext/>
      <w:spacing w:before="400"/>
      <w:outlineLvl w:val="0"/>
    </w:pPr>
    <w:rPr>
      <w:rFonts w:asciiTheme="majorHAnsi" w:eastAsiaTheme="majorEastAsia" w:hAnsiTheme="majorHAnsi" w:cstheme="majorBidi"/>
      <w:b/>
      <w:color w:val="07478C"/>
      <w:sz w:val="48"/>
      <w:szCs w:val="32"/>
    </w:rPr>
  </w:style>
  <w:style w:type="paragraph" w:styleId="Heading2">
    <w:name w:val="heading 2"/>
    <w:basedOn w:val="Normal"/>
    <w:next w:val="Normal"/>
    <w:link w:val="Heading2Char"/>
    <w:uiPriority w:val="9"/>
    <w:unhideWhenUsed/>
    <w:qFormat/>
    <w:rsid w:val="009A56D0"/>
    <w:pPr>
      <w:keepNext/>
      <w:spacing w:before="120"/>
      <w:outlineLvl w:val="1"/>
    </w:pPr>
    <w:rPr>
      <w:rFonts w:asciiTheme="majorHAnsi" w:eastAsiaTheme="majorEastAsia" w:hAnsiTheme="majorHAnsi" w:cstheme="majorBidi"/>
      <w:b/>
      <w:color w:val="07478C"/>
      <w:sz w:val="36"/>
      <w:szCs w:val="26"/>
    </w:rPr>
  </w:style>
  <w:style w:type="paragraph" w:styleId="Heading3">
    <w:name w:val="heading 3"/>
    <w:basedOn w:val="Normal"/>
    <w:next w:val="Normal"/>
    <w:link w:val="Heading3Char"/>
    <w:uiPriority w:val="9"/>
    <w:unhideWhenUsed/>
    <w:qFormat/>
    <w:rsid w:val="00232E25"/>
    <w:pPr>
      <w:keepNext/>
      <w:spacing w:after="120"/>
      <w:ind w:left="567" w:hanging="567"/>
      <w:outlineLvl w:val="2"/>
    </w:pPr>
    <w:rPr>
      <w:rFonts w:asciiTheme="majorHAnsi" w:eastAsiaTheme="majorEastAsia" w:hAnsiTheme="majorHAnsi" w:cstheme="majorBidi"/>
      <w:b/>
      <w:color w:val="07478C"/>
      <w:sz w:val="28"/>
      <w:szCs w:val="24"/>
    </w:rPr>
  </w:style>
  <w:style w:type="paragraph" w:styleId="Heading4">
    <w:name w:val="heading 4"/>
    <w:basedOn w:val="Normal"/>
    <w:next w:val="Normal"/>
    <w:link w:val="Heading4Char"/>
    <w:uiPriority w:val="9"/>
    <w:unhideWhenUsed/>
    <w:qFormat/>
    <w:rsid w:val="009A56D0"/>
    <w:pPr>
      <w:keepNext/>
      <w:spacing w:after="60"/>
      <w:outlineLvl w:val="3"/>
    </w:pPr>
    <w:rPr>
      <w:rFonts w:asciiTheme="majorHAnsi" w:eastAsiaTheme="majorEastAsia" w:hAnsiTheme="majorHAnsi" w:cstheme="majorBidi"/>
      <w:b/>
      <w:iCs/>
      <w:color w:val="07478C"/>
      <w:sz w:val="24"/>
    </w:rPr>
  </w:style>
  <w:style w:type="paragraph" w:styleId="Heading5">
    <w:name w:val="heading 5"/>
    <w:basedOn w:val="Normal"/>
    <w:next w:val="Normal"/>
    <w:link w:val="Heading5Char"/>
    <w:uiPriority w:val="9"/>
    <w:semiHidden/>
    <w:unhideWhenUsed/>
    <w:qFormat/>
    <w:rsid w:val="009A56D0"/>
    <w:pPr>
      <w:keepNext/>
      <w:spacing w:after="60"/>
      <w:outlineLvl w:val="4"/>
    </w:pPr>
    <w:rPr>
      <w:rFonts w:asciiTheme="majorHAnsi" w:eastAsiaTheme="majorEastAsia" w:hAnsiTheme="majorHAnsi" w:cstheme="majorBidi"/>
      <w:color w:val="07478C"/>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60BB9"/>
    <w:rPr>
      <w:rFonts w:asciiTheme="majorHAnsi" w:eastAsiaTheme="majorEastAsia" w:hAnsiTheme="majorHAnsi" w:cstheme="majorBidi"/>
      <w:b/>
      <w:color w:val="07478C"/>
      <w:sz w:val="48"/>
      <w:szCs w:val="32"/>
    </w:rPr>
  </w:style>
  <w:style w:type="character" w:customStyle="1" w:styleId="Heading2Char">
    <w:name w:val="Heading 2 Char"/>
    <w:basedOn w:val="DefaultParagraphFont"/>
    <w:link w:val="Heading2"/>
    <w:uiPriority w:val="9"/>
    <w:rsid w:val="009A56D0"/>
    <w:rPr>
      <w:rFonts w:asciiTheme="majorHAnsi" w:eastAsiaTheme="majorEastAsia" w:hAnsiTheme="majorHAnsi" w:cstheme="majorBidi"/>
      <w:b/>
      <w:color w:val="07478C"/>
      <w:sz w:val="36"/>
      <w:szCs w:val="26"/>
    </w:rPr>
  </w:style>
  <w:style w:type="paragraph" w:styleId="Subtitle">
    <w:name w:val="Subtitle"/>
    <w:basedOn w:val="Normal"/>
    <w:next w:val="Normal"/>
    <w:link w:val="SubtitleChar"/>
    <w:uiPriority w:val="11"/>
    <w:qFormat/>
    <w:rsid w:val="0064771D"/>
    <w:pPr>
      <w:numPr>
        <w:ilvl w:val="1"/>
      </w:numPr>
      <w:spacing w:before="240"/>
    </w:pPr>
    <w:rPr>
      <w:rFonts w:asciiTheme="majorHAnsi" w:eastAsiaTheme="minorEastAsia" w:hAnsiTheme="majorHAnsi"/>
      <w:b/>
      <w:color w:val="07478C"/>
      <w:spacing w:val="15"/>
      <w:sz w:val="36"/>
    </w:rPr>
  </w:style>
  <w:style w:type="character" w:customStyle="1" w:styleId="SubtitleChar">
    <w:name w:val="Subtitle Char"/>
    <w:basedOn w:val="DefaultParagraphFont"/>
    <w:link w:val="Subtitle"/>
    <w:uiPriority w:val="11"/>
    <w:rsid w:val="0064771D"/>
    <w:rPr>
      <w:rFonts w:asciiTheme="majorHAnsi" w:eastAsiaTheme="minorEastAsia" w:hAnsiTheme="majorHAnsi"/>
      <w:b/>
      <w:color w:val="07478C"/>
      <w:spacing w:val="15"/>
      <w:sz w:val="36"/>
    </w:rPr>
  </w:style>
  <w:style w:type="character" w:styleId="Hyperlink">
    <w:name w:val="Hyperlink"/>
    <w:basedOn w:val="DefaultParagraphFont"/>
    <w:uiPriority w:val="99"/>
    <w:unhideWhenUsed/>
    <w:rsid w:val="0064771D"/>
    <w:rPr>
      <w:color w:val="095EBB"/>
      <w:u w:val="single"/>
    </w:rPr>
  </w:style>
  <w:style w:type="character" w:customStyle="1" w:styleId="Heading3Char">
    <w:name w:val="Heading 3 Char"/>
    <w:basedOn w:val="DefaultParagraphFont"/>
    <w:link w:val="Heading3"/>
    <w:uiPriority w:val="9"/>
    <w:rsid w:val="00232E25"/>
    <w:rPr>
      <w:rFonts w:asciiTheme="majorHAnsi" w:eastAsiaTheme="majorEastAsia" w:hAnsiTheme="majorHAnsi" w:cstheme="majorBidi"/>
      <w:b/>
      <w:color w:val="07478C"/>
      <w:sz w:val="28"/>
      <w:szCs w:val="24"/>
    </w:rPr>
  </w:style>
  <w:style w:type="paragraph" w:customStyle="1" w:styleId="Bulletlevel1">
    <w:name w:val="Bullet level 1"/>
    <w:basedOn w:val="Normal"/>
    <w:qFormat/>
    <w:rsid w:val="003F0A2D"/>
    <w:pPr>
      <w:numPr>
        <w:numId w:val="1"/>
      </w:numPr>
      <w:ind w:left="567" w:hanging="567"/>
      <w:contextualSpacing/>
    </w:pPr>
  </w:style>
  <w:style w:type="paragraph" w:styleId="Header">
    <w:name w:val="header"/>
    <w:basedOn w:val="Normal"/>
    <w:link w:val="HeaderChar"/>
    <w:uiPriority w:val="99"/>
    <w:unhideWhenUsed/>
    <w:rsid w:val="003F0A2D"/>
    <w:pPr>
      <w:tabs>
        <w:tab w:val="center" w:pos="4513"/>
        <w:tab w:val="right" w:pos="9026"/>
      </w:tabs>
      <w:spacing w:after="0"/>
    </w:pPr>
  </w:style>
  <w:style w:type="character" w:customStyle="1" w:styleId="HeaderChar">
    <w:name w:val="Header Char"/>
    <w:basedOn w:val="DefaultParagraphFont"/>
    <w:link w:val="Header"/>
    <w:uiPriority w:val="99"/>
    <w:rsid w:val="003F0A2D"/>
  </w:style>
  <w:style w:type="paragraph" w:styleId="Footer">
    <w:name w:val="footer"/>
    <w:basedOn w:val="Normal"/>
    <w:link w:val="FooterChar"/>
    <w:uiPriority w:val="99"/>
    <w:unhideWhenUsed/>
    <w:rsid w:val="003F0A2D"/>
    <w:pPr>
      <w:tabs>
        <w:tab w:val="center" w:pos="4513"/>
        <w:tab w:val="right" w:pos="9026"/>
      </w:tabs>
      <w:spacing w:after="0"/>
    </w:pPr>
  </w:style>
  <w:style w:type="character" w:customStyle="1" w:styleId="FooterChar">
    <w:name w:val="Footer Char"/>
    <w:basedOn w:val="DefaultParagraphFont"/>
    <w:link w:val="Footer"/>
    <w:uiPriority w:val="99"/>
    <w:rsid w:val="003F0A2D"/>
  </w:style>
  <w:style w:type="character" w:customStyle="1" w:styleId="Heading4Char">
    <w:name w:val="Heading 4 Char"/>
    <w:basedOn w:val="DefaultParagraphFont"/>
    <w:link w:val="Heading4"/>
    <w:uiPriority w:val="9"/>
    <w:rsid w:val="009A56D0"/>
    <w:rPr>
      <w:rFonts w:asciiTheme="majorHAnsi" w:eastAsiaTheme="majorEastAsia" w:hAnsiTheme="majorHAnsi" w:cstheme="majorBidi"/>
      <w:b/>
      <w:iCs/>
      <w:color w:val="07478C"/>
      <w:sz w:val="24"/>
    </w:rPr>
  </w:style>
  <w:style w:type="table" w:styleId="TableGrid">
    <w:name w:val="Table Grid"/>
    <w:basedOn w:val="TableNormal"/>
    <w:uiPriority w:val="39"/>
    <w:rsid w:val="000249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figureheading">
    <w:name w:val="Table/figure heading"/>
    <w:basedOn w:val="Normal"/>
    <w:next w:val="Normal"/>
    <w:qFormat/>
    <w:rsid w:val="00813016"/>
    <w:pPr>
      <w:keepNext/>
      <w:spacing w:before="40" w:after="0"/>
    </w:pPr>
    <w:rPr>
      <w:rFonts w:asciiTheme="majorHAnsi" w:hAnsiTheme="majorHAnsi"/>
      <w:b/>
      <w:color w:val="07478C"/>
    </w:rPr>
  </w:style>
  <w:style w:type="paragraph" w:styleId="FootnoteText">
    <w:name w:val="footnote text"/>
    <w:basedOn w:val="Normal"/>
    <w:link w:val="FootnoteTextChar"/>
    <w:uiPriority w:val="99"/>
    <w:semiHidden/>
    <w:unhideWhenUsed/>
    <w:rsid w:val="000249BC"/>
    <w:pPr>
      <w:spacing w:after="0"/>
    </w:pPr>
    <w:rPr>
      <w:sz w:val="20"/>
      <w:szCs w:val="20"/>
    </w:rPr>
  </w:style>
  <w:style w:type="character" w:customStyle="1" w:styleId="FootnoteTextChar">
    <w:name w:val="Footnote Text Char"/>
    <w:basedOn w:val="DefaultParagraphFont"/>
    <w:link w:val="FootnoteText"/>
    <w:uiPriority w:val="99"/>
    <w:semiHidden/>
    <w:rsid w:val="000249BC"/>
    <w:rPr>
      <w:sz w:val="20"/>
      <w:szCs w:val="20"/>
    </w:rPr>
  </w:style>
  <w:style w:type="character" w:styleId="FootnoteReference">
    <w:name w:val="footnote reference"/>
    <w:basedOn w:val="DefaultParagraphFont"/>
    <w:uiPriority w:val="99"/>
    <w:semiHidden/>
    <w:unhideWhenUsed/>
    <w:rsid w:val="000249BC"/>
    <w:rPr>
      <w:vertAlign w:val="superscript"/>
    </w:rPr>
  </w:style>
  <w:style w:type="paragraph" w:styleId="ListParagraph">
    <w:name w:val="List Paragraph"/>
    <w:basedOn w:val="Normal"/>
    <w:uiPriority w:val="34"/>
    <w:qFormat/>
    <w:rsid w:val="0064771D"/>
    <w:pPr>
      <w:ind w:left="1134" w:hanging="567"/>
      <w:contextualSpacing/>
    </w:pPr>
  </w:style>
  <w:style w:type="paragraph" w:styleId="TOC1">
    <w:name w:val="toc 1"/>
    <w:basedOn w:val="Normal"/>
    <w:next w:val="Normal"/>
    <w:autoRedefine/>
    <w:uiPriority w:val="39"/>
    <w:unhideWhenUsed/>
    <w:rsid w:val="00FA414F"/>
    <w:pPr>
      <w:spacing w:before="120" w:after="0"/>
    </w:pPr>
    <w:rPr>
      <w:b/>
      <w:color w:val="07478C"/>
      <w:sz w:val="24"/>
    </w:rPr>
  </w:style>
  <w:style w:type="paragraph" w:styleId="TOC2">
    <w:name w:val="toc 2"/>
    <w:basedOn w:val="Normal"/>
    <w:next w:val="Normal"/>
    <w:autoRedefine/>
    <w:uiPriority w:val="39"/>
    <w:unhideWhenUsed/>
    <w:rsid w:val="00FA414F"/>
    <w:pPr>
      <w:spacing w:after="0"/>
      <w:ind w:left="567"/>
    </w:pPr>
  </w:style>
  <w:style w:type="paragraph" w:styleId="TOC3">
    <w:name w:val="toc 3"/>
    <w:basedOn w:val="Normal"/>
    <w:next w:val="Normal"/>
    <w:autoRedefine/>
    <w:uiPriority w:val="39"/>
    <w:unhideWhenUsed/>
    <w:rsid w:val="00FA414F"/>
    <w:pPr>
      <w:spacing w:after="0"/>
      <w:ind w:left="1134"/>
    </w:pPr>
  </w:style>
  <w:style w:type="paragraph" w:customStyle="1" w:styleId="Tableheading">
    <w:name w:val="Table heading"/>
    <w:basedOn w:val="Normal"/>
    <w:next w:val="Normal"/>
    <w:rsid w:val="00B370BC"/>
    <w:pPr>
      <w:spacing w:after="0"/>
    </w:pPr>
    <w:rPr>
      <w:rFonts w:eastAsia="Times New Roman" w:cs="Times New Roman"/>
      <w:b/>
      <w:bCs/>
      <w:szCs w:val="20"/>
    </w:rPr>
  </w:style>
  <w:style w:type="paragraph" w:customStyle="1" w:styleId="Tableheadingcentred">
    <w:name w:val="Table heading centred"/>
    <w:basedOn w:val="Normal"/>
    <w:next w:val="Normal"/>
    <w:rsid w:val="00B370BC"/>
    <w:pPr>
      <w:spacing w:after="0"/>
      <w:jc w:val="center"/>
    </w:pPr>
    <w:rPr>
      <w:rFonts w:eastAsia="Times New Roman" w:cs="Times New Roman"/>
      <w:b/>
      <w:bCs/>
      <w:szCs w:val="20"/>
    </w:rPr>
  </w:style>
  <w:style w:type="paragraph" w:customStyle="1" w:styleId="Tabletextcentred">
    <w:name w:val="Table text centred"/>
    <w:basedOn w:val="Normal"/>
    <w:next w:val="NoSpacing"/>
    <w:rsid w:val="00B370BC"/>
    <w:pPr>
      <w:spacing w:after="0"/>
      <w:jc w:val="center"/>
    </w:pPr>
    <w:rPr>
      <w:rFonts w:eastAsia="Times New Roman" w:cs="Times New Roman"/>
      <w:szCs w:val="20"/>
    </w:rPr>
  </w:style>
  <w:style w:type="paragraph" w:styleId="NoSpacing">
    <w:name w:val="No Spacing"/>
    <w:uiPriority w:val="1"/>
    <w:qFormat/>
    <w:rsid w:val="00B370BC"/>
    <w:pPr>
      <w:spacing w:after="0" w:line="240" w:lineRule="auto"/>
    </w:pPr>
  </w:style>
  <w:style w:type="character" w:customStyle="1" w:styleId="Heading5Char">
    <w:name w:val="Heading 5 Char"/>
    <w:basedOn w:val="DefaultParagraphFont"/>
    <w:link w:val="Heading5"/>
    <w:uiPriority w:val="9"/>
    <w:semiHidden/>
    <w:rsid w:val="009A56D0"/>
    <w:rPr>
      <w:rFonts w:asciiTheme="majorHAnsi" w:eastAsiaTheme="majorEastAsia" w:hAnsiTheme="majorHAnsi" w:cstheme="majorBidi"/>
      <w:color w:val="07478C"/>
    </w:rPr>
  </w:style>
  <w:style w:type="character" w:styleId="IntenseEmphasis">
    <w:name w:val="Intense Emphasis"/>
    <w:basedOn w:val="DefaultParagraphFont"/>
    <w:uiPriority w:val="21"/>
    <w:qFormat/>
    <w:rsid w:val="0064771D"/>
    <w:rPr>
      <w:rFonts w:asciiTheme="minorHAnsi" w:hAnsiTheme="minorHAnsi"/>
      <w:i/>
      <w:iCs/>
      <w:color w:val="07478C"/>
      <w:sz w:val="22"/>
    </w:rPr>
  </w:style>
  <w:style w:type="paragraph" w:styleId="IntenseQuote">
    <w:name w:val="Intense Quote"/>
    <w:basedOn w:val="Normal"/>
    <w:next w:val="Normal"/>
    <w:link w:val="IntenseQuoteChar"/>
    <w:uiPriority w:val="30"/>
    <w:qFormat/>
    <w:rsid w:val="0064771D"/>
    <w:pPr>
      <w:pBdr>
        <w:top w:val="single" w:sz="4" w:space="10" w:color="5B9BD5" w:themeColor="accent1"/>
        <w:bottom w:val="single" w:sz="4" w:space="10" w:color="5B9BD5" w:themeColor="accent1"/>
      </w:pBdr>
      <w:ind w:left="567" w:right="567"/>
    </w:pPr>
    <w:rPr>
      <w:i/>
      <w:iCs/>
      <w:color w:val="07478C"/>
    </w:rPr>
  </w:style>
  <w:style w:type="character" w:customStyle="1" w:styleId="IntenseQuoteChar">
    <w:name w:val="Intense Quote Char"/>
    <w:basedOn w:val="DefaultParagraphFont"/>
    <w:link w:val="IntenseQuote"/>
    <w:uiPriority w:val="30"/>
    <w:rsid w:val="0064771D"/>
    <w:rPr>
      <w:i/>
      <w:iCs/>
      <w:color w:val="07478C"/>
    </w:rPr>
  </w:style>
  <w:style w:type="character" w:styleId="IntenseReference">
    <w:name w:val="Intense Reference"/>
    <w:basedOn w:val="DefaultParagraphFont"/>
    <w:uiPriority w:val="32"/>
    <w:qFormat/>
    <w:rsid w:val="0064771D"/>
    <w:rPr>
      <w:rFonts w:asciiTheme="minorHAnsi" w:hAnsiTheme="minorHAnsi"/>
      <w:b/>
      <w:bCs/>
      <w:smallCaps/>
      <w:color w:val="07478C"/>
      <w:spacing w:val="5"/>
      <w:sz w:val="22"/>
    </w:rPr>
  </w:style>
  <w:style w:type="character" w:styleId="BookTitle">
    <w:name w:val="Book Title"/>
    <w:basedOn w:val="DefaultParagraphFont"/>
    <w:uiPriority w:val="33"/>
    <w:qFormat/>
    <w:rsid w:val="0064771D"/>
    <w:rPr>
      <w:rFonts w:asciiTheme="minorHAnsi" w:hAnsiTheme="minorHAnsi"/>
      <w:b/>
      <w:bCs/>
      <w:i/>
      <w:iCs/>
      <w:spacing w:val="5"/>
      <w:sz w:val="22"/>
    </w:rPr>
  </w:style>
  <w:style w:type="character" w:styleId="SubtleReference">
    <w:name w:val="Subtle Reference"/>
    <w:basedOn w:val="DefaultParagraphFont"/>
    <w:uiPriority w:val="31"/>
    <w:qFormat/>
    <w:rsid w:val="0064771D"/>
    <w:rPr>
      <w:rFonts w:asciiTheme="minorHAnsi" w:hAnsiTheme="minorHAnsi"/>
      <w:smallCaps/>
      <w:color w:val="5A5A5A" w:themeColor="text1" w:themeTint="A5"/>
      <w:sz w:val="22"/>
    </w:rPr>
  </w:style>
  <w:style w:type="paragraph" w:customStyle="1" w:styleId="Heading2-notshowingincontentsindocument">
    <w:name w:val="Heading 2 - not showing in contents in document"/>
    <w:basedOn w:val="Normal"/>
    <w:next w:val="Normal"/>
    <w:rsid w:val="00A7176A"/>
    <w:pPr>
      <w:outlineLvl w:val="1"/>
    </w:pPr>
    <w:rPr>
      <w:rFonts w:asciiTheme="majorHAnsi" w:hAnsiTheme="majorHAnsi"/>
      <w:b/>
      <w:color w:val="07478C"/>
      <w:sz w:val="36"/>
      <w:szCs w:val="36"/>
    </w:rPr>
  </w:style>
  <w:style w:type="paragraph" w:customStyle="1" w:styleId="Normal-monthyearforcoverpage">
    <w:name w:val="Normal - month/year for cover page"/>
    <w:basedOn w:val="Normal"/>
    <w:next w:val="Normal"/>
    <w:rsid w:val="00A7176A"/>
    <w:rPr>
      <w:color w:val="07478C"/>
      <w:sz w:val="24"/>
      <w:szCs w:val="24"/>
    </w:rPr>
  </w:style>
  <w:style w:type="paragraph" w:customStyle="1" w:styleId="Heading3-notshowingincontentsindocument">
    <w:name w:val="Heading 3 - not showing in contents in document"/>
    <w:basedOn w:val="Normal"/>
    <w:next w:val="Normal"/>
    <w:rsid w:val="00A7176A"/>
    <w:pPr>
      <w:outlineLvl w:val="2"/>
    </w:pPr>
    <w:rPr>
      <w:color w:val="07478C"/>
      <w:sz w:val="26"/>
      <w:szCs w:val="26"/>
    </w:rPr>
  </w:style>
  <w:style w:type="paragraph" w:customStyle="1" w:styleId="subtitleofdocument">
    <w:name w:val="subtitle of document"/>
    <w:basedOn w:val="Normal"/>
    <w:next w:val="Normal"/>
    <w:rsid w:val="00A7176A"/>
    <w:pPr>
      <w:spacing w:before="1000" w:after="1000"/>
      <w:outlineLvl w:val="1"/>
    </w:pPr>
    <w:rPr>
      <w:rFonts w:asciiTheme="majorHAnsi" w:eastAsia="Times New Roman" w:hAnsiTheme="majorHAnsi" w:cs="Times New Roman"/>
      <w:b/>
      <w:bCs/>
      <w:color w:val="07478C"/>
      <w:sz w:val="36"/>
      <w:szCs w:val="20"/>
    </w:rPr>
  </w:style>
  <w:style w:type="paragraph" w:customStyle="1" w:styleId="Tickedboxbulletpoint">
    <w:name w:val="Ticked box bullet point"/>
    <w:basedOn w:val="Bulletlevel1"/>
    <w:qFormat/>
    <w:rsid w:val="0047530F"/>
    <w:pPr>
      <w:numPr>
        <w:numId w:val="16"/>
      </w:numPr>
      <w:spacing w:before="240" w:after="0"/>
      <w:ind w:left="567" w:hanging="567"/>
    </w:pPr>
  </w:style>
  <w:style w:type="paragraph" w:customStyle="1" w:styleId="Checkboxemptybulletpoint">
    <w:name w:val="Check box empty bullet point"/>
    <w:basedOn w:val="Bulletlevel1"/>
    <w:qFormat/>
    <w:rsid w:val="0047530F"/>
    <w:pPr>
      <w:numPr>
        <w:numId w:val="17"/>
      </w:numPr>
      <w:spacing w:after="0"/>
      <w:ind w:left="397" w:hanging="397"/>
    </w:pPr>
  </w:style>
  <w:style w:type="character" w:styleId="FollowedHyperlink">
    <w:name w:val="FollowedHyperlink"/>
    <w:basedOn w:val="DefaultParagraphFont"/>
    <w:uiPriority w:val="99"/>
    <w:semiHidden/>
    <w:unhideWhenUsed/>
    <w:rsid w:val="00876729"/>
    <w:rPr>
      <w:color w:val="954F72" w:themeColor="followedHyperlink"/>
      <w:u w:val="single"/>
    </w:rPr>
  </w:style>
  <w:style w:type="paragraph" w:styleId="BalloonText">
    <w:name w:val="Balloon Text"/>
    <w:basedOn w:val="Normal"/>
    <w:link w:val="BalloonTextChar"/>
    <w:uiPriority w:val="99"/>
    <w:semiHidden/>
    <w:unhideWhenUsed/>
    <w:rsid w:val="00A70B60"/>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70B6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5908669">
      <w:bodyDiv w:val="1"/>
      <w:marLeft w:val="0"/>
      <w:marRight w:val="0"/>
      <w:marTop w:val="0"/>
      <w:marBottom w:val="0"/>
      <w:divBdr>
        <w:top w:val="none" w:sz="0" w:space="0" w:color="auto"/>
        <w:left w:val="none" w:sz="0" w:space="0" w:color="auto"/>
        <w:bottom w:val="none" w:sz="0" w:space="0" w:color="auto"/>
        <w:right w:val="none" w:sz="0" w:space="0" w:color="auto"/>
      </w:divBdr>
      <w:divsChild>
        <w:div w:id="366873104">
          <w:marLeft w:val="547"/>
          <w:marRight w:val="0"/>
          <w:marTop w:val="154"/>
          <w:marBottom w:val="0"/>
          <w:divBdr>
            <w:top w:val="none" w:sz="0" w:space="0" w:color="auto"/>
            <w:left w:val="none" w:sz="0" w:space="0" w:color="auto"/>
            <w:bottom w:val="none" w:sz="0" w:space="0" w:color="auto"/>
            <w:right w:val="none" w:sz="0" w:space="0" w:color="auto"/>
          </w:divBdr>
        </w:div>
        <w:div w:id="96563302">
          <w:marLeft w:val="547"/>
          <w:marRight w:val="0"/>
          <w:marTop w:val="154"/>
          <w:marBottom w:val="0"/>
          <w:divBdr>
            <w:top w:val="none" w:sz="0" w:space="0" w:color="auto"/>
            <w:left w:val="none" w:sz="0" w:space="0" w:color="auto"/>
            <w:bottom w:val="none" w:sz="0" w:space="0" w:color="auto"/>
            <w:right w:val="none" w:sz="0" w:space="0" w:color="auto"/>
          </w:divBdr>
        </w:div>
      </w:divsChild>
    </w:div>
    <w:div w:id="1437208630">
      <w:bodyDiv w:val="1"/>
      <w:marLeft w:val="0"/>
      <w:marRight w:val="0"/>
      <w:marTop w:val="0"/>
      <w:marBottom w:val="0"/>
      <w:divBdr>
        <w:top w:val="none" w:sz="0" w:space="0" w:color="auto"/>
        <w:left w:val="none" w:sz="0" w:space="0" w:color="auto"/>
        <w:bottom w:val="none" w:sz="0" w:space="0" w:color="auto"/>
        <w:right w:val="none" w:sz="0" w:space="0" w:color="auto"/>
      </w:divBdr>
      <w:divsChild>
        <w:div w:id="477377916">
          <w:marLeft w:val="547"/>
          <w:marRight w:val="0"/>
          <w:marTop w:val="154"/>
          <w:marBottom w:val="0"/>
          <w:divBdr>
            <w:top w:val="none" w:sz="0" w:space="0" w:color="auto"/>
            <w:left w:val="none" w:sz="0" w:space="0" w:color="auto"/>
            <w:bottom w:val="none" w:sz="0" w:space="0" w:color="auto"/>
            <w:right w:val="none" w:sz="0" w:space="0" w:color="auto"/>
          </w:divBdr>
        </w:div>
        <w:div w:id="1676953640">
          <w:marLeft w:val="547"/>
          <w:marRight w:val="0"/>
          <w:marTop w:val="154"/>
          <w:marBottom w:val="0"/>
          <w:divBdr>
            <w:top w:val="none" w:sz="0" w:space="0" w:color="auto"/>
            <w:left w:val="none" w:sz="0" w:space="0" w:color="auto"/>
            <w:bottom w:val="none" w:sz="0" w:space="0" w:color="auto"/>
            <w:right w:val="none" w:sz="0" w:space="0" w:color="auto"/>
          </w:divBdr>
        </w:div>
      </w:divsChild>
    </w:div>
    <w:div w:id="17190095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emf"/><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www.creativecommons.org/licenses/by/3.0/au/" TargetMode="Externa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cid:image001.jpg@01CF53E2.F599DED0"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notes.xml.rels><?xml version="1.0" encoding="UTF-8" standalone="yes"?>
<Relationships xmlns="http://schemas.openxmlformats.org/package/2006/relationships"><Relationship Id="rId1" Type="http://schemas.openxmlformats.org/officeDocument/2006/relationships/hyperlink" Target="http://www.aph.gov.au/Parliamentary_Business/Committees/House/Infrastructure_and_Communications/Inquiry_into_the_use_of_section_313_of_the_Telecommunications_Act_to_disrupt_the_operation_of_illegal_online_services/Repor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7AE4C118E5E944AAE21DA935605227B" ma:contentTypeVersion="0" ma:contentTypeDescription="Create a new document." ma:contentTypeScope="" ma:versionID="6db304413f3491626ea06610bad2cff8">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6DCD69-BC09-4A34-8C07-ECCE2BC77A14}">
  <ds:schemaRefs>
    <ds:schemaRef ds:uri="http://schemas.microsoft.com/office/2006/metadata/properties"/>
    <ds:schemaRef ds:uri="http://purl.org/dc/elements/1.1/"/>
    <ds:schemaRef ds:uri="http://schemas.microsoft.com/office/2006/documentManagement/types"/>
    <ds:schemaRef ds:uri="http://purl.org/dc/dcmitype/"/>
    <ds:schemaRef ds:uri="http://schemas.microsoft.com/office/infopath/2007/PartnerControls"/>
    <ds:schemaRef ds:uri="http://schemas.openxmlformats.org/package/2006/metadata/core-properties"/>
    <ds:schemaRef ds:uri="http://www.w3.org/XML/1998/namespace"/>
    <ds:schemaRef ds:uri="http://purl.org/dc/terms/"/>
  </ds:schemaRefs>
</ds:datastoreItem>
</file>

<file path=customXml/itemProps2.xml><?xml version="1.0" encoding="utf-8"?>
<ds:datastoreItem xmlns:ds="http://schemas.openxmlformats.org/officeDocument/2006/customXml" ds:itemID="{77C91B10-8A1E-400F-BE00-3F378855308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7FC2D289-776A-4A59-B23F-454720C5DFFD}">
  <ds:schemaRefs>
    <ds:schemaRef ds:uri="http://schemas.microsoft.com/sharepoint/v3/contenttype/forms"/>
  </ds:schemaRefs>
</ds:datastoreItem>
</file>

<file path=customXml/itemProps4.xml><?xml version="1.0" encoding="utf-8"?>
<ds:datastoreItem xmlns:ds="http://schemas.openxmlformats.org/officeDocument/2006/customXml" ds:itemID="{39F26526-4FB4-4A6C-BF91-A694ECECA9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8</Pages>
  <Words>1900</Words>
  <Characters>10831</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Australian Government draft guidelines for the use of section 313(3) of the Telecommunications Act 1997 by government agencies for the lawful disruption of access to online services</vt:lpstr>
    </vt:vector>
  </TitlesOfParts>
  <Company>Department of Communications</Company>
  <LinksUpToDate>false</LinksUpToDate>
  <CharactersWithSpaces>12706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Government draft guidelines for the use of section 313(3) of the Telecommunications Act 1997 by government agencies for the lawful disruption of access to online services</dc:title>
  <dc:subject/>
  <dc:creator>Theresa Hall</dc:creator>
  <cp:keywords/>
  <dc:description/>
  <cp:lastModifiedBy>Theresa Hall</cp:lastModifiedBy>
  <cp:revision>3</cp:revision>
  <cp:lastPrinted>2016-04-21T02:05:00Z</cp:lastPrinted>
  <dcterms:created xsi:type="dcterms:W3CDTF">2016-04-21T02:04:00Z</dcterms:created>
  <dcterms:modified xsi:type="dcterms:W3CDTF">2016-04-21T02:07:00Z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0x010100E7AE4C118E5E944AAE21DA935605227B</vt:lpwstr>
  </property>
  <property fmtid="{D5CDD505-2E9C-101B-9397-08002B2CF9AE}" pid="3" name="TrimRevisionNumber">
    <vt:i4>1</vt:i4>
  </property>
</Properties>
</file>