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7486" w14:textId="77777777" w:rsidR="00133A45" w:rsidRDefault="00427838" w:rsidP="00F86E06">
      <w:pPr>
        <w:spacing w:after="0"/>
        <w:sectPr w:rsidR="00133A45" w:rsidSect="00D97221">
          <w:headerReference w:type="default" r:id="rId12"/>
          <w:footerReference w:type="default" r:id="rId13"/>
          <w:footerReference w:type="first" r:id="rId14"/>
          <w:pgSz w:w="11906" w:h="16838"/>
          <w:pgMar w:top="851" w:right="991" w:bottom="1276" w:left="1440" w:header="0" w:footer="397" w:gutter="0"/>
          <w:cols w:space="708"/>
          <w:titlePg/>
          <w:docGrid w:linePitch="360"/>
        </w:sectPr>
      </w:pPr>
      <w:r w:rsidRPr="00137332">
        <w:rPr>
          <w:noProof/>
          <w:lang w:eastAsia="en-AU"/>
        </w:rPr>
        <w:drawing>
          <wp:inline distT="0" distB="0" distL="0" distR="0" wp14:anchorId="0E6746A2" wp14:editId="2B0D73DE">
            <wp:extent cx="6143625" cy="1409700"/>
            <wp:effectExtent l="0" t="0" r="9525" b="0"/>
            <wp:docPr id="1" name="Picture 1" descr="Australian Broadband Advisor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3625" cy="1409700"/>
                    </a:xfrm>
                    <a:prstGeom prst="rect">
                      <a:avLst/>
                    </a:prstGeom>
                    <a:noFill/>
                    <a:ln>
                      <a:noFill/>
                    </a:ln>
                  </pic:spPr>
                </pic:pic>
              </a:graphicData>
            </a:graphic>
          </wp:inline>
        </w:drawing>
      </w:r>
    </w:p>
    <w:p w14:paraId="62EF2387" w14:textId="77777777" w:rsidR="00772C27" w:rsidRPr="00D97221" w:rsidRDefault="006145B4" w:rsidP="00D97221">
      <w:pPr>
        <w:pStyle w:val="Heading1"/>
      </w:pPr>
      <w:bookmarkStart w:id="0" w:name="_GoBack"/>
      <w:r>
        <w:t>Creative Industry</w:t>
      </w:r>
      <w:r w:rsidR="007C2333" w:rsidRPr="007C2333">
        <w:t xml:space="preserve"> Expert Working Group </w:t>
      </w:r>
      <w:r>
        <w:t>Terms of Reference</w:t>
      </w:r>
    </w:p>
    <w:bookmarkEnd w:id="0"/>
    <w:p w14:paraId="0B32CCA3" w14:textId="77777777" w:rsidR="000342D6" w:rsidRDefault="000342D6" w:rsidP="00E65D15">
      <w:pPr>
        <w:spacing w:before="120" w:after="120"/>
        <w:rPr>
          <w:rFonts w:ascii="Calibri" w:hAnsi="Calibri" w:cs="Calibri"/>
          <w:sz w:val="22"/>
          <w:lang w:eastAsia="en-AU"/>
        </w:rPr>
      </w:pPr>
      <w:r w:rsidRPr="00CC3AD2">
        <w:rPr>
          <w:rFonts w:ascii="Calibri" w:hAnsi="Calibri" w:cs="Calibri"/>
          <w:sz w:val="22"/>
        </w:rPr>
        <w:t>The Australian Broadband Advisory Council (the Council) advises the Government on</w:t>
      </w:r>
      <w:r w:rsidRPr="00CC3AD2">
        <w:rPr>
          <w:rFonts w:ascii="Calibri" w:hAnsi="Calibri" w:cs="Calibri"/>
          <w:sz w:val="22"/>
          <w:lang w:eastAsia="en-AU"/>
        </w:rPr>
        <w:t xml:space="preserve"> how broadband infrastructure</w:t>
      </w:r>
      <w:r w:rsidR="00FD6232">
        <w:rPr>
          <w:rFonts w:ascii="Calibri" w:hAnsi="Calibri" w:cs="Calibri"/>
          <w:sz w:val="22"/>
          <w:lang w:eastAsia="en-AU"/>
        </w:rPr>
        <w:t xml:space="preserve"> </w:t>
      </w:r>
      <w:r w:rsidRPr="00CC3AD2">
        <w:rPr>
          <w:rFonts w:ascii="Calibri" w:hAnsi="Calibri" w:cs="Calibri"/>
          <w:sz w:val="22"/>
          <w:lang w:eastAsia="en-AU"/>
        </w:rPr>
        <w:t xml:space="preserve">can be leveraged to </w:t>
      </w:r>
      <w:r w:rsidR="000D2AC6">
        <w:rPr>
          <w:rFonts w:ascii="Calibri" w:hAnsi="Calibri" w:cs="Calibri"/>
          <w:sz w:val="22"/>
          <w:lang w:eastAsia="en-AU"/>
        </w:rPr>
        <w:t>accelerate economic and social benefits</w:t>
      </w:r>
      <w:r w:rsidR="0094014D">
        <w:rPr>
          <w:rFonts w:ascii="Calibri" w:hAnsi="Calibri" w:cs="Calibri"/>
          <w:sz w:val="22"/>
          <w:lang w:eastAsia="en-AU"/>
        </w:rPr>
        <w:t xml:space="preserve"> for Australia</w:t>
      </w:r>
      <w:r w:rsidR="000D2AC6">
        <w:rPr>
          <w:rFonts w:ascii="Calibri" w:hAnsi="Calibri" w:cs="Calibri"/>
          <w:sz w:val="22"/>
          <w:lang w:eastAsia="en-AU"/>
        </w:rPr>
        <w:t>.</w:t>
      </w:r>
    </w:p>
    <w:p w14:paraId="36E12D7B" w14:textId="77777777" w:rsidR="0094014D" w:rsidRDefault="000D2AC6" w:rsidP="00E65D15">
      <w:pPr>
        <w:spacing w:before="120" w:after="120"/>
        <w:rPr>
          <w:rFonts w:ascii="Calibri" w:hAnsi="Calibri" w:cs="Calibri"/>
          <w:sz w:val="22"/>
          <w:lang w:eastAsia="en-AU"/>
        </w:rPr>
      </w:pPr>
      <w:r>
        <w:rPr>
          <w:rFonts w:ascii="Calibri" w:hAnsi="Calibri" w:cs="Calibri"/>
          <w:sz w:val="22"/>
          <w:lang w:eastAsia="en-AU"/>
        </w:rPr>
        <w:t xml:space="preserve">The Council has chosen the Creative Industries as </w:t>
      </w:r>
      <w:r w:rsidR="0094014D">
        <w:rPr>
          <w:rFonts w:ascii="Calibri" w:hAnsi="Calibri" w:cs="Calibri"/>
          <w:sz w:val="22"/>
          <w:lang w:eastAsia="en-AU"/>
        </w:rPr>
        <w:t xml:space="preserve">a </w:t>
      </w:r>
      <w:r w:rsidR="006868CB">
        <w:rPr>
          <w:rFonts w:ascii="Calibri" w:hAnsi="Calibri" w:cs="Calibri"/>
          <w:sz w:val="22"/>
          <w:lang w:eastAsia="en-AU"/>
        </w:rPr>
        <w:t>sector</w:t>
      </w:r>
      <w:r>
        <w:rPr>
          <w:rFonts w:ascii="Calibri" w:hAnsi="Calibri" w:cs="Calibri"/>
          <w:sz w:val="22"/>
          <w:lang w:eastAsia="en-AU"/>
        </w:rPr>
        <w:t xml:space="preserve"> deserving of further attention. This choice was based on the</w:t>
      </w:r>
      <w:r w:rsidR="00D63241">
        <w:rPr>
          <w:rFonts w:ascii="Calibri" w:hAnsi="Calibri" w:cs="Calibri"/>
          <w:sz w:val="22"/>
          <w:lang w:eastAsia="en-AU"/>
        </w:rPr>
        <w:t xml:space="preserve"> explosive </w:t>
      </w:r>
      <w:r>
        <w:rPr>
          <w:rFonts w:ascii="Calibri" w:hAnsi="Calibri" w:cs="Calibri"/>
          <w:sz w:val="22"/>
          <w:lang w:eastAsia="en-AU"/>
        </w:rPr>
        <w:t>growth of streaming and immersive content</w:t>
      </w:r>
      <w:r w:rsidR="00F262FB">
        <w:rPr>
          <w:rFonts w:ascii="Calibri" w:hAnsi="Calibri" w:cs="Calibri"/>
          <w:sz w:val="22"/>
          <w:lang w:eastAsia="en-AU"/>
        </w:rPr>
        <w:t>,</w:t>
      </w:r>
      <w:r>
        <w:rPr>
          <w:rFonts w:ascii="Calibri" w:hAnsi="Calibri" w:cs="Calibri"/>
          <w:sz w:val="22"/>
          <w:lang w:eastAsia="en-AU"/>
        </w:rPr>
        <w:t xml:space="preserve"> and the</w:t>
      </w:r>
      <w:r w:rsidR="000B51E8">
        <w:rPr>
          <w:rFonts w:ascii="Calibri" w:hAnsi="Calibri" w:cs="Calibri"/>
          <w:sz w:val="22"/>
          <w:lang w:eastAsia="en-AU"/>
        </w:rPr>
        <w:t xml:space="preserve"> commercial potential of </w:t>
      </w:r>
      <w:r>
        <w:rPr>
          <w:rFonts w:ascii="Calibri" w:hAnsi="Calibri" w:cs="Calibri"/>
          <w:sz w:val="22"/>
          <w:lang w:eastAsia="en-AU"/>
        </w:rPr>
        <w:t>established and nascent capabilities within Australia</w:t>
      </w:r>
      <w:r w:rsidR="00D63241">
        <w:rPr>
          <w:rFonts w:ascii="Calibri" w:hAnsi="Calibri" w:cs="Calibri"/>
          <w:sz w:val="22"/>
          <w:lang w:eastAsia="en-AU"/>
        </w:rPr>
        <w:t xml:space="preserve"> to create it and participate </w:t>
      </w:r>
      <w:r w:rsidR="00FD6232">
        <w:rPr>
          <w:rFonts w:ascii="Calibri" w:hAnsi="Calibri" w:cs="Calibri"/>
          <w:sz w:val="22"/>
          <w:lang w:eastAsia="en-AU"/>
        </w:rPr>
        <w:t>i</w:t>
      </w:r>
      <w:r w:rsidR="00053B90">
        <w:rPr>
          <w:rFonts w:ascii="Calibri" w:hAnsi="Calibri" w:cs="Calibri"/>
          <w:sz w:val="22"/>
          <w:lang w:eastAsia="en-AU"/>
        </w:rPr>
        <w:t>n the global markets</w:t>
      </w:r>
      <w:r w:rsidR="00D63241">
        <w:rPr>
          <w:rFonts w:ascii="Calibri" w:hAnsi="Calibri" w:cs="Calibri"/>
          <w:sz w:val="22"/>
          <w:lang w:eastAsia="en-AU"/>
        </w:rPr>
        <w:t>.</w:t>
      </w:r>
    </w:p>
    <w:p w14:paraId="779A9E39" w14:textId="2196C3D6" w:rsidR="0094014D" w:rsidRDefault="00E65D15" w:rsidP="00E65D15">
      <w:pPr>
        <w:spacing w:before="120" w:after="120"/>
        <w:rPr>
          <w:rFonts w:ascii="Calibri" w:hAnsi="Calibri" w:cs="Calibri"/>
          <w:sz w:val="22"/>
          <w:lang w:eastAsia="en-AU"/>
        </w:rPr>
      </w:pPr>
      <w:r>
        <w:rPr>
          <w:rFonts w:ascii="Calibri" w:hAnsi="Calibri" w:cs="Calibri"/>
          <w:sz w:val="22"/>
          <w:lang w:eastAsia="en-AU"/>
        </w:rPr>
        <w:t>Success means</w:t>
      </w:r>
    </w:p>
    <w:p w14:paraId="01B4E90C" w14:textId="77777777" w:rsidR="0094014D" w:rsidRDefault="0094014D" w:rsidP="00E65D15">
      <w:pPr>
        <w:pStyle w:val="ListParagraph"/>
        <w:numPr>
          <w:ilvl w:val="0"/>
          <w:numId w:val="29"/>
        </w:numPr>
        <w:spacing w:before="120" w:after="120"/>
        <w:ind w:left="567" w:hanging="567"/>
        <w:contextualSpacing w:val="0"/>
        <w:rPr>
          <w:rFonts w:ascii="Calibri" w:hAnsi="Calibri" w:cs="Calibri"/>
          <w:sz w:val="22"/>
        </w:rPr>
      </w:pPr>
      <w:r>
        <w:rPr>
          <w:rFonts w:ascii="Calibri" w:hAnsi="Calibri" w:cs="Calibri"/>
          <w:sz w:val="22"/>
        </w:rPr>
        <w:t>A</w:t>
      </w:r>
      <w:r w:rsidR="000D2AC6">
        <w:rPr>
          <w:rFonts w:ascii="Calibri" w:hAnsi="Calibri" w:cs="Calibri"/>
          <w:sz w:val="22"/>
        </w:rPr>
        <w:t>ccelerat</w:t>
      </w:r>
      <w:r>
        <w:rPr>
          <w:rFonts w:ascii="Calibri" w:hAnsi="Calibri" w:cs="Calibri"/>
          <w:sz w:val="22"/>
        </w:rPr>
        <w:t xml:space="preserve">ing </w:t>
      </w:r>
      <w:r w:rsidR="000D2AC6">
        <w:rPr>
          <w:rFonts w:ascii="Calibri" w:hAnsi="Calibri" w:cs="Calibri"/>
          <w:sz w:val="22"/>
        </w:rPr>
        <w:t>the growth of these businesses and improv</w:t>
      </w:r>
      <w:r w:rsidR="00F262FB">
        <w:rPr>
          <w:rFonts w:ascii="Calibri" w:hAnsi="Calibri" w:cs="Calibri"/>
          <w:sz w:val="22"/>
        </w:rPr>
        <w:t>ing</w:t>
      </w:r>
      <w:r w:rsidR="000D2AC6">
        <w:rPr>
          <w:rFonts w:ascii="Calibri" w:hAnsi="Calibri" w:cs="Calibri"/>
          <w:sz w:val="22"/>
        </w:rPr>
        <w:t xml:space="preserve"> their </w:t>
      </w:r>
      <w:r w:rsidR="00D63241">
        <w:rPr>
          <w:rFonts w:ascii="Calibri" w:hAnsi="Calibri" w:cs="Calibri"/>
          <w:sz w:val="22"/>
        </w:rPr>
        <w:t xml:space="preserve">economic </w:t>
      </w:r>
      <w:r w:rsidR="000D2AC6">
        <w:rPr>
          <w:rFonts w:ascii="Calibri" w:hAnsi="Calibri" w:cs="Calibri"/>
          <w:sz w:val="22"/>
        </w:rPr>
        <w:t>market position in the global supply chain</w:t>
      </w:r>
      <w:r>
        <w:rPr>
          <w:rFonts w:ascii="Calibri" w:hAnsi="Calibri" w:cs="Calibri"/>
          <w:sz w:val="22"/>
        </w:rPr>
        <w:t>;</w:t>
      </w:r>
    </w:p>
    <w:p w14:paraId="145D1A0C" w14:textId="77777777" w:rsidR="000B51E8" w:rsidRDefault="0094014D" w:rsidP="00E65D15">
      <w:pPr>
        <w:pStyle w:val="ListParagraph"/>
        <w:numPr>
          <w:ilvl w:val="0"/>
          <w:numId w:val="29"/>
        </w:numPr>
        <w:spacing w:before="120" w:after="120"/>
        <w:ind w:left="567" w:hanging="567"/>
        <w:contextualSpacing w:val="0"/>
        <w:rPr>
          <w:rFonts w:ascii="Calibri" w:hAnsi="Calibri" w:cs="Calibri"/>
          <w:sz w:val="22"/>
        </w:rPr>
      </w:pPr>
      <w:r>
        <w:rPr>
          <w:rFonts w:ascii="Calibri" w:hAnsi="Calibri" w:cs="Calibri"/>
          <w:sz w:val="22"/>
        </w:rPr>
        <w:t>Matching</w:t>
      </w:r>
      <w:r w:rsidR="000D2AC6">
        <w:rPr>
          <w:rFonts w:ascii="Calibri" w:hAnsi="Calibri" w:cs="Calibri"/>
          <w:sz w:val="22"/>
        </w:rPr>
        <w:t xml:space="preserve"> existing broadband </w:t>
      </w:r>
      <w:r w:rsidR="00D63241">
        <w:rPr>
          <w:rFonts w:ascii="Calibri" w:hAnsi="Calibri" w:cs="Calibri"/>
          <w:sz w:val="22"/>
        </w:rPr>
        <w:t xml:space="preserve">and </w:t>
      </w:r>
      <w:r>
        <w:rPr>
          <w:rFonts w:ascii="Calibri" w:hAnsi="Calibri" w:cs="Calibri"/>
          <w:sz w:val="22"/>
        </w:rPr>
        <w:t>digital</w:t>
      </w:r>
      <w:r w:rsidR="000D2AC6">
        <w:rPr>
          <w:rFonts w:ascii="Calibri" w:hAnsi="Calibri" w:cs="Calibri"/>
          <w:sz w:val="22"/>
        </w:rPr>
        <w:t xml:space="preserve"> </w:t>
      </w:r>
      <w:r>
        <w:rPr>
          <w:rFonts w:ascii="Calibri" w:hAnsi="Calibri" w:cs="Calibri"/>
          <w:sz w:val="22"/>
        </w:rPr>
        <w:t>infrastructure and upgrades to the future needs of the industry</w:t>
      </w:r>
      <w:r w:rsidR="00F262FB">
        <w:rPr>
          <w:rFonts w:ascii="Calibri" w:hAnsi="Calibri" w:cs="Calibri"/>
          <w:sz w:val="22"/>
        </w:rPr>
        <w:t>;</w:t>
      </w:r>
      <w:r w:rsidRPr="0094014D">
        <w:rPr>
          <w:rFonts w:ascii="Calibri" w:hAnsi="Calibri" w:cs="Calibri"/>
          <w:sz w:val="22"/>
        </w:rPr>
        <w:t xml:space="preserve"> </w:t>
      </w:r>
    </w:p>
    <w:p w14:paraId="52BD0A0A" w14:textId="77777777" w:rsidR="000B51E8" w:rsidRDefault="000B51E8" w:rsidP="00E65D15">
      <w:pPr>
        <w:pStyle w:val="ListParagraph"/>
        <w:numPr>
          <w:ilvl w:val="0"/>
          <w:numId w:val="29"/>
        </w:numPr>
        <w:spacing w:before="120" w:after="120"/>
        <w:ind w:left="567" w:hanging="567"/>
        <w:contextualSpacing w:val="0"/>
        <w:rPr>
          <w:rFonts w:ascii="Calibri" w:hAnsi="Calibri" w:cs="Calibri"/>
          <w:sz w:val="22"/>
        </w:rPr>
      </w:pPr>
      <w:r>
        <w:rPr>
          <w:rFonts w:ascii="Calibri" w:hAnsi="Calibri" w:cs="Calibri"/>
          <w:sz w:val="22"/>
        </w:rPr>
        <w:t xml:space="preserve">Overcoming immediate and </w:t>
      </w:r>
      <w:r w:rsidR="0094014D" w:rsidRPr="000B51E8">
        <w:rPr>
          <w:rFonts w:ascii="Calibri" w:hAnsi="Calibri" w:cs="Calibri"/>
          <w:sz w:val="22"/>
        </w:rPr>
        <w:t>foreseeable industry skills deficits</w:t>
      </w:r>
      <w:r w:rsidR="00F262FB">
        <w:rPr>
          <w:rFonts w:ascii="Calibri" w:hAnsi="Calibri" w:cs="Calibri"/>
          <w:sz w:val="22"/>
        </w:rPr>
        <w:t>; and</w:t>
      </w:r>
      <w:r w:rsidR="0094014D" w:rsidRPr="000B51E8">
        <w:rPr>
          <w:rFonts w:ascii="Calibri" w:hAnsi="Calibri" w:cs="Calibri"/>
          <w:sz w:val="22"/>
        </w:rPr>
        <w:t xml:space="preserve"> </w:t>
      </w:r>
    </w:p>
    <w:p w14:paraId="3936FDA5" w14:textId="77777777" w:rsidR="000D2AC6" w:rsidRPr="000B51E8" w:rsidRDefault="000B51E8" w:rsidP="00E65D15">
      <w:pPr>
        <w:pStyle w:val="ListParagraph"/>
        <w:numPr>
          <w:ilvl w:val="0"/>
          <w:numId w:val="29"/>
        </w:numPr>
        <w:spacing w:before="120" w:after="120"/>
        <w:ind w:left="567" w:hanging="567"/>
        <w:contextualSpacing w:val="0"/>
        <w:rPr>
          <w:rFonts w:ascii="Calibri" w:hAnsi="Calibri" w:cs="Calibri"/>
          <w:sz w:val="22"/>
        </w:rPr>
      </w:pPr>
      <w:r>
        <w:rPr>
          <w:rFonts w:ascii="Calibri" w:hAnsi="Calibri" w:cs="Calibri"/>
          <w:sz w:val="22"/>
        </w:rPr>
        <w:t>Providing crossover training and commercialisation benefits to adjacent sectors</w:t>
      </w:r>
      <w:r w:rsidR="00F262FB">
        <w:rPr>
          <w:rFonts w:ascii="Calibri" w:hAnsi="Calibri" w:cs="Calibri"/>
          <w:sz w:val="22"/>
        </w:rPr>
        <w:t>,</w:t>
      </w:r>
      <w:r>
        <w:rPr>
          <w:rFonts w:ascii="Calibri" w:hAnsi="Calibri" w:cs="Calibri"/>
          <w:sz w:val="22"/>
        </w:rPr>
        <w:t xml:space="preserve"> notably the </w:t>
      </w:r>
      <w:r w:rsidR="00087644">
        <w:rPr>
          <w:rFonts w:ascii="Calibri" w:hAnsi="Calibri" w:cs="Calibri"/>
          <w:sz w:val="22"/>
        </w:rPr>
        <w:t>arts,</w:t>
      </w:r>
      <w:r>
        <w:rPr>
          <w:rFonts w:ascii="Calibri" w:hAnsi="Calibri" w:cs="Calibri"/>
          <w:sz w:val="22"/>
        </w:rPr>
        <w:t xml:space="preserve"> sports, entertainment and tourism </w:t>
      </w:r>
      <w:r w:rsidR="00F262FB">
        <w:rPr>
          <w:rFonts w:ascii="Calibri" w:hAnsi="Calibri" w:cs="Calibri"/>
          <w:sz w:val="22"/>
        </w:rPr>
        <w:t>sectors</w:t>
      </w:r>
      <w:r w:rsidR="00053B90">
        <w:rPr>
          <w:rFonts w:ascii="Calibri" w:hAnsi="Calibri" w:cs="Calibri"/>
          <w:sz w:val="22"/>
        </w:rPr>
        <w:t>.</w:t>
      </w:r>
    </w:p>
    <w:p w14:paraId="0DAD7EE2" w14:textId="77777777" w:rsidR="00D63241" w:rsidRDefault="000342D6" w:rsidP="00E65D15">
      <w:pPr>
        <w:spacing w:before="120" w:after="120"/>
        <w:rPr>
          <w:rFonts w:ascii="Calibri" w:hAnsi="Calibri" w:cs="Calibri"/>
          <w:sz w:val="22"/>
        </w:rPr>
      </w:pPr>
      <w:r w:rsidRPr="00CC3AD2">
        <w:rPr>
          <w:rFonts w:ascii="Calibri" w:hAnsi="Calibri" w:cs="Calibri"/>
          <w:sz w:val="22"/>
        </w:rPr>
        <w:t xml:space="preserve">The Creative Industry Expert Working Group (CIEWG) </w:t>
      </w:r>
      <w:r w:rsidR="000B51E8">
        <w:rPr>
          <w:rFonts w:ascii="Calibri" w:hAnsi="Calibri" w:cs="Calibri"/>
          <w:sz w:val="22"/>
        </w:rPr>
        <w:t>has been established in response to an Industry Roundtable</w:t>
      </w:r>
      <w:r w:rsidR="00D63241">
        <w:rPr>
          <w:rFonts w:ascii="Calibri" w:hAnsi="Calibri" w:cs="Calibri"/>
          <w:sz w:val="22"/>
        </w:rPr>
        <w:t xml:space="preserve"> which identified the following </w:t>
      </w:r>
      <w:r w:rsidR="000B51E8">
        <w:rPr>
          <w:rFonts w:ascii="Calibri" w:hAnsi="Calibri" w:cs="Calibri"/>
          <w:sz w:val="22"/>
        </w:rPr>
        <w:t>focus areas for the work of the Group</w:t>
      </w:r>
      <w:r w:rsidR="00D63241">
        <w:rPr>
          <w:rFonts w:ascii="Calibri" w:hAnsi="Calibri" w:cs="Calibri"/>
          <w:sz w:val="22"/>
        </w:rPr>
        <w:t>.</w:t>
      </w:r>
    </w:p>
    <w:p w14:paraId="078DC048" w14:textId="16BF734E" w:rsidR="00FC633E" w:rsidRPr="006174E7" w:rsidRDefault="00FC633E" w:rsidP="000342D6">
      <w:pPr>
        <w:jc w:val="center"/>
      </w:pPr>
      <w:r>
        <w:rPr>
          <w:noProof/>
          <w:lang w:eastAsia="en-AU"/>
        </w:rPr>
        <w:drawing>
          <wp:inline distT="0" distB="0" distL="0" distR="0" wp14:anchorId="49B74290" wp14:editId="5EA6683C">
            <wp:extent cx="5150115" cy="1422473"/>
            <wp:effectExtent l="0" t="0" r="0" b="6350"/>
            <wp:docPr id="2" name="Picture 2" descr="Four circles connected from left to right:&#10;&#10;Circle 1: expand IP ownership in Australia.&#10;Circle 2: talent and skill base.&#10;Circle 3: encourage crossover of creative sectors.&#10;Circle 4: invest in digital clu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0115" cy="1422473"/>
                    </a:xfrm>
                    <a:prstGeom prst="rect">
                      <a:avLst/>
                    </a:prstGeom>
                  </pic:spPr>
                </pic:pic>
              </a:graphicData>
            </a:graphic>
          </wp:inline>
        </w:drawing>
      </w:r>
    </w:p>
    <w:p w14:paraId="71BAAB8A" w14:textId="77777777" w:rsidR="000342D6" w:rsidRPr="00842BD7" w:rsidRDefault="000342D6" w:rsidP="000342D6">
      <w:pPr>
        <w:pStyle w:val="Heading2"/>
        <w:spacing w:before="0" w:after="160"/>
        <w:rPr>
          <w:b/>
        </w:rPr>
      </w:pPr>
      <w:r w:rsidRPr="00842BD7">
        <w:rPr>
          <w:b/>
        </w:rPr>
        <w:t>Priority areas of focus</w:t>
      </w:r>
    </w:p>
    <w:p w14:paraId="2153BC1B" w14:textId="77777777" w:rsidR="000342D6" w:rsidRPr="00CC3AD2" w:rsidRDefault="00054768" w:rsidP="00E65D15">
      <w:pPr>
        <w:spacing w:before="120" w:after="120"/>
        <w:rPr>
          <w:rFonts w:ascii="Calibri" w:hAnsi="Calibri" w:cs="Calibri"/>
          <w:sz w:val="22"/>
        </w:rPr>
      </w:pPr>
      <w:r>
        <w:rPr>
          <w:rFonts w:ascii="Calibri" w:hAnsi="Calibri" w:cs="Calibri"/>
          <w:sz w:val="22"/>
        </w:rPr>
        <w:t>The CIEWG will</w:t>
      </w:r>
      <w:r w:rsidR="000342D6" w:rsidRPr="00CC3AD2">
        <w:rPr>
          <w:rFonts w:ascii="Calibri" w:hAnsi="Calibri" w:cs="Calibri"/>
          <w:sz w:val="22"/>
        </w:rPr>
        <w:t xml:space="preserve"> focus on the following issues:</w:t>
      </w:r>
    </w:p>
    <w:p w14:paraId="24640BBC" w14:textId="77777777" w:rsidR="000342D6" w:rsidRPr="00CC3AD2" w:rsidRDefault="000342D6" w:rsidP="00E65D15">
      <w:pPr>
        <w:pStyle w:val="ListParagraph"/>
        <w:numPr>
          <w:ilvl w:val="0"/>
          <w:numId w:val="29"/>
        </w:numPr>
        <w:spacing w:before="120" w:after="120"/>
        <w:ind w:left="567" w:hanging="567"/>
        <w:contextualSpacing w:val="0"/>
        <w:rPr>
          <w:rFonts w:ascii="Calibri" w:hAnsi="Calibri" w:cs="Calibri"/>
          <w:sz w:val="22"/>
        </w:rPr>
      </w:pPr>
      <w:r w:rsidRPr="00CC3AD2">
        <w:rPr>
          <w:rFonts w:ascii="Calibri" w:hAnsi="Calibri" w:cs="Calibri"/>
          <w:sz w:val="22"/>
        </w:rPr>
        <w:t>adding value to the supply chain by investing in intellectual property, including through:</w:t>
      </w:r>
    </w:p>
    <w:p w14:paraId="2D23006B" w14:textId="77777777" w:rsidR="000342D6" w:rsidRPr="00CC3AD2" w:rsidRDefault="000342D6" w:rsidP="00E65D15">
      <w:pPr>
        <w:pStyle w:val="ListParagraph"/>
        <w:numPr>
          <w:ilvl w:val="1"/>
          <w:numId w:val="29"/>
        </w:numPr>
        <w:spacing w:before="120" w:after="120"/>
        <w:ind w:left="1134" w:hanging="567"/>
        <w:contextualSpacing w:val="0"/>
        <w:rPr>
          <w:rFonts w:ascii="Calibri" w:hAnsi="Calibri" w:cs="Calibri"/>
          <w:sz w:val="22"/>
        </w:rPr>
      </w:pPr>
      <w:r w:rsidRPr="00CC3AD2">
        <w:rPr>
          <w:rFonts w:ascii="Calibri" w:hAnsi="Calibri" w:cs="Calibri"/>
          <w:sz w:val="22"/>
        </w:rPr>
        <w:t>identifying sustainable ways to attract investment for growing Australia’s Creative Industry</w:t>
      </w:r>
      <w:r w:rsidR="00F262FB">
        <w:rPr>
          <w:rFonts w:ascii="Calibri" w:hAnsi="Calibri" w:cs="Calibri"/>
          <w:sz w:val="22"/>
        </w:rPr>
        <w:t>; and</w:t>
      </w:r>
    </w:p>
    <w:p w14:paraId="32D3C989" w14:textId="77777777" w:rsidR="00087644" w:rsidRDefault="000342D6" w:rsidP="00E65D15">
      <w:pPr>
        <w:pStyle w:val="ListParagraph"/>
        <w:numPr>
          <w:ilvl w:val="1"/>
          <w:numId w:val="29"/>
        </w:numPr>
        <w:spacing w:before="120" w:after="120"/>
        <w:ind w:left="1134" w:hanging="567"/>
        <w:contextualSpacing w:val="0"/>
        <w:rPr>
          <w:rFonts w:ascii="Calibri" w:hAnsi="Calibri" w:cs="Calibri"/>
          <w:sz w:val="22"/>
        </w:rPr>
      </w:pPr>
      <w:r w:rsidRPr="00CC3AD2">
        <w:rPr>
          <w:rFonts w:ascii="Calibri" w:hAnsi="Calibri" w:cs="Calibri"/>
          <w:sz w:val="22"/>
        </w:rPr>
        <w:t>identifying incentives in the supply chain to benefit IP ownership.</w:t>
      </w:r>
    </w:p>
    <w:p w14:paraId="01E75D3F" w14:textId="068E0A94" w:rsidR="000342D6" w:rsidRPr="00087644" w:rsidRDefault="000342D6" w:rsidP="00E65D15">
      <w:pPr>
        <w:pStyle w:val="ListParagraph"/>
        <w:keepNext/>
        <w:numPr>
          <w:ilvl w:val="0"/>
          <w:numId w:val="29"/>
        </w:numPr>
        <w:spacing w:before="120" w:after="120"/>
        <w:ind w:left="567" w:hanging="567"/>
        <w:contextualSpacing w:val="0"/>
        <w:rPr>
          <w:rFonts w:ascii="Calibri" w:hAnsi="Calibri" w:cs="Calibri"/>
          <w:sz w:val="22"/>
        </w:rPr>
      </w:pPr>
      <w:r w:rsidRPr="00087644">
        <w:rPr>
          <w:rFonts w:ascii="Calibri" w:hAnsi="Calibri" w:cs="Calibri"/>
          <w:sz w:val="22"/>
        </w:rPr>
        <w:lastRenderedPageBreak/>
        <w:t>addressing skills gap across</w:t>
      </w:r>
      <w:r w:rsidRPr="00087644" w:rsidDel="007E7046">
        <w:rPr>
          <w:rFonts w:ascii="Calibri" w:hAnsi="Calibri" w:cs="Calibri"/>
          <w:sz w:val="22"/>
        </w:rPr>
        <w:t xml:space="preserve"> </w:t>
      </w:r>
      <w:r w:rsidRPr="00087644">
        <w:rPr>
          <w:rFonts w:ascii="Calibri" w:hAnsi="Calibri" w:cs="Calibri"/>
          <w:sz w:val="22"/>
        </w:rPr>
        <w:t>the sector by building and attracting talent, including through:</w:t>
      </w:r>
    </w:p>
    <w:p w14:paraId="23F0F083" w14:textId="77777777" w:rsidR="000342D6" w:rsidRPr="00CC3AD2" w:rsidRDefault="000342D6" w:rsidP="00E65D15">
      <w:pPr>
        <w:pStyle w:val="ListParagraph"/>
        <w:numPr>
          <w:ilvl w:val="1"/>
          <w:numId w:val="29"/>
        </w:numPr>
        <w:spacing w:before="120" w:after="120"/>
        <w:ind w:left="1134" w:hanging="567"/>
        <w:contextualSpacing w:val="0"/>
        <w:rPr>
          <w:rFonts w:ascii="Calibri" w:hAnsi="Calibri" w:cs="Calibri"/>
          <w:sz w:val="22"/>
        </w:rPr>
      </w:pPr>
      <w:r w:rsidRPr="00CC3AD2">
        <w:rPr>
          <w:rFonts w:ascii="Calibri" w:hAnsi="Calibri" w:cs="Calibri"/>
          <w:sz w:val="22"/>
        </w:rPr>
        <w:t xml:space="preserve">exploring ways for businesses to build the skills required in the future, </w:t>
      </w:r>
      <w:r w:rsidR="000C0570">
        <w:rPr>
          <w:rFonts w:ascii="Calibri" w:hAnsi="Calibri" w:cs="Calibri"/>
          <w:sz w:val="22"/>
        </w:rPr>
        <w:t xml:space="preserve">and </w:t>
      </w:r>
      <w:r w:rsidRPr="00CC3AD2">
        <w:rPr>
          <w:rFonts w:ascii="Calibri" w:hAnsi="Calibri" w:cs="Calibri"/>
          <w:sz w:val="22"/>
        </w:rPr>
        <w:t>supporting partnerships between industry and education providers</w:t>
      </w:r>
      <w:r w:rsidR="00F262FB">
        <w:rPr>
          <w:rFonts w:ascii="Calibri" w:hAnsi="Calibri" w:cs="Calibri"/>
          <w:sz w:val="22"/>
        </w:rPr>
        <w:t>,</w:t>
      </w:r>
      <w:r w:rsidR="0088441D">
        <w:rPr>
          <w:rFonts w:ascii="Calibri" w:hAnsi="Calibri" w:cs="Calibri"/>
          <w:sz w:val="22"/>
        </w:rPr>
        <w:t xml:space="preserve"> with </w:t>
      </w:r>
      <w:r w:rsidR="00F262FB">
        <w:rPr>
          <w:rFonts w:ascii="Calibri" w:hAnsi="Calibri" w:cs="Calibri"/>
          <w:sz w:val="22"/>
        </w:rPr>
        <w:t xml:space="preserve">a </w:t>
      </w:r>
      <w:r w:rsidR="0088441D">
        <w:rPr>
          <w:rFonts w:ascii="Calibri" w:hAnsi="Calibri" w:cs="Calibri"/>
          <w:sz w:val="22"/>
        </w:rPr>
        <w:t>specific focus on creating a pool of funds to use on industry traineeships</w:t>
      </w:r>
      <w:r w:rsidR="00F262FB">
        <w:rPr>
          <w:rFonts w:ascii="Calibri" w:hAnsi="Calibri" w:cs="Calibri"/>
          <w:sz w:val="22"/>
        </w:rPr>
        <w:t>;</w:t>
      </w:r>
    </w:p>
    <w:p w14:paraId="6D479506" w14:textId="77777777" w:rsidR="00053B90" w:rsidRDefault="000342D6" w:rsidP="00E65D15">
      <w:pPr>
        <w:pStyle w:val="ListParagraph"/>
        <w:numPr>
          <w:ilvl w:val="1"/>
          <w:numId w:val="29"/>
        </w:numPr>
        <w:spacing w:before="120" w:after="120"/>
        <w:ind w:left="1134" w:hanging="567"/>
        <w:contextualSpacing w:val="0"/>
        <w:rPr>
          <w:rFonts w:ascii="Calibri" w:hAnsi="Calibri" w:cs="Calibri"/>
          <w:sz w:val="22"/>
        </w:rPr>
      </w:pPr>
      <w:r w:rsidRPr="00CC3AD2">
        <w:rPr>
          <w:rFonts w:ascii="Calibri" w:hAnsi="Calibri" w:cs="Calibri"/>
          <w:sz w:val="22"/>
        </w:rPr>
        <w:t>harnessing digital workers in regional Australia</w:t>
      </w:r>
      <w:r w:rsidR="00F262FB">
        <w:rPr>
          <w:rFonts w:ascii="Calibri" w:hAnsi="Calibri" w:cs="Calibri"/>
          <w:sz w:val="22"/>
        </w:rPr>
        <w:t>;</w:t>
      </w:r>
    </w:p>
    <w:p w14:paraId="6E2D0A4D" w14:textId="77777777" w:rsidR="000342D6" w:rsidRPr="00053B90" w:rsidRDefault="00F262FB" w:rsidP="00E65D15">
      <w:pPr>
        <w:pStyle w:val="ListParagraph"/>
        <w:numPr>
          <w:ilvl w:val="1"/>
          <w:numId w:val="29"/>
        </w:numPr>
        <w:spacing w:before="120" w:after="120"/>
        <w:ind w:left="1134" w:hanging="567"/>
        <w:contextualSpacing w:val="0"/>
        <w:rPr>
          <w:rFonts w:ascii="Calibri" w:hAnsi="Calibri" w:cs="Calibri"/>
          <w:sz w:val="22"/>
        </w:rPr>
      </w:pPr>
      <w:r w:rsidRPr="00053B90">
        <w:rPr>
          <w:rFonts w:ascii="Calibri" w:hAnsi="Calibri" w:cs="Calibri"/>
          <w:sz w:val="22"/>
        </w:rPr>
        <w:t>facilitating</w:t>
      </w:r>
      <w:r w:rsidR="0088441D" w:rsidRPr="00053B90">
        <w:rPr>
          <w:rFonts w:ascii="Calibri" w:hAnsi="Calibri" w:cs="Calibri"/>
          <w:sz w:val="22"/>
        </w:rPr>
        <w:t xml:space="preserve"> the immigration of highly skilled workers</w:t>
      </w:r>
      <w:r w:rsidRPr="00053B90">
        <w:rPr>
          <w:rFonts w:ascii="Calibri" w:hAnsi="Calibri" w:cs="Calibri"/>
          <w:sz w:val="22"/>
        </w:rPr>
        <w:t>; and</w:t>
      </w:r>
    </w:p>
    <w:p w14:paraId="50F12761" w14:textId="77777777" w:rsidR="000342D6" w:rsidRPr="00CC3AD2" w:rsidRDefault="000342D6" w:rsidP="00E65D15">
      <w:pPr>
        <w:pStyle w:val="ListParagraph"/>
        <w:numPr>
          <w:ilvl w:val="1"/>
          <w:numId w:val="29"/>
        </w:numPr>
        <w:spacing w:before="120" w:after="120"/>
        <w:ind w:left="1134" w:hanging="567"/>
        <w:contextualSpacing w:val="0"/>
        <w:rPr>
          <w:rFonts w:ascii="Calibri" w:hAnsi="Calibri" w:cs="Calibri"/>
          <w:sz w:val="22"/>
        </w:rPr>
      </w:pPr>
      <w:r w:rsidRPr="00CC3AD2">
        <w:rPr>
          <w:rFonts w:ascii="Calibri" w:hAnsi="Calibri" w:cs="Calibri"/>
          <w:sz w:val="22"/>
        </w:rPr>
        <w:t>considering how to better institutionalise the fusion of STEAM (Science, Technology, Engineering, the Arts and Maths) into academic structures.</w:t>
      </w:r>
    </w:p>
    <w:p w14:paraId="4E80945F" w14:textId="77777777" w:rsidR="000342D6" w:rsidRPr="00CC3AD2" w:rsidRDefault="000342D6" w:rsidP="00E65D15">
      <w:pPr>
        <w:pStyle w:val="ListParagraph"/>
        <w:numPr>
          <w:ilvl w:val="0"/>
          <w:numId w:val="29"/>
        </w:numPr>
        <w:spacing w:before="120" w:after="120"/>
        <w:ind w:left="567" w:hanging="567"/>
        <w:contextualSpacing w:val="0"/>
        <w:rPr>
          <w:rFonts w:ascii="Calibri" w:hAnsi="Calibri" w:cs="Calibri"/>
          <w:sz w:val="22"/>
        </w:rPr>
      </w:pPr>
      <w:r w:rsidRPr="00CC3AD2">
        <w:rPr>
          <w:rFonts w:ascii="Calibri" w:hAnsi="Calibri" w:cs="Calibri"/>
          <w:sz w:val="22"/>
        </w:rPr>
        <w:t>increasing the interaction of the Creative Industry with other sectors, including through:</w:t>
      </w:r>
    </w:p>
    <w:p w14:paraId="35C8DC13" w14:textId="77777777" w:rsidR="000342D6" w:rsidRPr="00CC3AD2" w:rsidRDefault="000342D6" w:rsidP="00E65D15">
      <w:pPr>
        <w:pStyle w:val="ListParagraph"/>
        <w:numPr>
          <w:ilvl w:val="1"/>
          <w:numId w:val="29"/>
        </w:numPr>
        <w:spacing w:before="120" w:after="120"/>
        <w:ind w:left="1134" w:hanging="567"/>
        <w:contextualSpacing w:val="0"/>
        <w:rPr>
          <w:rFonts w:ascii="Calibri" w:hAnsi="Calibri" w:cs="Calibri"/>
          <w:sz w:val="22"/>
        </w:rPr>
      </w:pPr>
      <w:r w:rsidRPr="00CC3AD2">
        <w:rPr>
          <w:rFonts w:ascii="Calibri" w:hAnsi="Calibri" w:cs="Calibri"/>
          <w:sz w:val="22"/>
        </w:rPr>
        <w:t>identifying initiatives to facilitate crossover programs</w:t>
      </w:r>
      <w:r w:rsidR="00F262FB">
        <w:rPr>
          <w:rFonts w:ascii="Calibri" w:hAnsi="Calibri" w:cs="Calibri"/>
          <w:sz w:val="22"/>
        </w:rPr>
        <w:t>; and</w:t>
      </w:r>
      <w:r w:rsidRPr="00CC3AD2">
        <w:rPr>
          <w:rFonts w:ascii="Calibri" w:hAnsi="Calibri" w:cs="Calibri"/>
          <w:sz w:val="22"/>
        </w:rPr>
        <w:t xml:space="preserve"> </w:t>
      </w:r>
    </w:p>
    <w:p w14:paraId="75AF9D64" w14:textId="77777777" w:rsidR="000342D6" w:rsidRPr="00CC3AD2" w:rsidRDefault="000342D6" w:rsidP="00E65D15">
      <w:pPr>
        <w:pStyle w:val="ListParagraph"/>
        <w:numPr>
          <w:ilvl w:val="1"/>
          <w:numId w:val="29"/>
        </w:numPr>
        <w:spacing w:before="120" w:after="120"/>
        <w:ind w:left="1134" w:hanging="567"/>
        <w:contextualSpacing w:val="0"/>
        <w:rPr>
          <w:rFonts w:ascii="Calibri" w:hAnsi="Calibri" w:cs="Calibri"/>
          <w:sz w:val="22"/>
        </w:rPr>
      </w:pPr>
      <w:r w:rsidRPr="00CC3AD2">
        <w:rPr>
          <w:rFonts w:ascii="Calibri" w:hAnsi="Calibri" w:cs="Calibri"/>
          <w:sz w:val="22"/>
        </w:rPr>
        <w:t xml:space="preserve">exploring how successful crossover projects can add value to the economy. </w:t>
      </w:r>
    </w:p>
    <w:p w14:paraId="6D35F305" w14:textId="77777777" w:rsidR="000342D6" w:rsidRPr="00CC3AD2" w:rsidRDefault="000342D6" w:rsidP="00E65D15">
      <w:pPr>
        <w:pStyle w:val="ListParagraph"/>
        <w:numPr>
          <w:ilvl w:val="0"/>
          <w:numId w:val="29"/>
        </w:numPr>
        <w:spacing w:before="120" w:after="120"/>
        <w:ind w:left="567" w:hanging="567"/>
        <w:contextualSpacing w:val="0"/>
        <w:rPr>
          <w:rFonts w:ascii="Calibri" w:hAnsi="Calibri" w:cs="Calibri"/>
          <w:sz w:val="22"/>
        </w:rPr>
      </w:pPr>
      <w:r w:rsidRPr="00CC3AD2">
        <w:rPr>
          <w:rFonts w:ascii="Calibri" w:hAnsi="Calibri" w:cs="Calibri"/>
          <w:sz w:val="22"/>
        </w:rPr>
        <w:t>using digital clusters to access a broader workforce and new ideas, including through:</w:t>
      </w:r>
    </w:p>
    <w:p w14:paraId="49B90405" w14:textId="77777777" w:rsidR="000342D6" w:rsidRPr="00CC3AD2" w:rsidRDefault="000342D6" w:rsidP="00E65D15">
      <w:pPr>
        <w:pStyle w:val="ListParagraph"/>
        <w:numPr>
          <w:ilvl w:val="1"/>
          <w:numId w:val="29"/>
        </w:numPr>
        <w:spacing w:before="120" w:after="120"/>
        <w:ind w:left="1134" w:hanging="567"/>
        <w:contextualSpacing w:val="0"/>
        <w:rPr>
          <w:rFonts w:ascii="Calibri" w:hAnsi="Calibri" w:cs="Calibri"/>
          <w:sz w:val="22"/>
        </w:rPr>
      </w:pPr>
      <w:r w:rsidRPr="00CC3AD2">
        <w:rPr>
          <w:rFonts w:ascii="Calibri" w:hAnsi="Calibri" w:cs="Calibri"/>
          <w:sz w:val="22"/>
        </w:rPr>
        <w:t>identifying and supporting digital clusters to focus priority top-down support in line with growth objectives</w:t>
      </w:r>
      <w:r w:rsidR="00F262FB">
        <w:rPr>
          <w:rFonts w:ascii="Calibri" w:hAnsi="Calibri" w:cs="Calibri"/>
          <w:sz w:val="22"/>
        </w:rPr>
        <w:t>; and</w:t>
      </w:r>
    </w:p>
    <w:p w14:paraId="59DC21BC" w14:textId="77777777" w:rsidR="000342D6" w:rsidRPr="00CC3AD2" w:rsidRDefault="000342D6" w:rsidP="00E65D15">
      <w:pPr>
        <w:pStyle w:val="ListParagraph"/>
        <w:numPr>
          <w:ilvl w:val="1"/>
          <w:numId w:val="29"/>
        </w:numPr>
        <w:spacing w:before="120" w:after="120"/>
        <w:ind w:left="1134" w:hanging="567"/>
        <w:contextualSpacing w:val="0"/>
        <w:rPr>
          <w:rFonts w:ascii="Calibri" w:hAnsi="Calibri" w:cs="Calibri"/>
          <w:sz w:val="22"/>
        </w:rPr>
      </w:pPr>
      <w:r w:rsidRPr="00CC3AD2">
        <w:rPr>
          <w:rFonts w:ascii="Calibri" w:hAnsi="Calibri" w:cs="Calibri"/>
          <w:sz w:val="22"/>
        </w:rPr>
        <w:t xml:space="preserve">identifying ways that state and territories can support </w:t>
      </w:r>
      <w:r w:rsidRPr="00CC3AD2">
        <w:rPr>
          <w:rFonts w:ascii="Calibri" w:hAnsi="Calibri" w:cs="Calibri"/>
          <w:color w:val="000000"/>
          <w:sz w:val="22"/>
        </w:rPr>
        <w:t>their digital targets by adopting agreed elements of successful cluster initiatives around Australia to date</w:t>
      </w:r>
      <w:r w:rsidRPr="00CC3AD2">
        <w:rPr>
          <w:rFonts w:ascii="Calibri" w:hAnsi="Calibri" w:cs="Calibri"/>
          <w:sz w:val="22"/>
        </w:rPr>
        <w:t>.</w:t>
      </w:r>
    </w:p>
    <w:p w14:paraId="6D07150B" w14:textId="77777777" w:rsidR="00D63241" w:rsidRPr="009A7229" w:rsidRDefault="00D63241" w:rsidP="009A7229">
      <w:pPr>
        <w:pStyle w:val="Heading2"/>
        <w:spacing w:before="0" w:after="160"/>
        <w:rPr>
          <w:b/>
        </w:rPr>
      </w:pPr>
      <w:r w:rsidRPr="009A7229">
        <w:rPr>
          <w:b/>
        </w:rPr>
        <w:t>Immediate Priorities</w:t>
      </w:r>
    </w:p>
    <w:p w14:paraId="43BF287A" w14:textId="77777777" w:rsidR="00DE47FC" w:rsidRDefault="00271334" w:rsidP="00E65D15">
      <w:pPr>
        <w:spacing w:before="120" w:after="120"/>
        <w:rPr>
          <w:rFonts w:ascii="Calibri" w:hAnsi="Calibri" w:cs="Calibri"/>
          <w:sz w:val="22"/>
        </w:rPr>
      </w:pPr>
      <w:r>
        <w:rPr>
          <w:rFonts w:ascii="Calibri" w:hAnsi="Calibri" w:cs="Calibri"/>
          <w:sz w:val="22"/>
        </w:rPr>
        <w:t xml:space="preserve">The Roundtable identified the importance of </w:t>
      </w:r>
      <w:r w:rsidR="00DE47FC">
        <w:rPr>
          <w:rFonts w:ascii="Calibri" w:hAnsi="Calibri" w:cs="Calibri"/>
          <w:sz w:val="22"/>
        </w:rPr>
        <w:t xml:space="preserve">the early establishment of </w:t>
      </w:r>
      <w:r>
        <w:rPr>
          <w:rFonts w:ascii="Calibri" w:hAnsi="Calibri" w:cs="Calibri"/>
          <w:sz w:val="22"/>
        </w:rPr>
        <w:t xml:space="preserve">Lighthouse Projects </w:t>
      </w:r>
      <w:r w:rsidR="00DE47FC">
        <w:rPr>
          <w:rFonts w:ascii="Calibri" w:hAnsi="Calibri" w:cs="Calibri"/>
          <w:sz w:val="22"/>
        </w:rPr>
        <w:t xml:space="preserve">as </w:t>
      </w:r>
      <w:r>
        <w:rPr>
          <w:rFonts w:ascii="Calibri" w:hAnsi="Calibri" w:cs="Calibri"/>
          <w:sz w:val="22"/>
        </w:rPr>
        <w:t xml:space="preserve">a </w:t>
      </w:r>
      <w:r w:rsidR="00F262FB">
        <w:rPr>
          <w:rFonts w:ascii="Calibri" w:hAnsi="Calibri" w:cs="Calibri"/>
          <w:sz w:val="22"/>
        </w:rPr>
        <w:t>p</w:t>
      </w:r>
      <w:r w:rsidR="000C0570">
        <w:rPr>
          <w:rFonts w:ascii="Calibri" w:hAnsi="Calibri" w:cs="Calibri"/>
          <w:sz w:val="22"/>
        </w:rPr>
        <w:t>roof</w:t>
      </w:r>
      <w:r>
        <w:rPr>
          <w:rFonts w:ascii="Calibri" w:hAnsi="Calibri" w:cs="Calibri"/>
          <w:sz w:val="22"/>
        </w:rPr>
        <w:t xml:space="preserve"> of </w:t>
      </w:r>
      <w:r w:rsidR="00F262FB">
        <w:rPr>
          <w:rFonts w:ascii="Calibri" w:hAnsi="Calibri" w:cs="Calibri"/>
          <w:sz w:val="22"/>
        </w:rPr>
        <w:t>c</w:t>
      </w:r>
      <w:r>
        <w:rPr>
          <w:rFonts w:ascii="Calibri" w:hAnsi="Calibri" w:cs="Calibri"/>
          <w:sz w:val="22"/>
        </w:rPr>
        <w:t xml:space="preserve">oncept that can be replicated </w:t>
      </w:r>
      <w:r w:rsidR="00DE47FC">
        <w:rPr>
          <w:rFonts w:ascii="Calibri" w:hAnsi="Calibri" w:cs="Calibri"/>
          <w:sz w:val="22"/>
        </w:rPr>
        <w:t>and scaled up</w:t>
      </w:r>
      <w:r>
        <w:rPr>
          <w:rFonts w:ascii="Calibri" w:hAnsi="Calibri" w:cs="Calibri"/>
          <w:sz w:val="22"/>
        </w:rPr>
        <w:t>.</w:t>
      </w:r>
    </w:p>
    <w:p w14:paraId="1780B64D" w14:textId="77777777" w:rsidR="00D63241" w:rsidRDefault="00DE47FC" w:rsidP="00E65D15">
      <w:pPr>
        <w:spacing w:before="120" w:after="120"/>
        <w:rPr>
          <w:rFonts w:ascii="Calibri" w:hAnsi="Calibri" w:cs="Calibri"/>
          <w:sz w:val="22"/>
        </w:rPr>
      </w:pPr>
      <w:r>
        <w:rPr>
          <w:rFonts w:ascii="Calibri" w:hAnsi="Calibri" w:cs="Calibri"/>
          <w:sz w:val="22"/>
        </w:rPr>
        <w:t xml:space="preserve">The CIEWG is tasked with </w:t>
      </w:r>
      <w:r w:rsidR="00887C77">
        <w:rPr>
          <w:rFonts w:ascii="Calibri" w:hAnsi="Calibri" w:cs="Calibri"/>
          <w:sz w:val="22"/>
        </w:rPr>
        <w:t>supporting potential</w:t>
      </w:r>
      <w:r>
        <w:rPr>
          <w:rFonts w:ascii="Calibri" w:hAnsi="Calibri" w:cs="Calibri"/>
          <w:sz w:val="22"/>
        </w:rPr>
        <w:t xml:space="preserve"> partnership agreements in the following areas</w:t>
      </w:r>
      <w:r w:rsidR="00887C77">
        <w:rPr>
          <w:rFonts w:ascii="Calibri" w:hAnsi="Calibri" w:cs="Calibri"/>
          <w:sz w:val="22"/>
        </w:rPr>
        <w:t xml:space="preserve"> deemed to be of high </w:t>
      </w:r>
      <w:r w:rsidR="000C0570">
        <w:rPr>
          <w:rFonts w:ascii="Calibri" w:hAnsi="Calibri" w:cs="Calibri"/>
          <w:sz w:val="22"/>
        </w:rPr>
        <w:t>potential for commercialisation</w:t>
      </w:r>
      <w:r>
        <w:rPr>
          <w:rFonts w:ascii="Calibri" w:hAnsi="Calibri" w:cs="Calibri"/>
          <w:sz w:val="22"/>
        </w:rPr>
        <w:t>:</w:t>
      </w:r>
    </w:p>
    <w:p w14:paraId="3FDE639E" w14:textId="77777777" w:rsidR="00887C77" w:rsidRDefault="00F262FB" w:rsidP="00E65D15">
      <w:pPr>
        <w:pStyle w:val="ListParagraph"/>
        <w:numPr>
          <w:ilvl w:val="0"/>
          <w:numId w:val="29"/>
        </w:numPr>
        <w:spacing w:before="120" w:after="120"/>
        <w:ind w:left="567" w:hanging="567"/>
        <w:contextualSpacing w:val="0"/>
        <w:rPr>
          <w:rFonts w:ascii="Calibri" w:hAnsi="Calibri" w:cs="Calibri"/>
          <w:sz w:val="22"/>
        </w:rPr>
      </w:pPr>
      <w:r>
        <w:rPr>
          <w:rFonts w:ascii="Calibri" w:hAnsi="Calibri" w:cs="Calibri"/>
          <w:sz w:val="22"/>
        </w:rPr>
        <w:t>d</w:t>
      </w:r>
      <w:r w:rsidR="00DE47FC">
        <w:rPr>
          <w:rFonts w:ascii="Calibri" w:hAnsi="Calibri" w:cs="Calibri"/>
          <w:sz w:val="22"/>
        </w:rPr>
        <w:t xml:space="preserve">igital </w:t>
      </w:r>
      <w:r>
        <w:rPr>
          <w:rFonts w:ascii="Calibri" w:hAnsi="Calibri" w:cs="Calibri"/>
          <w:sz w:val="22"/>
        </w:rPr>
        <w:t>p</w:t>
      </w:r>
      <w:r w:rsidR="00DE47FC">
        <w:rPr>
          <w:rFonts w:ascii="Calibri" w:hAnsi="Calibri" w:cs="Calibri"/>
          <w:sz w:val="22"/>
        </w:rPr>
        <w:t>roduction</w:t>
      </w:r>
      <w:r w:rsidR="00887C77">
        <w:rPr>
          <w:rFonts w:ascii="Calibri" w:hAnsi="Calibri" w:cs="Calibri"/>
          <w:sz w:val="22"/>
        </w:rPr>
        <w:t xml:space="preserve"> </w:t>
      </w:r>
      <w:r>
        <w:rPr>
          <w:rFonts w:ascii="Calibri" w:hAnsi="Calibri" w:cs="Calibri"/>
          <w:sz w:val="22"/>
        </w:rPr>
        <w:t>p</w:t>
      </w:r>
      <w:r w:rsidR="00887C77">
        <w:rPr>
          <w:rFonts w:ascii="Calibri" w:hAnsi="Calibri" w:cs="Calibri"/>
          <w:sz w:val="22"/>
        </w:rPr>
        <w:t xml:space="preserve">latforms for </w:t>
      </w:r>
      <w:r>
        <w:rPr>
          <w:rFonts w:ascii="Calibri" w:hAnsi="Calibri" w:cs="Calibri"/>
          <w:sz w:val="22"/>
        </w:rPr>
        <w:t>l</w:t>
      </w:r>
      <w:r w:rsidR="00887C77">
        <w:rPr>
          <w:rFonts w:ascii="Calibri" w:hAnsi="Calibri" w:cs="Calibri"/>
          <w:sz w:val="22"/>
        </w:rPr>
        <w:t xml:space="preserve">ive </w:t>
      </w:r>
      <w:r>
        <w:rPr>
          <w:rFonts w:ascii="Calibri" w:hAnsi="Calibri" w:cs="Calibri"/>
          <w:sz w:val="22"/>
        </w:rPr>
        <w:t>p</w:t>
      </w:r>
      <w:r w:rsidR="00887C77">
        <w:rPr>
          <w:rFonts w:ascii="Calibri" w:hAnsi="Calibri" w:cs="Calibri"/>
          <w:sz w:val="22"/>
        </w:rPr>
        <w:t>erformances</w:t>
      </w:r>
      <w:r w:rsidR="00DE47FC">
        <w:rPr>
          <w:rFonts w:ascii="Calibri" w:hAnsi="Calibri" w:cs="Calibri"/>
          <w:sz w:val="22"/>
        </w:rPr>
        <w:t xml:space="preserve"> (software and physical facilities)</w:t>
      </w:r>
      <w:r>
        <w:rPr>
          <w:rFonts w:ascii="Calibri" w:hAnsi="Calibri" w:cs="Calibri"/>
          <w:sz w:val="22"/>
        </w:rPr>
        <w:t>;</w:t>
      </w:r>
    </w:p>
    <w:p w14:paraId="51A06E5A" w14:textId="77777777" w:rsidR="00887C77" w:rsidRDefault="00F262FB" w:rsidP="00E65D15">
      <w:pPr>
        <w:pStyle w:val="ListParagraph"/>
        <w:numPr>
          <w:ilvl w:val="0"/>
          <w:numId w:val="29"/>
        </w:numPr>
        <w:spacing w:before="120" w:after="120"/>
        <w:ind w:left="567" w:hanging="567"/>
        <w:contextualSpacing w:val="0"/>
        <w:rPr>
          <w:rFonts w:ascii="Calibri" w:hAnsi="Calibri" w:cs="Calibri"/>
          <w:sz w:val="22"/>
        </w:rPr>
      </w:pPr>
      <w:r>
        <w:rPr>
          <w:rFonts w:ascii="Calibri" w:hAnsi="Calibri" w:cs="Calibri"/>
          <w:sz w:val="22"/>
        </w:rPr>
        <w:t>d</w:t>
      </w:r>
      <w:r w:rsidR="00887C77">
        <w:rPr>
          <w:rFonts w:ascii="Calibri" w:hAnsi="Calibri" w:cs="Calibri"/>
          <w:sz w:val="22"/>
        </w:rPr>
        <w:t xml:space="preserve">evelopment hub for the use of </w:t>
      </w:r>
      <w:r>
        <w:rPr>
          <w:rFonts w:ascii="Calibri" w:hAnsi="Calibri" w:cs="Calibri"/>
          <w:sz w:val="22"/>
        </w:rPr>
        <w:t>a</w:t>
      </w:r>
      <w:r w:rsidR="00887C77">
        <w:rPr>
          <w:rFonts w:ascii="Calibri" w:hAnsi="Calibri" w:cs="Calibri"/>
          <w:sz w:val="22"/>
        </w:rPr>
        <w:t>ugment</w:t>
      </w:r>
      <w:r w:rsidR="00660B24">
        <w:rPr>
          <w:rFonts w:ascii="Calibri" w:hAnsi="Calibri" w:cs="Calibri"/>
          <w:sz w:val="22"/>
        </w:rPr>
        <w:t>ed</w:t>
      </w:r>
      <w:r w:rsidR="00887C77">
        <w:rPr>
          <w:rFonts w:ascii="Calibri" w:hAnsi="Calibri" w:cs="Calibri"/>
          <w:sz w:val="22"/>
        </w:rPr>
        <w:t xml:space="preserve"> </w:t>
      </w:r>
      <w:r>
        <w:rPr>
          <w:rFonts w:ascii="Calibri" w:hAnsi="Calibri" w:cs="Calibri"/>
          <w:sz w:val="22"/>
        </w:rPr>
        <w:t>r</w:t>
      </w:r>
      <w:r w:rsidR="00887C77">
        <w:rPr>
          <w:rFonts w:ascii="Calibri" w:hAnsi="Calibri" w:cs="Calibri"/>
          <w:sz w:val="22"/>
        </w:rPr>
        <w:t xml:space="preserve">eality in </w:t>
      </w:r>
      <w:r>
        <w:rPr>
          <w:rFonts w:ascii="Calibri" w:hAnsi="Calibri" w:cs="Calibri"/>
          <w:sz w:val="22"/>
        </w:rPr>
        <w:t>s</w:t>
      </w:r>
      <w:r w:rsidR="00887C77">
        <w:rPr>
          <w:rFonts w:ascii="Calibri" w:hAnsi="Calibri" w:cs="Calibri"/>
          <w:sz w:val="22"/>
        </w:rPr>
        <w:t xml:space="preserve">port and </w:t>
      </w:r>
      <w:r>
        <w:rPr>
          <w:rFonts w:ascii="Calibri" w:hAnsi="Calibri" w:cs="Calibri"/>
          <w:sz w:val="22"/>
        </w:rPr>
        <w:t>t</w:t>
      </w:r>
      <w:r w:rsidR="00887C77">
        <w:rPr>
          <w:rFonts w:ascii="Calibri" w:hAnsi="Calibri" w:cs="Calibri"/>
          <w:sz w:val="22"/>
        </w:rPr>
        <w:t>ourism</w:t>
      </w:r>
      <w:r>
        <w:rPr>
          <w:rFonts w:ascii="Calibri" w:hAnsi="Calibri" w:cs="Calibri"/>
          <w:sz w:val="22"/>
        </w:rPr>
        <w:t>;</w:t>
      </w:r>
      <w:r w:rsidR="00887C77">
        <w:rPr>
          <w:rFonts w:ascii="Calibri" w:hAnsi="Calibri" w:cs="Calibri"/>
          <w:sz w:val="22"/>
        </w:rPr>
        <w:t xml:space="preserve"> </w:t>
      </w:r>
      <w:r w:rsidR="00053B90">
        <w:rPr>
          <w:rFonts w:ascii="Calibri" w:hAnsi="Calibri" w:cs="Calibri"/>
          <w:sz w:val="22"/>
        </w:rPr>
        <w:t>and</w:t>
      </w:r>
    </w:p>
    <w:p w14:paraId="12B65741" w14:textId="77777777" w:rsidR="00887C77" w:rsidRDefault="00053B90" w:rsidP="00E65D15">
      <w:pPr>
        <w:pStyle w:val="ListParagraph"/>
        <w:numPr>
          <w:ilvl w:val="0"/>
          <w:numId w:val="29"/>
        </w:numPr>
        <w:spacing w:before="120" w:after="120"/>
        <w:ind w:left="567" w:hanging="567"/>
        <w:contextualSpacing w:val="0"/>
        <w:rPr>
          <w:rFonts w:ascii="Calibri" w:hAnsi="Calibri" w:cs="Calibri"/>
          <w:sz w:val="22"/>
        </w:rPr>
      </w:pPr>
      <w:r>
        <w:rPr>
          <w:rFonts w:ascii="Calibri" w:hAnsi="Calibri" w:cs="Calibri"/>
          <w:sz w:val="22"/>
        </w:rPr>
        <w:t>u</w:t>
      </w:r>
      <w:r w:rsidR="00887C77">
        <w:rPr>
          <w:rFonts w:ascii="Calibri" w:hAnsi="Calibri" w:cs="Calibri"/>
          <w:sz w:val="22"/>
        </w:rPr>
        <w:t>pgrad</w:t>
      </w:r>
      <w:r w:rsidR="000C0570">
        <w:rPr>
          <w:rFonts w:ascii="Calibri" w:hAnsi="Calibri" w:cs="Calibri"/>
          <w:sz w:val="22"/>
        </w:rPr>
        <w:t>ed interactive platforms for in-</w:t>
      </w:r>
      <w:r w:rsidR="00887C77">
        <w:rPr>
          <w:rFonts w:ascii="Calibri" w:hAnsi="Calibri" w:cs="Calibri"/>
          <w:sz w:val="22"/>
        </w:rPr>
        <w:t>studio content creation</w:t>
      </w:r>
      <w:r>
        <w:rPr>
          <w:rFonts w:ascii="Calibri" w:hAnsi="Calibri" w:cs="Calibri"/>
          <w:sz w:val="22"/>
        </w:rPr>
        <w:t>.</w:t>
      </w:r>
    </w:p>
    <w:p w14:paraId="783E02F2" w14:textId="77777777" w:rsidR="00887C77" w:rsidRDefault="00887C77" w:rsidP="00E65D15">
      <w:pPr>
        <w:pStyle w:val="ListParagraph"/>
        <w:numPr>
          <w:ilvl w:val="0"/>
          <w:numId w:val="0"/>
        </w:numPr>
        <w:spacing w:before="120" w:after="120"/>
        <w:contextualSpacing w:val="0"/>
        <w:rPr>
          <w:rFonts w:ascii="Calibri" w:hAnsi="Calibri" w:cs="Calibri"/>
          <w:sz w:val="22"/>
        </w:rPr>
      </w:pPr>
      <w:r>
        <w:rPr>
          <w:rFonts w:ascii="Calibri" w:hAnsi="Calibri" w:cs="Calibri"/>
          <w:sz w:val="22"/>
        </w:rPr>
        <w:t xml:space="preserve">The key enablement areas </w:t>
      </w:r>
      <w:r w:rsidR="00F51108">
        <w:rPr>
          <w:rFonts w:ascii="Calibri" w:hAnsi="Calibri" w:cs="Calibri"/>
          <w:sz w:val="22"/>
        </w:rPr>
        <w:t>for</w:t>
      </w:r>
      <w:r>
        <w:rPr>
          <w:rFonts w:ascii="Calibri" w:hAnsi="Calibri" w:cs="Calibri"/>
          <w:sz w:val="22"/>
        </w:rPr>
        <w:t xml:space="preserve"> any </w:t>
      </w:r>
      <w:r w:rsidR="004060CD">
        <w:rPr>
          <w:rFonts w:ascii="Calibri" w:hAnsi="Calibri" w:cs="Calibri"/>
          <w:sz w:val="22"/>
        </w:rPr>
        <w:t xml:space="preserve">commercial </w:t>
      </w:r>
      <w:r>
        <w:rPr>
          <w:rFonts w:ascii="Calibri" w:hAnsi="Calibri" w:cs="Calibri"/>
          <w:sz w:val="22"/>
        </w:rPr>
        <w:t>partnerships would includ</w:t>
      </w:r>
      <w:r w:rsidR="004060CD">
        <w:rPr>
          <w:rFonts w:ascii="Calibri" w:hAnsi="Calibri" w:cs="Calibri"/>
          <w:sz w:val="22"/>
        </w:rPr>
        <w:t>e</w:t>
      </w:r>
      <w:r>
        <w:rPr>
          <w:rFonts w:ascii="Calibri" w:hAnsi="Calibri" w:cs="Calibri"/>
          <w:sz w:val="22"/>
        </w:rPr>
        <w:t xml:space="preserve"> </w:t>
      </w:r>
      <w:r w:rsidR="0088441D">
        <w:rPr>
          <w:rFonts w:ascii="Calibri" w:hAnsi="Calibri" w:cs="Calibri"/>
          <w:sz w:val="22"/>
        </w:rPr>
        <w:t>as a priority:</w:t>
      </w:r>
    </w:p>
    <w:p w14:paraId="7E03EFCD" w14:textId="77777777" w:rsidR="00887C77" w:rsidRDefault="00053B90" w:rsidP="00E65D15">
      <w:pPr>
        <w:pStyle w:val="ListParagraph"/>
        <w:numPr>
          <w:ilvl w:val="0"/>
          <w:numId w:val="29"/>
        </w:numPr>
        <w:spacing w:before="120" w:after="120"/>
        <w:ind w:left="567" w:hanging="567"/>
        <w:contextualSpacing w:val="0"/>
        <w:rPr>
          <w:rFonts w:ascii="Calibri" w:hAnsi="Calibri" w:cs="Calibri"/>
          <w:sz w:val="22"/>
        </w:rPr>
      </w:pPr>
      <w:r>
        <w:rPr>
          <w:rFonts w:ascii="Calibri" w:hAnsi="Calibri" w:cs="Calibri"/>
          <w:sz w:val="22"/>
        </w:rPr>
        <w:t>s</w:t>
      </w:r>
      <w:r w:rsidR="00887C77">
        <w:rPr>
          <w:rFonts w:ascii="Calibri" w:hAnsi="Calibri" w:cs="Calibri"/>
          <w:sz w:val="22"/>
        </w:rPr>
        <w:t>kills</w:t>
      </w:r>
      <w:r w:rsidR="00D53A2F">
        <w:rPr>
          <w:rFonts w:ascii="Calibri" w:hAnsi="Calibri" w:cs="Calibri"/>
          <w:sz w:val="22"/>
        </w:rPr>
        <w:t xml:space="preserve"> </w:t>
      </w:r>
      <w:r w:rsidR="004060CD">
        <w:rPr>
          <w:rFonts w:ascii="Calibri" w:hAnsi="Calibri" w:cs="Calibri"/>
          <w:sz w:val="22"/>
        </w:rPr>
        <w:t>improv</w:t>
      </w:r>
      <w:r w:rsidR="00D53A2F">
        <w:rPr>
          <w:rFonts w:ascii="Calibri" w:hAnsi="Calibri" w:cs="Calibri"/>
          <w:sz w:val="22"/>
        </w:rPr>
        <w:t>e</w:t>
      </w:r>
      <w:r w:rsidR="004060CD">
        <w:rPr>
          <w:rFonts w:ascii="Calibri" w:hAnsi="Calibri" w:cs="Calibri"/>
          <w:sz w:val="22"/>
        </w:rPr>
        <w:t>ment</w:t>
      </w:r>
      <w:r>
        <w:rPr>
          <w:rFonts w:ascii="Calibri" w:hAnsi="Calibri" w:cs="Calibri"/>
          <w:sz w:val="22"/>
        </w:rPr>
        <w:t>,</w:t>
      </w:r>
      <w:r w:rsidR="00887C77">
        <w:rPr>
          <w:rFonts w:ascii="Calibri" w:hAnsi="Calibri" w:cs="Calibri"/>
          <w:sz w:val="22"/>
        </w:rPr>
        <w:t xml:space="preserve"> </w:t>
      </w:r>
      <w:r w:rsidR="0088441D">
        <w:rPr>
          <w:rFonts w:ascii="Calibri" w:hAnsi="Calibri" w:cs="Calibri"/>
          <w:sz w:val="22"/>
        </w:rPr>
        <w:t>with im</w:t>
      </w:r>
      <w:r w:rsidR="000C0570">
        <w:rPr>
          <w:rFonts w:ascii="Calibri" w:hAnsi="Calibri" w:cs="Calibri"/>
          <w:sz w:val="22"/>
        </w:rPr>
        <w:t>mediate focus upon partnerships;</w:t>
      </w:r>
      <w:r w:rsidR="0088441D">
        <w:rPr>
          <w:rFonts w:ascii="Calibri" w:hAnsi="Calibri" w:cs="Calibri"/>
          <w:sz w:val="22"/>
        </w:rPr>
        <w:t xml:space="preserve"> leveraging standardisation initiatives and existing programs</w:t>
      </w:r>
      <w:r w:rsidR="000C0570">
        <w:rPr>
          <w:rFonts w:ascii="Calibri" w:hAnsi="Calibri" w:cs="Calibri"/>
          <w:sz w:val="22"/>
        </w:rPr>
        <w:t>;</w:t>
      </w:r>
      <w:r w:rsidR="0088441D">
        <w:rPr>
          <w:rFonts w:ascii="Calibri" w:hAnsi="Calibri" w:cs="Calibri"/>
          <w:sz w:val="22"/>
        </w:rPr>
        <w:t xml:space="preserve"> and creating a co</w:t>
      </w:r>
      <w:r>
        <w:rPr>
          <w:rFonts w:ascii="Calibri" w:hAnsi="Calibri" w:cs="Calibri"/>
          <w:sz w:val="22"/>
        </w:rPr>
        <w:t>-</w:t>
      </w:r>
      <w:r w:rsidR="0088441D">
        <w:rPr>
          <w:rFonts w:ascii="Calibri" w:hAnsi="Calibri" w:cs="Calibri"/>
          <w:sz w:val="22"/>
        </w:rPr>
        <w:t>funding mechanism to significantly expand traineeship programs</w:t>
      </w:r>
      <w:r>
        <w:rPr>
          <w:rFonts w:ascii="Calibri" w:hAnsi="Calibri" w:cs="Calibri"/>
          <w:sz w:val="22"/>
        </w:rPr>
        <w:t>; and</w:t>
      </w:r>
    </w:p>
    <w:p w14:paraId="78138F45" w14:textId="77777777" w:rsidR="00887C77" w:rsidRDefault="00053B90" w:rsidP="00E65D15">
      <w:pPr>
        <w:pStyle w:val="ListParagraph"/>
        <w:numPr>
          <w:ilvl w:val="0"/>
          <w:numId w:val="29"/>
        </w:numPr>
        <w:spacing w:before="120" w:after="120"/>
        <w:ind w:left="567" w:hanging="567"/>
        <w:contextualSpacing w:val="0"/>
        <w:rPr>
          <w:rFonts w:ascii="Calibri" w:hAnsi="Calibri" w:cs="Calibri"/>
          <w:sz w:val="22"/>
        </w:rPr>
      </w:pPr>
      <w:r>
        <w:rPr>
          <w:rFonts w:ascii="Calibri" w:hAnsi="Calibri" w:cs="Calibri"/>
          <w:sz w:val="22"/>
        </w:rPr>
        <w:t>c</w:t>
      </w:r>
      <w:r w:rsidR="0088441D">
        <w:rPr>
          <w:rFonts w:ascii="Calibri" w:hAnsi="Calibri" w:cs="Calibri"/>
          <w:sz w:val="22"/>
        </w:rPr>
        <w:t xml:space="preserve">onsideration of how to accelerate </w:t>
      </w:r>
      <w:r>
        <w:rPr>
          <w:rFonts w:ascii="Calibri" w:hAnsi="Calibri" w:cs="Calibri"/>
          <w:sz w:val="22"/>
        </w:rPr>
        <w:t>i</w:t>
      </w:r>
      <w:r w:rsidR="000C0570">
        <w:rPr>
          <w:rFonts w:ascii="Calibri" w:hAnsi="Calibri" w:cs="Calibri"/>
          <w:sz w:val="22"/>
        </w:rPr>
        <w:t>nnovation</w:t>
      </w:r>
      <w:r w:rsidR="002365A5">
        <w:rPr>
          <w:rFonts w:ascii="Calibri" w:hAnsi="Calibri" w:cs="Calibri"/>
          <w:sz w:val="22"/>
        </w:rPr>
        <w:t xml:space="preserve">, and </w:t>
      </w:r>
      <w:r>
        <w:rPr>
          <w:rFonts w:ascii="Calibri" w:hAnsi="Calibri" w:cs="Calibri"/>
          <w:sz w:val="22"/>
        </w:rPr>
        <w:t>research and development</w:t>
      </w:r>
      <w:r w:rsidR="004060CD">
        <w:rPr>
          <w:rFonts w:ascii="Calibri" w:hAnsi="Calibri" w:cs="Calibri"/>
          <w:sz w:val="22"/>
        </w:rPr>
        <w:t xml:space="preserve"> </w:t>
      </w:r>
      <w:r w:rsidR="00D53A2F">
        <w:rPr>
          <w:rFonts w:ascii="Calibri" w:hAnsi="Calibri" w:cs="Calibri"/>
          <w:sz w:val="22"/>
        </w:rPr>
        <w:t>to benefit future content creation capabilities.</w:t>
      </w:r>
    </w:p>
    <w:p w14:paraId="216C3764" w14:textId="77777777" w:rsidR="009A7229" w:rsidRDefault="004060CD" w:rsidP="00E65D15">
      <w:pPr>
        <w:spacing w:before="120" w:after="120"/>
        <w:rPr>
          <w:rFonts w:ascii="Calibri" w:hAnsi="Calibri" w:cs="Calibri"/>
          <w:sz w:val="22"/>
        </w:rPr>
      </w:pPr>
      <w:r>
        <w:rPr>
          <w:rFonts w:ascii="Calibri" w:hAnsi="Calibri" w:cs="Calibri"/>
          <w:sz w:val="22"/>
        </w:rPr>
        <w:t xml:space="preserve">The CIEWG will </w:t>
      </w:r>
      <w:r w:rsidR="00F76FC0">
        <w:rPr>
          <w:rFonts w:ascii="Calibri" w:hAnsi="Calibri" w:cs="Calibri"/>
          <w:sz w:val="22"/>
        </w:rPr>
        <w:t>consult with</w:t>
      </w:r>
      <w:r>
        <w:rPr>
          <w:rFonts w:ascii="Calibri" w:hAnsi="Calibri" w:cs="Calibri"/>
          <w:sz w:val="22"/>
        </w:rPr>
        <w:t xml:space="preserve"> the</w:t>
      </w:r>
      <w:r w:rsidR="000342D6" w:rsidRPr="00CC3AD2">
        <w:rPr>
          <w:rFonts w:ascii="Calibri" w:hAnsi="Calibri" w:cs="Calibri"/>
          <w:sz w:val="22"/>
        </w:rPr>
        <w:t xml:space="preserve"> Creative Economy Taskforce</w:t>
      </w:r>
      <w:r w:rsidR="000C0570">
        <w:rPr>
          <w:rFonts w:ascii="Calibri" w:hAnsi="Calibri" w:cs="Calibri"/>
          <w:sz w:val="22"/>
        </w:rPr>
        <w:t xml:space="preserve"> (Taskforce)</w:t>
      </w:r>
      <w:r w:rsidR="00053B90">
        <w:rPr>
          <w:rFonts w:ascii="Calibri" w:hAnsi="Calibri" w:cs="Calibri"/>
          <w:sz w:val="22"/>
        </w:rPr>
        <w:t>,</w:t>
      </w:r>
      <w:r w:rsidR="00F51108">
        <w:rPr>
          <w:rFonts w:ascii="Calibri" w:hAnsi="Calibri" w:cs="Calibri"/>
          <w:sz w:val="22"/>
        </w:rPr>
        <w:t xml:space="preserve"> </w:t>
      </w:r>
      <w:r>
        <w:rPr>
          <w:rFonts w:ascii="Calibri" w:hAnsi="Calibri" w:cs="Calibri"/>
          <w:sz w:val="22"/>
        </w:rPr>
        <w:t xml:space="preserve">and will coordinate its Lighthouse proposals with high crossover into the arts </w:t>
      </w:r>
      <w:r w:rsidR="00D53A2F">
        <w:rPr>
          <w:rFonts w:ascii="Calibri" w:hAnsi="Calibri" w:cs="Calibri"/>
          <w:sz w:val="22"/>
        </w:rPr>
        <w:t>with the Taskforce</w:t>
      </w:r>
      <w:r w:rsidR="009A7229">
        <w:rPr>
          <w:rFonts w:ascii="Calibri" w:hAnsi="Calibri" w:cs="Calibri"/>
          <w:sz w:val="22"/>
        </w:rPr>
        <w:t>.</w:t>
      </w:r>
    </w:p>
    <w:p w14:paraId="4F95AB67" w14:textId="77777777" w:rsidR="00F76FC0" w:rsidRDefault="00F76FC0" w:rsidP="00E65D15">
      <w:pPr>
        <w:spacing w:before="120" w:after="120"/>
        <w:rPr>
          <w:rFonts w:ascii="Calibri" w:hAnsi="Calibri" w:cs="Calibri"/>
          <w:sz w:val="22"/>
        </w:rPr>
      </w:pPr>
      <w:r>
        <w:rPr>
          <w:rFonts w:ascii="Calibri" w:hAnsi="Calibri" w:cs="Calibri"/>
          <w:sz w:val="22"/>
        </w:rPr>
        <w:t>The composition of the CIEWG has been based upon their demonstrated ability to foster and coordinate commercial partnerships in pursuit of the identified key success factors.</w:t>
      </w:r>
    </w:p>
    <w:p w14:paraId="3BDD7179" w14:textId="5C55740A" w:rsidR="000342D6" w:rsidRPr="00AA319B" w:rsidRDefault="000342D6" w:rsidP="000342D6">
      <w:pPr>
        <w:pStyle w:val="Heading2"/>
        <w:spacing w:before="0" w:after="160"/>
        <w:rPr>
          <w:rFonts w:ascii="Calibri" w:hAnsi="Calibri" w:cs="Calibri"/>
          <w:b/>
        </w:rPr>
      </w:pPr>
      <w:r w:rsidRPr="00AA319B">
        <w:rPr>
          <w:rFonts w:ascii="Calibri" w:hAnsi="Calibri" w:cs="Calibri"/>
          <w:b/>
        </w:rPr>
        <w:lastRenderedPageBreak/>
        <w:t>Co-conveners</w:t>
      </w:r>
    </w:p>
    <w:p w14:paraId="39570DBE" w14:textId="77777777" w:rsidR="00A6615C" w:rsidRPr="00A6615C" w:rsidRDefault="000342D6" w:rsidP="00E65D15">
      <w:pPr>
        <w:pStyle w:val="Heading3"/>
      </w:pPr>
      <w:r w:rsidRPr="00AA319B">
        <w:t xml:space="preserve">Mr Zareh Nalbandian, Chief Executive Officer and Producer, Animal Logic and Animal </w:t>
      </w:r>
      <w:r w:rsidR="00A6615C">
        <w:t>Logic Entertainment</w:t>
      </w:r>
    </w:p>
    <w:p w14:paraId="5BB7033F" w14:textId="77777777" w:rsidR="00A6615C" w:rsidRPr="00A6615C" w:rsidRDefault="00A6615C" w:rsidP="00E65D15">
      <w:pPr>
        <w:keepLines/>
        <w:spacing w:before="120" w:after="120"/>
        <w:rPr>
          <w:rFonts w:ascii="Calibri" w:hAnsi="Calibri" w:cs="Calibri"/>
        </w:rPr>
      </w:pPr>
      <w:r w:rsidRPr="00A6615C">
        <w:rPr>
          <w:rFonts w:ascii="Calibri" w:hAnsi="Calibri" w:cs="Calibri"/>
        </w:rPr>
        <w:t xml:space="preserve">Mr Nalbandian’s leadership has resulted in Animal Logic creating seminal feature animation and VFX work for 30 years, collaborating with visionary filmmakers and major studio partners. Zareh was most notably Executive Producer on Academy Award winning Happy Feet, BAFTA award winning The LEGO Movie, The LEGO Movie 2, The LEGO Batman Movie, and, Producer on Legend of the Guardians: The Owls of Ga’Hoole and more recently the Producer of Peter Rabbit and Peter Rabbit 2: The Runaway. </w:t>
      </w:r>
    </w:p>
    <w:p w14:paraId="17045DD5" w14:textId="77777777" w:rsidR="00A6615C" w:rsidRPr="00AA319B" w:rsidRDefault="00A6615C" w:rsidP="00E65D15">
      <w:pPr>
        <w:spacing w:before="120" w:after="120"/>
        <w:rPr>
          <w:rFonts w:ascii="Calibri" w:hAnsi="Calibri" w:cs="Calibri"/>
        </w:rPr>
      </w:pPr>
      <w:r w:rsidRPr="00A6615C">
        <w:rPr>
          <w:rFonts w:ascii="Calibri" w:hAnsi="Calibri" w:cs="Calibri"/>
        </w:rPr>
        <w:t>Mr Nalbandian is the Deputy Chair of Ausfilm, a Board Member of the Sydney Film Festival and a member of the Producer’s Guild of America, Visual Effects Society, AACTA, and the Academy of Motion Picture Arts and Sciences. In 2017, Zareh was named Australian National Cinema Pioneer of the Year and in 2018, he was awarded an Honorary Doctorate from the University of Technology Sydney. Through ongoing initiatives including mentorships, residencies, and the University of Technology Sydney (UTS) Animal Logic Academy, he has demonstrated his commitment to supporting the next generation of creatives, ensuring a successful, globally competitive production industry in Australia.</w:t>
      </w:r>
    </w:p>
    <w:p w14:paraId="49E41799" w14:textId="77777777" w:rsidR="000342D6" w:rsidRPr="00AA319B" w:rsidRDefault="000342D6" w:rsidP="00E65D15">
      <w:pPr>
        <w:pStyle w:val="Heading3"/>
      </w:pPr>
      <w:r w:rsidRPr="00AA319B">
        <w:t>Mr Vince Pizzica, Non-Executive Chairman, Hoppr</w:t>
      </w:r>
    </w:p>
    <w:p w14:paraId="4E6A29B0" w14:textId="77777777" w:rsidR="000342D6" w:rsidRPr="00AA319B" w:rsidRDefault="000342D6" w:rsidP="00E65D15">
      <w:pPr>
        <w:spacing w:before="120" w:after="120"/>
        <w:rPr>
          <w:rFonts w:ascii="Calibri" w:hAnsi="Calibri" w:cs="Calibri"/>
        </w:rPr>
      </w:pPr>
      <w:r w:rsidRPr="00AA319B">
        <w:rPr>
          <w:rFonts w:ascii="Calibri" w:hAnsi="Calibri" w:cs="Calibri"/>
        </w:rPr>
        <w:t>Mr Pizzica has over 30 years of senior leadership experience in corporate development, operations and technology. He most recently served as Technicolor’s Senior Executive Vice President, the world’s largest post-production company, as well as running Technicolor’s Technology business.</w:t>
      </w:r>
    </w:p>
    <w:p w14:paraId="59CE2E5C" w14:textId="77777777" w:rsidR="000342D6" w:rsidRPr="00AA319B" w:rsidRDefault="000342D6" w:rsidP="00E65D15">
      <w:pPr>
        <w:spacing w:before="120" w:after="120"/>
        <w:rPr>
          <w:rFonts w:ascii="Calibri" w:hAnsi="Calibri" w:cs="Calibri"/>
        </w:rPr>
      </w:pPr>
      <w:r w:rsidRPr="00AA319B">
        <w:rPr>
          <w:rFonts w:ascii="Calibri" w:hAnsi="Calibri" w:cs="Calibri"/>
        </w:rPr>
        <w:t>Mr Pizzica has expertise in translating strategy in to operational plans and actions, technology management and the commercialisation of innovation. He has 17 years of work experience in Telstra senior positions and has worked in media and telecommunication industries throughout the Asia-Pacific, Europe and the United States over the last 40 years.</w:t>
      </w:r>
    </w:p>
    <w:p w14:paraId="55D56F10" w14:textId="77777777" w:rsidR="000342D6" w:rsidRPr="00AA319B" w:rsidRDefault="000342D6" w:rsidP="00E65D15">
      <w:pPr>
        <w:spacing w:before="120" w:after="120"/>
        <w:rPr>
          <w:rFonts w:ascii="Calibri" w:hAnsi="Calibri" w:cs="Calibri"/>
        </w:rPr>
      </w:pPr>
      <w:r w:rsidRPr="00AA319B">
        <w:rPr>
          <w:rFonts w:ascii="Calibri" w:hAnsi="Calibri" w:cs="Calibri"/>
        </w:rPr>
        <w:t>Mr Pizzica has a Master of Telecommunications and Information Systems from the University of Essex.</w:t>
      </w:r>
    </w:p>
    <w:p w14:paraId="7812AB60" w14:textId="77777777" w:rsidR="000342D6" w:rsidRPr="00AA319B" w:rsidRDefault="000342D6" w:rsidP="00E65D15">
      <w:pPr>
        <w:pStyle w:val="Heading2"/>
        <w:spacing w:before="0" w:after="160"/>
        <w:rPr>
          <w:rFonts w:ascii="Calibri" w:hAnsi="Calibri" w:cs="Calibri"/>
          <w:b/>
        </w:rPr>
      </w:pPr>
      <w:r w:rsidRPr="00AA319B">
        <w:rPr>
          <w:rFonts w:ascii="Calibri" w:hAnsi="Calibri" w:cs="Calibri"/>
          <w:b/>
        </w:rPr>
        <w:t>Members</w:t>
      </w:r>
    </w:p>
    <w:tbl>
      <w:tblPr>
        <w:tblStyle w:val="GridTable4-Accent1"/>
        <w:tblW w:w="5000" w:type="pct"/>
        <w:tblLook w:val="04A0" w:firstRow="1" w:lastRow="0" w:firstColumn="1" w:lastColumn="0" w:noHBand="0" w:noVBand="1"/>
        <w:tblDescription w:val="Members:&#10;&#10;Ron Curry Chief Executive Officer, Interactive Games &amp; Entertainment Association&#10;Tony Clark Chief Executive Officer, Rising Sun Pictures&#10;Kris Maric Chief Executive Officer&amp; Executive Producer, Fika Entertainment&#10;Patrick Kidd OBE OAM Chief Executive Officer, Digital Skills Agency&#10;Darin Grant CTO, Animal Logic&#10;Rachel Healy Chair, Creative Economy Taskforce&#10;Cass O’Connor Chair, Carriageworks&#10;Katrina Sedgwick OAM Chief Executive Officer and Director, Australian Centre for the Moving Image&#10;Jennifer Ganske  Head of Arts and Tourism, NBN Co&#10;"/>
      </w:tblPr>
      <w:tblGrid>
        <w:gridCol w:w="2339"/>
        <w:gridCol w:w="7126"/>
      </w:tblGrid>
      <w:tr w:rsidR="000342D6" w:rsidRPr="00AA319B" w14:paraId="2520F3DA" w14:textId="77777777" w:rsidTr="0081048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Pr>
          <w:p w14:paraId="7F4577A9" w14:textId="77777777" w:rsidR="000342D6" w:rsidRPr="00810481" w:rsidRDefault="000342D6" w:rsidP="00E65D15">
            <w:pPr>
              <w:spacing w:before="40" w:after="40"/>
              <w:rPr>
                <w:rFonts w:ascii="Calibri" w:hAnsi="Calibri" w:cs="Calibri"/>
                <w:iCs/>
                <w:color w:val="auto"/>
                <w:sz w:val="22"/>
                <w:lang w:eastAsia="en-AU"/>
              </w:rPr>
            </w:pPr>
            <w:r w:rsidRPr="00810481">
              <w:rPr>
                <w:rFonts w:ascii="Calibri" w:hAnsi="Calibri" w:cs="Calibri"/>
                <w:iCs/>
                <w:color w:val="auto"/>
                <w:sz w:val="22"/>
                <w:lang w:eastAsia="en-AU"/>
              </w:rPr>
              <w:t>Name</w:t>
            </w:r>
          </w:p>
        </w:tc>
        <w:tc>
          <w:tcPr>
            <w:tcW w:w="0" w:type="auto"/>
          </w:tcPr>
          <w:p w14:paraId="270C7CEA" w14:textId="77777777" w:rsidR="000342D6" w:rsidRPr="00810481" w:rsidRDefault="000342D6" w:rsidP="00E65D15">
            <w:pPr>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iCs/>
                <w:color w:val="auto"/>
                <w:sz w:val="22"/>
                <w:lang w:eastAsia="en-AU"/>
              </w:rPr>
            </w:pPr>
            <w:r w:rsidRPr="00810481">
              <w:rPr>
                <w:rFonts w:ascii="Calibri" w:hAnsi="Calibri" w:cs="Calibri"/>
                <w:iCs/>
                <w:color w:val="auto"/>
                <w:sz w:val="22"/>
                <w:lang w:eastAsia="en-AU"/>
              </w:rPr>
              <w:t>Position</w:t>
            </w:r>
          </w:p>
        </w:tc>
      </w:tr>
      <w:tr w:rsidR="000342D6" w:rsidRPr="00AA319B" w14:paraId="6D9A0DCD" w14:textId="77777777" w:rsidTr="008104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37B9AC" w14:textId="77777777" w:rsidR="000342D6" w:rsidRPr="00AA319B" w:rsidRDefault="000342D6" w:rsidP="00E65D15">
            <w:pPr>
              <w:spacing w:before="40" w:after="40"/>
              <w:rPr>
                <w:rFonts w:ascii="Calibri" w:hAnsi="Calibri" w:cs="Calibri"/>
                <w:b w:val="0"/>
                <w:iCs/>
                <w:sz w:val="22"/>
                <w:lang w:eastAsia="en-AU"/>
              </w:rPr>
            </w:pPr>
            <w:r w:rsidRPr="00AA319B">
              <w:rPr>
                <w:rFonts w:ascii="Calibri" w:hAnsi="Calibri" w:cs="Calibri"/>
                <w:iCs/>
              </w:rPr>
              <w:t>Ron Curry</w:t>
            </w:r>
          </w:p>
        </w:tc>
        <w:tc>
          <w:tcPr>
            <w:tcW w:w="0" w:type="auto"/>
            <w:vAlign w:val="center"/>
            <w:hideMark/>
          </w:tcPr>
          <w:p w14:paraId="00DB06A1" w14:textId="77777777" w:rsidR="000342D6" w:rsidRPr="00AA319B" w:rsidRDefault="000342D6" w:rsidP="00E65D1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AA319B">
              <w:rPr>
                <w:rFonts w:ascii="Calibri" w:hAnsi="Calibri" w:cs="Calibri"/>
              </w:rPr>
              <w:t>Chief Executive Officer, Interactive Games &amp; Entertainment Association</w:t>
            </w:r>
          </w:p>
        </w:tc>
      </w:tr>
      <w:tr w:rsidR="000342D6" w:rsidRPr="00AA319B" w14:paraId="0921698D" w14:textId="77777777" w:rsidTr="00810481">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105DF8" w14:textId="77777777" w:rsidR="000342D6" w:rsidRPr="00AA319B" w:rsidRDefault="000342D6" w:rsidP="00E65D15">
            <w:pPr>
              <w:spacing w:before="40" w:after="40"/>
              <w:rPr>
                <w:rFonts w:ascii="Calibri" w:hAnsi="Calibri" w:cs="Calibri"/>
                <w:b w:val="0"/>
                <w:iCs/>
                <w:sz w:val="22"/>
                <w:lang w:eastAsia="en-AU"/>
              </w:rPr>
            </w:pPr>
            <w:r w:rsidRPr="00AA319B">
              <w:rPr>
                <w:rFonts w:ascii="Calibri" w:hAnsi="Calibri" w:cs="Calibri"/>
                <w:iCs/>
              </w:rPr>
              <w:t>Tony Clark</w:t>
            </w:r>
          </w:p>
        </w:tc>
        <w:tc>
          <w:tcPr>
            <w:tcW w:w="0" w:type="auto"/>
            <w:vAlign w:val="center"/>
            <w:hideMark/>
          </w:tcPr>
          <w:p w14:paraId="70F1D912" w14:textId="77777777" w:rsidR="000342D6" w:rsidRPr="00AA319B" w:rsidRDefault="000342D6" w:rsidP="00E65D1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 w:val="22"/>
                <w:lang w:eastAsia="en-AU"/>
              </w:rPr>
            </w:pPr>
            <w:r w:rsidRPr="00AA319B">
              <w:rPr>
                <w:rFonts w:ascii="Calibri" w:hAnsi="Calibri" w:cs="Calibri"/>
              </w:rPr>
              <w:t>Chief Executive Officer, Rising Sun Pictures</w:t>
            </w:r>
          </w:p>
        </w:tc>
      </w:tr>
      <w:tr w:rsidR="000342D6" w:rsidRPr="00AA319B" w14:paraId="4E591098" w14:textId="77777777" w:rsidTr="008104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DAE9D0" w14:textId="77777777" w:rsidR="000342D6" w:rsidRPr="00AA319B" w:rsidRDefault="000342D6" w:rsidP="00E65D15">
            <w:pPr>
              <w:spacing w:before="40" w:after="40"/>
              <w:rPr>
                <w:rFonts w:ascii="Calibri" w:hAnsi="Calibri" w:cs="Calibri"/>
                <w:b w:val="0"/>
                <w:iCs/>
                <w:sz w:val="22"/>
                <w:lang w:eastAsia="en-AU"/>
              </w:rPr>
            </w:pPr>
            <w:r w:rsidRPr="00AA319B">
              <w:rPr>
                <w:rFonts w:ascii="Calibri" w:hAnsi="Calibri" w:cs="Calibri"/>
                <w:iCs/>
              </w:rPr>
              <w:t>Kris Maric</w:t>
            </w:r>
          </w:p>
        </w:tc>
        <w:tc>
          <w:tcPr>
            <w:tcW w:w="0" w:type="auto"/>
            <w:vAlign w:val="center"/>
            <w:hideMark/>
          </w:tcPr>
          <w:p w14:paraId="2648B51E" w14:textId="77777777" w:rsidR="000342D6" w:rsidRPr="00AA319B" w:rsidRDefault="000342D6" w:rsidP="00E65D1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 w:val="22"/>
                <w:lang w:eastAsia="en-AU"/>
              </w:rPr>
            </w:pPr>
            <w:r w:rsidRPr="00AA319B">
              <w:rPr>
                <w:rFonts w:ascii="Calibri" w:hAnsi="Calibri" w:cs="Calibri"/>
              </w:rPr>
              <w:t>Chief Executive Officer&amp; Executive Producer, Fika Entertainment</w:t>
            </w:r>
          </w:p>
        </w:tc>
      </w:tr>
      <w:tr w:rsidR="000342D6" w:rsidRPr="00AA319B" w14:paraId="7A6F2B8D" w14:textId="77777777" w:rsidTr="0081048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DE891C" w14:textId="77777777" w:rsidR="000342D6" w:rsidRPr="00AA319B" w:rsidRDefault="000342D6" w:rsidP="00E65D15">
            <w:pPr>
              <w:spacing w:before="40" w:after="40"/>
              <w:rPr>
                <w:rFonts w:ascii="Calibri" w:hAnsi="Calibri" w:cs="Calibri"/>
                <w:b w:val="0"/>
                <w:iCs/>
                <w:sz w:val="22"/>
                <w:lang w:eastAsia="en-AU"/>
              </w:rPr>
            </w:pPr>
            <w:r w:rsidRPr="00AA319B">
              <w:rPr>
                <w:rFonts w:ascii="Calibri" w:hAnsi="Calibri" w:cs="Calibri"/>
                <w:iCs/>
              </w:rPr>
              <w:t>Patrick Kidd OBE OAM</w:t>
            </w:r>
          </w:p>
        </w:tc>
        <w:tc>
          <w:tcPr>
            <w:tcW w:w="0" w:type="auto"/>
            <w:vAlign w:val="center"/>
          </w:tcPr>
          <w:p w14:paraId="793ED49B" w14:textId="77777777" w:rsidR="000342D6" w:rsidRPr="00AA319B" w:rsidRDefault="000342D6" w:rsidP="00E65D1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AA319B">
              <w:rPr>
                <w:rFonts w:ascii="Calibri" w:hAnsi="Calibri" w:cs="Calibri"/>
              </w:rPr>
              <w:t>Chief Executive Officer, Digital Skills Agency</w:t>
            </w:r>
          </w:p>
        </w:tc>
      </w:tr>
      <w:tr w:rsidR="000342D6" w:rsidRPr="00AA319B" w14:paraId="674D3C82" w14:textId="77777777" w:rsidTr="008104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E6BA22" w14:textId="77777777" w:rsidR="000342D6" w:rsidRPr="00AA319B" w:rsidRDefault="002A441C" w:rsidP="00E65D15">
            <w:pPr>
              <w:spacing w:before="40" w:after="40"/>
              <w:rPr>
                <w:rFonts w:ascii="Calibri" w:hAnsi="Calibri" w:cs="Calibri"/>
                <w:b w:val="0"/>
                <w:iCs/>
                <w:sz w:val="22"/>
                <w:lang w:eastAsia="en-AU"/>
              </w:rPr>
            </w:pPr>
            <w:r>
              <w:rPr>
                <w:rFonts w:ascii="Calibri" w:hAnsi="Calibri" w:cs="Calibri"/>
                <w:iCs/>
              </w:rPr>
              <w:t>Dar</w:t>
            </w:r>
            <w:r w:rsidR="00053B90" w:rsidRPr="00AA319B">
              <w:rPr>
                <w:rFonts w:ascii="Calibri" w:hAnsi="Calibri" w:cs="Calibri"/>
                <w:iCs/>
              </w:rPr>
              <w:t>i</w:t>
            </w:r>
            <w:r w:rsidR="000342D6" w:rsidRPr="00AA319B">
              <w:rPr>
                <w:rFonts w:ascii="Calibri" w:hAnsi="Calibri" w:cs="Calibri"/>
                <w:iCs/>
              </w:rPr>
              <w:t>n Grant</w:t>
            </w:r>
          </w:p>
        </w:tc>
        <w:tc>
          <w:tcPr>
            <w:tcW w:w="0" w:type="auto"/>
            <w:vAlign w:val="center"/>
            <w:hideMark/>
          </w:tcPr>
          <w:p w14:paraId="4F7F7235" w14:textId="77777777" w:rsidR="000342D6" w:rsidRPr="00AA319B" w:rsidRDefault="000342D6" w:rsidP="00E65D1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 w:val="22"/>
                <w:lang w:eastAsia="en-AU"/>
              </w:rPr>
            </w:pPr>
            <w:r w:rsidRPr="00AA319B">
              <w:rPr>
                <w:rFonts w:ascii="Calibri" w:hAnsi="Calibri" w:cs="Calibri"/>
              </w:rPr>
              <w:t>CTO, Animal Logic</w:t>
            </w:r>
          </w:p>
        </w:tc>
      </w:tr>
      <w:tr w:rsidR="000342D6" w:rsidRPr="00AA319B" w14:paraId="55750924" w14:textId="77777777" w:rsidTr="0081048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173E97" w14:textId="77777777" w:rsidR="000342D6" w:rsidRPr="00AA319B" w:rsidRDefault="000342D6" w:rsidP="00E65D15">
            <w:pPr>
              <w:spacing w:before="40" w:after="40"/>
              <w:rPr>
                <w:rFonts w:ascii="Calibri" w:hAnsi="Calibri" w:cs="Calibri"/>
                <w:b w:val="0"/>
                <w:iCs/>
                <w:sz w:val="22"/>
                <w:lang w:eastAsia="en-AU"/>
              </w:rPr>
            </w:pPr>
            <w:r w:rsidRPr="00AA319B">
              <w:rPr>
                <w:rFonts w:ascii="Calibri" w:hAnsi="Calibri" w:cs="Calibri"/>
                <w:iCs/>
              </w:rPr>
              <w:t>Rachel Healy</w:t>
            </w:r>
          </w:p>
        </w:tc>
        <w:tc>
          <w:tcPr>
            <w:tcW w:w="0" w:type="auto"/>
            <w:vAlign w:val="center"/>
          </w:tcPr>
          <w:p w14:paraId="2BC8E7E5" w14:textId="77777777" w:rsidR="000342D6" w:rsidRPr="00AA319B" w:rsidRDefault="000342D6" w:rsidP="00E65D1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 w:val="22"/>
                <w:lang w:eastAsia="en-AU"/>
              </w:rPr>
            </w:pPr>
            <w:r w:rsidRPr="00AA319B">
              <w:rPr>
                <w:rFonts w:ascii="Calibri" w:hAnsi="Calibri" w:cs="Calibri"/>
              </w:rPr>
              <w:t>Chair, Creative Economy Taskforce</w:t>
            </w:r>
          </w:p>
        </w:tc>
      </w:tr>
      <w:tr w:rsidR="000342D6" w:rsidRPr="00AA319B" w14:paraId="4BFF06E1" w14:textId="77777777" w:rsidTr="008104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C98D3" w14:textId="77777777" w:rsidR="000342D6" w:rsidRPr="00AA319B" w:rsidRDefault="000342D6" w:rsidP="00E65D15">
            <w:pPr>
              <w:spacing w:before="40" w:after="40"/>
              <w:rPr>
                <w:rFonts w:ascii="Calibri" w:hAnsi="Calibri" w:cs="Calibri"/>
                <w:b w:val="0"/>
                <w:iCs/>
                <w:sz w:val="22"/>
                <w:lang w:eastAsia="en-AU"/>
              </w:rPr>
            </w:pPr>
            <w:r w:rsidRPr="00AA319B">
              <w:rPr>
                <w:rFonts w:ascii="Calibri" w:hAnsi="Calibri" w:cs="Calibri"/>
                <w:iCs/>
              </w:rPr>
              <w:t>Cass O’Connor</w:t>
            </w:r>
          </w:p>
        </w:tc>
        <w:tc>
          <w:tcPr>
            <w:tcW w:w="0" w:type="auto"/>
            <w:vAlign w:val="center"/>
          </w:tcPr>
          <w:p w14:paraId="60AF9BF6" w14:textId="77777777" w:rsidR="000342D6" w:rsidRPr="00AA319B" w:rsidRDefault="000342D6" w:rsidP="00E65D1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 w:val="22"/>
                <w:lang w:eastAsia="en-AU"/>
              </w:rPr>
            </w:pPr>
            <w:r w:rsidRPr="00AA319B">
              <w:rPr>
                <w:rFonts w:ascii="Calibri" w:hAnsi="Calibri" w:cs="Calibri"/>
              </w:rPr>
              <w:t>Chair, Carriageworks</w:t>
            </w:r>
          </w:p>
        </w:tc>
      </w:tr>
      <w:tr w:rsidR="000342D6" w:rsidRPr="00AA319B" w14:paraId="465F9476" w14:textId="77777777" w:rsidTr="0081048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B7CFC4" w14:textId="77777777" w:rsidR="000342D6" w:rsidRPr="00AA319B" w:rsidRDefault="000342D6" w:rsidP="00E65D15">
            <w:pPr>
              <w:spacing w:before="40" w:after="40"/>
              <w:rPr>
                <w:rFonts w:ascii="Calibri" w:hAnsi="Calibri" w:cs="Calibri"/>
                <w:b w:val="0"/>
                <w:iCs/>
                <w:sz w:val="22"/>
                <w:lang w:eastAsia="en-AU"/>
              </w:rPr>
            </w:pPr>
            <w:r w:rsidRPr="00AA319B">
              <w:rPr>
                <w:rFonts w:ascii="Calibri" w:hAnsi="Calibri" w:cs="Calibri"/>
                <w:iCs/>
              </w:rPr>
              <w:t>Katrina Sedgwick</w:t>
            </w:r>
            <w:r w:rsidR="00182B65">
              <w:rPr>
                <w:rFonts w:ascii="Calibri" w:hAnsi="Calibri" w:cs="Calibri"/>
                <w:iCs/>
              </w:rPr>
              <w:t xml:space="preserve"> OAM</w:t>
            </w:r>
          </w:p>
        </w:tc>
        <w:tc>
          <w:tcPr>
            <w:tcW w:w="0" w:type="auto"/>
            <w:vAlign w:val="center"/>
          </w:tcPr>
          <w:p w14:paraId="53AA4681" w14:textId="77777777" w:rsidR="000342D6" w:rsidRPr="00AA319B" w:rsidRDefault="000342D6" w:rsidP="00E65D1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AA319B">
              <w:rPr>
                <w:rFonts w:ascii="Calibri" w:hAnsi="Calibri" w:cs="Calibri"/>
              </w:rPr>
              <w:t>Chief Executive Officer and Director, Australian Centre for the Moving Image</w:t>
            </w:r>
          </w:p>
        </w:tc>
      </w:tr>
      <w:tr w:rsidR="00CA30FD" w14:paraId="160974D0" w14:textId="77777777" w:rsidTr="008104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CF4549" w14:textId="77777777" w:rsidR="00CA30FD" w:rsidRPr="00CA30FD" w:rsidRDefault="00CA30FD" w:rsidP="00E65D15">
            <w:pPr>
              <w:spacing w:before="40" w:after="40"/>
              <w:rPr>
                <w:rFonts w:ascii="Calibri" w:hAnsi="Calibri" w:cs="Calibri"/>
                <w:iCs/>
              </w:rPr>
            </w:pPr>
            <w:r>
              <w:rPr>
                <w:rFonts w:ascii="Calibri" w:hAnsi="Calibri" w:cs="Calibri"/>
                <w:iCs/>
              </w:rPr>
              <w:t>Jennifer Ganske</w:t>
            </w:r>
          </w:p>
        </w:tc>
        <w:tc>
          <w:tcPr>
            <w:tcW w:w="0" w:type="auto"/>
            <w:vAlign w:val="center"/>
          </w:tcPr>
          <w:p w14:paraId="39A1FA3B" w14:textId="77777777" w:rsidR="00CA30FD" w:rsidRPr="00CA30FD" w:rsidRDefault="00CA30FD" w:rsidP="00E65D1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30FD">
              <w:rPr>
                <w:rFonts w:ascii="Calibri" w:hAnsi="Calibri" w:cs="Calibri"/>
              </w:rPr>
              <w:t>Head of Arts and Tourism, NBN Co</w:t>
            </w:r>
          </w:p>
        </w:tc>
      </w:tr>
    </w:tbl>
    <w:p w14:paraId="311504D6" w14:textId="77777777" w:rsidR="00AF1B9A" w:rsidRPr="00CD5C90" w:rsidRDefault="00AF1B9A" w:rsidP="00E65D15"/>
    <w:sectPr w:rsidR="00AF1B9A" w:rsidRPr="00CD5C90" w:rsidSect="00E65D15">
      <w:type w:val="continuous"/>
      <w:pgSz w:w="11906" w:h="16838"/>
      <w:pgMar w:top="1985" w:right="991" w:bottom="993"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DC211" w14:textId="77777777" w:rsidR="007414FD" w:rsidRDefault="007414FD" w:rsidP="00FC413F">
      <w:pPr>
        <w:spacing w:after="0"/>
      </w:pPr>
      <w:r>
        <w:separator/>
      </w:r>
    </w:p>
  </w:endnote>
  <w:endnote w:type="continuationSeparator" w:id="0">
    <w:p w14:paraId="14804286" w14:textId="77777777" w:rsidR="007414FD" w:rsidRDefault="007414F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0180" w14:textId="77777777" w:rsidR="00887C77" w:rsidRPr="00FC413F" w:rsidRDefault="00887C77" w:rsidP="001A61A0">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2C1E4259" w14:textId="3D5A4668" w:rsidR="00887C77" w:rsidRPr="00FC413F" w:rsidRDefault="00887C77" w:rsidP="001A61A0">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E65D15">
      <w:rPr>
        <w:rFonts w:cs="Segoe UI"/>
        <w:noProof/>
        <w:szCs w:val="18"/>
      </w:rPr>
      <w:t>3</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Creative Industry</w:t>
    </w:r>
    <w:r w:rsidRPr="007C2333">
      <w:rPr>
        <w:rFonts w:cs="Segoe UI"/>
        <w:noProof/>
        <w:szCs w:val="18"/>
      </w:rPr>
      <w:t xml:space="preserve"> Expert Working </w:t>
    </w:r>
    <w:r w:rsidR="00B40BC7">
      <w:rPr>
        <w:rFonts w:cs="Segoe UI"/>
        <w:noProof/>
        <w:szCs w:val="18"/>
      </w:rPr>
      <w:t>Group Terms of Reference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2E3F" w14:textId="77777777" w:rsidR="00887C77" w:rsidRPr="00FC413F" w:rsidRDefault="00887C77"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86FDF9C" w14:textId="3F87F7E4" w:rsidR="00887C77" w:rsidRPr="00FC413F" w:rsidRDefault="00887C77" w:rsidP="0000270B">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E65D15">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Creative Industry</w:t>
    </w:r>
    <w:r w:rsidRPr="007C2333">
      <w:rPr>
        <w:rFonts w:cs="Segoe UI"/>
        <w:noProof/>
        <w:szCs w:val="18"/>
      </w:rPr>
      <w:t xml:space="preserve"> Ex</w:t>
    </w:r>
    <w:r w:rsidR="00B40BC7">
      <w:rPr>
        <w:rFonts w:cs="Segoe UI"/>
        <w:noProof/>
        <w:szCs w:val="18"/>
      </w:rPr>
      <w:t>pert Working Group Terms of Reference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09C7C" w14:textId="77777777" w:rsidR="007414FD" w:rsidRDefault="007414FD" w:rsidP="00FC413F">
      <w:pPr>
        <w:spacing w:after="0"/>
      </w:pPr>
      <w:r>
        <w:separator/>
      </w:r>
    </w:p>
  </w:footnote>
  <w:footnote w:type="continuationSeparator" w:id="0">
    <w:p w14:paraId="15408451" w14:textId="77777777" w:rsidR="007414FD" w:rsidRDefault="007414FD"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3786" w14:textId="77777777" w:rsidR="00887C77" w:rsidRPr="00261FFA" w:rsidRDefault="00887C77" w:rsidP="001A61A0">
    <w:pPr>
      <w:pStyle w:val="Header"/>
      <w:tabs>
        <w:tab w:val="clear" w:pos="4678"/>
      </w:tabs>
      <w:spacing w:before="1200"/>
      <w:rPr>
        <w:rFonts w:cs="Segoe UI Light"/>
        <w:color w:val="001C40"/>
        <w:szCs w:val="18"/>
      </w:rPr>
    </w:pP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36EA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7AACB4D4"/>
    <w:lvl w:ilvl="0" w:tplc="BB0C39E4">
      <w:start w:val="1"/>
      <w:numFmt w:val="bullet"/>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0D6F03"/>
    <w:multiLevelType w:val="hybridMultilevel"/>
    <w:tmpl w:val="76FC27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D71C7A"/>
    <w:multiLevelType w:val="multilevel"/>
    <w:tmpl w:val="2334C3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D7C7DBD"/>
    <w:multiLevelType w:val="hybridMultilevel"/>
    <w:tmpl w:val="30D25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BA52ED"/>
    <w:multiLevelType w:val="hybridMultilevel"/>
    <w:tmpl w:val="1B5AAF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2628A9"/>
    <w:multiLevelType w:val="multilevel"/>
    <w:tmpl w:val="2334C3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35847AB"/>
    <w:multiLevelType w:val="hybridMultilevel"/>
    <w:tmpl w:val="8806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A700138"/>
    <w:multiLevelType w:val="hybridMultilevel"/>
    <w:tmpl w:val="DB920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A7BEE"/>
    <w:multiLevelType w:val="hybridMultilevel"/>
    <w:tmpl w:val="5D723E9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C5B0443"/>
    <w:multiLevelType w:val="hybridMultilevel"/>
    <w:tmpl w:val="53EE39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C7B3DE5"/>
    <w:multiLevelType w:val="hybridMultilevel"/>
    <w:tmpl w:val="FFB2E57C"/>
    <w:lvl w:ilvl="0" w:tplc="888CE0AC">
      <w:start w:val="1"/>
      <w:numFmt w:val="decimal"/>
      <w:pStyle w:val="ListParagraph"/>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68B5D28"/>
    <w:multiLevelType w:val="hybridMultilevel"/>
    <w:tmpl w:val="16BCA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7719BE"/>
    <w:multiLevelType w:val="hybridMultilevel"/>
    <w:tmpl w:val="847032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8827E7D"/>
    <w:multiLevelType w:val="hybridMultilevel"/>
    <w:tmpl w:val="AA168EC0"/>
    <w:lvl w:ilvl="0" w:tplc="E96A464C">
      <w:start w:val="1"/>
      <w:numFmt w:val="bullet"/>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3E2E5C"/>
    <w:multiLevelType w:val="multilevel"/>
    <w:tmpl w:val="2334C3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25442EC"/>
    <w:multiLevelType w:val="hybridMultilevel"/>
    <w:tmpl w:val="103297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2E600E"/>
    <w:multiLevelType w:val="hybridMultilevel"/>
    <w:tmpl w:val="9B18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F563DF"/>
    <w:multiLevelType w:val="hybridMultilevel"/>
    <w:tmpl w:val="72D497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8" w15:restartNumberingAfterBreak="0">
    <w:nsid w:val="7FFB0EA8"/>
    <w:multiLevelType w:val="multilevel"/>
    <w:tmpl w:val="2334C3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23"/>
  </w:num>
  <w:num w:numId="3">
    <w:abstractNumId w:val="10"/>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24"/>
  </w:num>
  <w:num w:numId="17">
    <w:abstractNumId w:val="15"/>
  </w:num>
  <w:num w:numId="18">
    <w:abstractNumId w:val="12"/>
  </w:num>
  <w:num w:numId="19">
    <w:abstractNumId w:val="11"/>
  </w:num>
  <w:num w:numId="20">
    <w:abstractNumId w:val="19"/>
  </w:num>
  <w:num w:numId="21">
    <w:abstractNumId w:val="22"/>
  </w:num>
  <w:num w:numId="22">
    <w:abstractNumId w:val="16"/>
  </w:num>
  <w:num w:numId="23">
    <w:abstractNumId w:val="26"/>
  </w:num>
  <w:num w:numId="24">
    <w:abstractNumId w:val="18"/>
  </w:num>
  <w:num w:numId="25">
    <w:abstractNumId w:val="21"/>
  </w:num>
  <w:num w:numId="26">
    <w:abstractNumId w:val="13"/>
  </w:num>
  <w:num w:numId="27">
    <w:abstractNumId w:val="25"/>
  </w:num>
  <w:num w:numId="28">
    <w:abstractNumId w:val="20"/>
  </w:num>
  <w:num w:numId="29">
    <w:abstractNumId w:val="14"/>
  </w:num>
  <w:num w:numId="30">
    <w:abstractNumId w:val="20"/>
  </w:num>
  <w:num w:numId="31">
    <w:abstractNumId w:val="20"/>
  </w:num>
  <w:num w:numId="32">
    <w:abstractNumId w:val="20"/>
  </w:num>
  <w:num w:numId="33">
    <w:abstractNumId w:val="27"/>
  </w:num>
  <w:num w:numId="34">
    <w:abstractNumId w:val="17"/>
  </w:num>
  <w:num w:numId="35">
    <w:abstractNumId w:val="20"/>
  </w:num>
  <w:num w:numId="36">
    <w:abstractNumId w:val="2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B"/>
    <w:rsid w:val="0000219B"/>
    <w:rsid w:val="0000270B"/>
    <w:rsid w:val="00010577"/>
    <w:rsid w:val="000303AF"/>
    <w:rsid w:val="000342D6"/>
    <w:rsid w:val="0003502E"/>
    <w:rsid w:val="000369D8"/>
    <w:rsid w:val="00053B90"/>
    <w:rsid w:val="00054768"/>
    <w:rsid w:val="00060FDC"/>
    <w:rsid w:val="00067B2B"/>
    <w:rsid w:val="00073C17"/>
    <w:rsid w:val="000740FB"/>
    <w:rsid w:val="00087644"/>
    <w:rsid w:val="000906DB"/>
    <w:rsid w:val="000907CD"/>
    <w:rsid w:val="00090E62"/>
    <w:rsid w:val="000B51E8"/>
    <w:rsid w:val="000C0244"/>
    <w:rsid w:val="000C0570"/>
    <w:rsid w:val="000D2AC6"/>
    <w:rsid w:val="00100EBC"/>
    <w:rsid w:val="00105DA4"/>
    <w:rsid w:val="00133A45"/>
    <w:rsid w:val="00133F06"/>
    <w:rsid w:val="00143015"/>
    <w:rsid w:val="001540E4"/>
    <w:rsid w:val="00160322"/>
    <w:rsid w:val="00182B65"/>
    <w:rsid w:val="00182FB6"/>
    <w:rsid w:val="001A0B8C"/>
    <w:rsid w:val="001A61A0"/>
    <w:rsid w:val="001B14FB"/>
    <w:rsid w:val="00204A64"/>
    <w:rsid w:val="00217C11"/>
    <w:rsid w:val="002365A5"/>
    <w:rsid w:val="00236F1B"/>
    <w:rsid w:val="002476A9"/>
    <w:rsid w:val="00261FFA"/>
    <w:rsid w:val="00271334"/>
    <w:rsid w:val="00272982"/>
    <w:rsid w:val="00287C7E"/>
    <w:rsid w:val="002A441C"/>
    <w:rsid w:val="002A5AB5"/>
    <w:rsid w:val="002C4313"/>
    <w:rsid w:val="002D3DFA"/>
    <w:rsid w:val="002E5A38"/>
    <w:rsid w:val="002E5C78"/>
    <w:rsid w:val="002F1A23"/>
    <w:rsid w:val="00300077"/>
    <w:rsid w:val="00310148"/>
    <w:rsid w:val="00313855"/>
    <w:rsid w:val="00316CC4"/>
    <w:rsid w:val="00323710"/>
    <w:rsid w:val="0033286A"/>
    <w:rsid w:val="00342348"/>
    <w:rsid w:val="003430DF"/>
    <w:rsid w:val="003434F7"/>
    <w:rsid w:val="00362EFF"/>
    <w:rsid w:val="003658A8"/>
    <w:rsid w:val="003B1FC7"/>
    <w:rsid w:val="003B6D01"/>
    <w:rsid w:val="003D71C5"/>
    <w:rsid w:val="003F1D12"/>
    <w:rsid w:val="004060CD"/>
    <w:rsid w:val="00407DB5"/>
    <w:rsid w:val="00425BA1"/>
    <w:rsid w:val="00427838"/>
    <w:rsid w:val="00434947"/>
    <w:rsid w:val="004479F0"/>
    <w:rsid w:val="0045528D"/>
    <w:rsid w:val="00456235"/>
    <w:rsid w:val="004D5B5A"/>
    <w:rsid w:val="004E4E24"/>
    <w:rsid w:val="004F1B1E"/>
    <w:rsid w:val="00513322"/>
    <w:rsid w:val="005247C2"/>
    <w:rsid w:val="00544D28"/>
    <w:rsid w:val="00552E6D"/>
    <w:rsid w:val="00576F87"/>
    <w:rsid w:val="00592D94"/>
    <w:rsid w:val="00596A0B"/>
    <w:rsid w:val="005D038B"/>
    <w:rsid w:val="005E55BD"/>
    <w:rsid w:val="006121A9"/>
    <w:rsid w:val="006145B4"/>
    <w:rsid w:val="006174E7"/>
    <w:rsid w:val="00630D43"/>
    <w:rsid w:val="006452B1"/>
    <w:rsid w:val="006542FA"/>
    <w:rsid w:val="00660B24"/>
    <w:rsid w:val="00661A20"/>
    <w:rsid w:val="006868CB"/>
    <w:rsid w:val="00691FA2"/>
    <w:rsid w:val="006935FB"/>
    <w:rsid w:val="006C408C"/>
    <w:rsid w:val="006D43C7"/>
    <w:rsid w:val="006F5333"/>
    <w:rsid w:val="00711909"/>
    <w:rsid w:val="007414FD"/>
    <w:rsid w:val="007439E3"/>
    <w:rsid w:val="007714C6"/>
    <w:rsid w:val="00772C27"/>
    <w:rsid w:val="0078027E"/>
    <w:rsid w:val="00790F25"/>
    <w:rsid w:val="00793843"/>
    <w:rsid w:val="0079788A"/>
    <w:rsid w:val="007B68AB"/>
    <w:rsid w:val="007C2333"/>
    <w:rsid w:val="007D6FA9"/>
    <w:rsid w:val="007E7046"/>
    <w:rsid w:val="008061CB"/>
    <w:rsid w:val="00810481"/>
    <w:rsid w:val="00814A28"/>
    <w:rsid w:val="0081667A"/>
    <w:rsid w:val="00822DBF"/>
    <w:rsid w:val="00842BD7"/>
    <w:rsid w:val="00862385"/>
    <w:rsid w:val="0088441D"/>
    <w:rsid w:val="00887C77"/>
    <w:rsid w:val="008A0206"/>
    <w:rsid w:val="008A7B93"/>
    <w:rsid w:val="008C3263"/>
    <w:rsid w:val="008D2CF1"/>
    <w:rsid w:val="008D63AD"/>
    <w:rsid w:val="008E1E96"/>
    <w:rsid w:val="008F24DE"/>
    <w:rsid w:val="009031BF"/>
    <w:rsid w:val="0090414E"/>
    <w:rsid w:val="00912D17"/>
    <w:rsid w:val="009276A3"/>
    <w:rsid w:val="009279AE"/>
    <w:rsid w:val="0094014D"/>
    <w:rsid w:val="0094452E"/>
    <w:rsid w:val="00985857"/>
    <w:rsid w:val="00985DD5"/>
    <w:rsid w:val="00990E99"/>
    <w:rsid w:val="009A7229"/>
    <w:rsid w:val="00A0137F"/>
    <w:rsid w:val="00A4759C"/>
    <w:rsid w:val="00A55F67"/>
    <w:rsid w:val="00A5600C"/>
    <w:rsid w:val="00A6615C"/>
    <w:rsid w:val="00A665F1"/>
    <w:rsid w:val="00A82DAF"/>
    <w:rsid w:val="00A83AB1"/>
    <w:rsid w:val="00A86484"/>
    <w:rsid w:val="00AA173F"/>
    <w:rsid w:val="00AA319B"/>
    <w:rsid w:val="00AD2351"/>
    <w:rsid w:val="00AF14DB"/>
    <w:rsid w:val="00AF1B9A"/>
    <w:rsid w:val="00B16FC4"/>
    <w:rsid w:val="00B31C0E"/>
    <w:rsid w:val="00B40BC7"/>
    <w:rsid w:val="00B5393D"/>
    <w:rsid w:val="00B7403A"/>
    <w:rsid w:val="00BA2DF6"/>
    <w:rsid w:val="00BB3D46"/>
    <w:rsid w:val="00BB7D7A"/>
    <w:rsid w:val="00BC0598"/>
    <w:rsid w:val="00BF2578"/>
    <w:rsid w:val="00C054D4"/>
    <w:rsid w:val="00C20BF8"/>
    <w:rsid w:val="00C36E40"/>
    <w:rsid w:val="00C533FB"/>
    <w:rsid w:val="00C62177"/>
    <w:rsid w:val="00C85A6F"/>
    <w:rsid w:val="00CA30FD"/>
    <w:rsid w:val="00CC1C9C"/>
    <w:rsid w:val="00CC3AD2"/>
    <w:rsid w:val="00CD5C90"/>
    <w:rsid w:val="00CE419B"/>
    <w:rsid w:val="00D01131"/>
    <w:rsid w:val="00D02667"/>
    <w:rsid w:val="00D05FA3"/>
    <w:rsid w:val="00D135CE"/>
    <w:rsid w:val="00D47BFD"/>
    <w:rsid w:val="00D53A2F"/>
    <w:rsid w:val="00D63241"/>
    <w:rsid w:val="00D64922"/>
    <w:rsid w:val="00D77798"/>
    <w:rsid w:val="00D82A71"/>
    <w:rsid w:val="00D97221"/>
    <w:rsid w:val="00DD3E0B"/>
    <w:rsid w:val="00DE47FC"/>
    <w:rsid w:val="00E135B0"/>
    <w:rsid w:val="00E42B4B"/>
    <w:rsid w:val="00E65D15"/>
    <w:rsid w:val="00E676E3"/>
    <w:rsid w:val="00E7227D"/>
    <w:rsid w:val="00E76BC6"/>
    <w:rsid w:val="00E80E04"/>
    <w:rsid w:val="00EA7BA4"/>
    <w:rsid w:val="00EB79ED"/>
    <w:rsid w:val="00EE6EE8"/>
    <w:rsid w:val="00F1099D"/>
    <w:rsid w:val="00F262FB"/>
    <w:rsid w:val="00F51108"/>
    <w:rsid w:val="00F53B3A"/>
    <w:rsid w:val="00F61FA1"/>
    <w:rsid w:val="00F6344A"/>
    <w:rsid w:val="00F76FC0"/>
    <w:rsid w:val="00F814AD"/>
    <w:rsid w:val="00F86916"/>
    <w:rsid w:val="00F86E06"/>
    <w:rsid w:val="00FA4CA0"/>
    <w:rsid w:val="00FB355A"/>
    <w:rsid w:val="00FC413F"/>
    <w:rsid w:val="00FC633E"/>
    <w:rsid w:val="00FC6570"/>
    <w:rsid w:val="00FD3DAB"/>
    <w:rsid w:val="00FD6232"/>
    <w:rsid w:val="00FF6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3CBAC0A"/>
  <w14:defaultImageDpi w14:val="0"/>
  <w15:docId w15:val="{4553809A-28D2-4A6B-A30B-77645BD6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21"/>
    <w:pPr>
      <w:spacing w:after="160"/>
    </w:pPr>
    <w:rPr>
      <w:rFonts w:ascii="Segoe UI" w:hAnsi="Segoe UI" w:cs="Times New Roman"/>
      <w:sz w:val="21"/>
      <w:szCs w:val="22"/>
      <w:lang w:eastAsia="en-US"/>
    </w:rPr>
  </w:style>
  <w:style w:type="paragraph" w:styleId="Heading1">
    <w:name w:val="heading 1"/>
    <w:basedOn w:val="Normal"/>
    <w:next w:val="Normal"/>
    <w:link w:val="Heading1Char"/>
    <w:uiPriority w:val="9"/>
    <w:qFormat/>
    <w:rsid w:val="00D97221"/>
    <w:pPr>
      <w:keepNext/>
      <w:keepLines/>
      <w:spacing w:before="360" w:after="240"/>
      <w:outlineLvl w:val="0"/>
    </w:pPr>
    <w:rPr>
      <w:rFonts w:ascii="Segoe UI Semibold" w:hAnsi="Segoe UI Semibold" w:cs="Segoe UI Semibold"/>
      <w:b/>
      <w:color w:val="002060"/>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Tablefigureheading"/>
    <w:next w:val="Normal"/>
    <w:link w:val="Heading3Char"/>
    <w:uiPriority w:val="9"/>
    <w:unhideWhenUsed/>
    <w:qFormat/>
    <w:rsid w:val="00E65D15"/>
    <w:pPr>
      <w:outlineLvl w:val="2"/>
    </w:pPr>
    <w:rPr>
      <w:rFonts w:ascii="Calibri" w:hAnsi="Calibri" w:cs="Calibri"/>
      <w:sz w:val="21"/>
      <w:szCs w:val="21"/>
      <w:lang w:eastAsia="en-AU"/>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Calibri Light" w:hAnsi="Calibri Light"/>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97221"/>
    <w:rPr>
      <w:rFonts w:ascii="Segoe UI Semibold" w:eastAsia="Times New Roman" w:hAnsi="Segoe UI Semibold" w:cs="Segoe UI Semibold"/>
      <w:b/>
      <w:color w:val="002060"/>
      <w:sz w:val="48"/>
      <w:szCs w:val="48"/>
    </w:rPr>
  </w:style>
  <w:style w:type="character" w:customStyle="1" w:styleId="Heading2Char">
    <w:name w:val="Heading 2 Char"/>
    <w:link w:val="Heading2"/>
    <w:uiPriority w:val="9"/>
    <w:locked/>
    <w:rsid w:val="00772C27"/>
    <w:rPr>
      <w:rFonts w:ascii="Segoe UI Semibold" w:eastAsia="MingLiU" w:hAnsi="Segoe UI Semibold" w:cs="Segoe UI Semibold"/>
      <w:color w:val="002D72"/>
      <w:sz w:val="26"/>
      <w:szCs w:val="26"/>
    </w:rPr>
  </w:style>
  <w:style w:type="character" w:customStyle="1" w:styleId="Heading3Char">
    <w:name w:val="Heading 3 Char"/>
    <w:link w:val="Heading3"/>
    <w:uiPriority w:val="9"/>
    <w:locked/>
    <w:rsid w:val="00E65D15"/>
    <w:rPr>
      <w:color w:val="002D72"/>
      <w:sz w:val="21"/>
      <w:szCs w:val="21"/>
    </w:rPr>
  </w:style>
  <w:style w:type="character" w:customStyle="1" w:styleId="Heading4Char">
    <w:name w:val="Heading 4 Char"/>
    <w:link w:val="Heading4"/>
    <w:uiPriority w:val="9"/>
    <w:locked/>
    <w:rsid w:val="00C36E40"/>
    <w:rPr>
      <w:rFonts w:ascii="Segoe UI Semibold" w:eastAsia="MingLiU" w:hAnsi="Segoe UI Semibold" w:cs="Segoe UI Semibold"/>
      <w:color w:val="4C5564"/>
      <w:sz w:val="26"/>
      <w:szCs w:val="26"/>
    </w:rPr>
  </w:style>
  <w:style w:type="character" w:customStyle="1" w:styleId="Heading5Char">
    <w:name w:val="Heading 5 Char"/>
    <w:link w:val="Heading5"/>
    <w:uiPriority w:val="9"/>
    <w:locked/>
    <w:rsid w:val="00C36E40"/>
    <w:rPr>
      <w:rFonts w:ascii="Segoe UI Semibold" w:eastAsia="MingLiU" w:hAnsi="Segoe UI Semibold" w:cs="Segoe UI Semibold"/>
      <w:color w:val="4C5564"/>
      <w:sz w:val="21"/>
    </w:rPr>
  </w:style>
  <w:style w:type="character" w:customStyle="1" w:styleId="Heading6Char">
    <w:name w:val="Heading 6 Char"/>
    <w:link w:val="Heading6"/>
    <w:uiPriority w:val="9"/>
    <w:locked/>
    <w:rsid w:val="00C36E40"/>
    <w:rPr>
      <w:rFonts w:ascii="Segoe UI Semibold" w:eastAsia="MingLiU" w:hAnsi="Segoe UI Semibold" w:cs="Segoe UI Semibold"/>
      <w:color w:val="4C5564"/>
      <w:sz w:val="20"/>
      <w:szCs w:val="20"/>
    </w:rPr>
  </w:style>
  <w:style w:type="character" w:customStyle="1" w:styleId="Heading7Char">
    <w:name w:val="Heading 7 Char"/>
    <w:link w:val="Heading7"/>
    <w:uiPriority w:val="9"/>
    <w:locked/>
    <w:rsid w:val="00C36E40"/>
    <w:rPr>
      <w:rFonts w:ascii="Segoe UI Semibold" w:eastAsia="Times New Roman" w:hAnsi="Segoe UI Semibold" w:cs="Segoe UI Semibold"/>
      <w:iCs/>
      <w:color w:val="4C5564"/>
      <w:sz w:val="18"/>
      <w:szCs w:val="18"/>
    </w:rPr>
  </w:style>
  <w:style w:type="character" w:customStyle="1" w:styleId="Heading8Char">
    <w:name w:val="Heading 8 Char"/>
    <w:link w:val="Heading8"/>
    <w:uiPriority w:val="9"/>
    <w:locked/>
    <w:rsid w:val="00090E62"/>
    <w:rPr>
      <w:rFonts w:ascii="Calibri Light" w:eastAsia="Times New Roman" w:hAnsi="Calibri Light" w:cs="Times New Roman"/>
      <w:color w:val="272727"/>
      <w:sz w:val="21"/>
      <w:szCs w:val="21"/>
    </w:rPr>
  </w:style>
  <w:style w:type="paragraph" w:customStyle="1" w:styleId="Listparagraphbulletssecondlevel">
    <w:name w:val="List paragraph—bullets—second level"/>
    <w:basedOn w:val="Listparagraphbullets"/>
    <w:autoRedefine/>
    <w:qFormat/>
    <w:rsid w:val="00985DD5"/>
    <w:pPr>
      <w:ind w:left="1134"/>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link w:val="Header"/>
    <w:uiPriority w:val="99"/>
    <w:locked/>
    <w:rsid w:val="00261FFA"/>
    <w:rPr>
      <w:rFonts w:ascii="Segoe UI Light" w:hAnsi="Segoe UI Light" w:cs="Times New Roman"/>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link w:val="Footer"/>
    <w:uiPriority w:val="99"/>
    <w:locked/>
    <w:rsid w:val="006D43C7"/>
    <w:rPr>
      <w:rFonts w:ascii="Segoe UI" w:hAnsi="Segoe UI" w:cs="Times New Roman"/>
      <w:sz w:val="18"/>
    </w:rPr>
  </w:style>
  <w:style w:type="character" w:styleId="Hyperlink">
    <w:name w:val="Hyperlink"/>
    <w:uiPriority w:val="99"/>
    <w:unhideWhenUsed/>
    <w:rsid w:val="00FC413F"/>
    <w:rPr>
      <w:rFonts w:cs="Times New Roman"/>
      <w:color w:val="002D72"/>
      <w:u w:val="single"/>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link w:val="Quote"/>
    <w:uiPriority w:val="29"/>
    <w:locked/>
    <w:rsid w:val="00C36E40"/>
    <w:rPr>
      <w:rFonts w:ascii="Segoe UI" w:hAnsi="Segoe UI" w:cs="Times New Roman"/>
      <w:b/>
      <w:color w:val="4C5564"/>
      <w:sz w:val="20"/>
      <w:szCs w:val="20"/>
    </w:rPr>
  </w:style>
  <w:style w:type="paragraph" w:customStyle="1" w:styleId="Listparagraphbullets">
    <w:name w:val="List paragraph—bullets"/>
    <w:basedOn w:val="ListParagraph"/>
    <w:qFormat/>
    <w:rsid w:val="00B5393D"/>
    <w:rPr>
      <w:lang w:eastAsia="zh-TW"/>
    </w:rPr>
  </w:style>
  <w:style w:type="paragraph" w:styleId="ListParagraph">
    <w:name w:val="List Paragraph"/>
    <w:aliases w:val="Bullet List,FooterText,numbered,List Paragraph1,Paragraphe de liste1,列出段落,列出段落1,Bulletr List Paragraph,List Paragraph2,List Paragraph21,Parágrafo da Lista1,List Paragraph11,Listeafsnit1,Párrafo de lista1,リスト段落1,Bullet list,Listenabsatz,L"/>
    <w:basedOn w:val="Normal"/>
    <w:link w:val="ListParagraphChar"/>
    <w:uiPriority w:val="34"/>
    <w:qFormat/>
    <w:rsid w:val="00810481"/>
    <w:pPr>
      <w:numPr>
        <w:numId w:val="4"/>
      </w:numPr>
      <w:ind w:left="567" w:hanging="567"/>
      <w:contextualSpacing/>
    </w:pPr>
  </w:style>
  <w:style w:type="paragraph" w:customStyle="1" w:styleId="Tabletext">
    <w:name w:val="Table text"/>
    <w:basedOn w:val="Normal"/>
    <w:qFormat/>
    <w:rsid w:val="00217C11"/>
    <w:pPr>
      <w:spacing w:after="0"/>
    </w:pPr>
    <w:rPr>
      <w:sz w:val="20"/>
      <w:szCs w:val="20"/>
    </w:rPr>
  </w:style>
  <w:style w:type="paragraph" w:customStyle="1" w:styleId="Tablerowcolumnheading">
    <w:name w:val="Table row/column heading"/>
    <w:basedOn w:val="Normal"/>
    <w:next w:val="Normal"/>
    <w:rsid w:val="00323710"/>
    <w:pPr>
      <w:spacing w:after="0"/>
    </w:pPr>
    <w:rPr>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link w:val="FootnoteText"/>
    <w:uiPriority w:val="99"/>
    <w:locked/>
    <w:rsid w:val="00217C11"/>
    <w:rPr>
      <w:rFonts w:ascii="Segoe UI" w:hAnsi="Segoe UI" w:cs="Times New Roman"/>
      <w:sz w:val="20"/>
      <w:szCs w:val="20"/>
    </w:rPr>
  </w:style>
  <w:style w:type="character" w:styleId="FootnoteReference">
    <w:name w:val="footnote reference"/>
    <w:uiPriority w:val="99"/>
    <w:semiHidden/>
    <w:unhideWhenUsed/>
    <w:rsid w:val="00217C11"/>
    <w:rPr>
      <w:rFonts w:cs="Times New Roman"/>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rPr>
      <w:rFonts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NoSpacing">
    <w:name w:val="No Spacing"/>
    <w:uiPriority w:val="1"/>
    <w:qFormat/>
    <w:rsid w:val="00217C11"/>
    <w:rPr>
      <w:rFonts w:ascii="Segoe UI" w:hAnsi="Segoe UI" w:cs="Times New Roman"/>
      <w:sz w:val="21"/>
      <w:szCs w:val="22"/>
      <w:lang w:eastAsia="en-US"/>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rPr>
      <w:rFonts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customStyle="1" w:styleId="ListParagraphChar">
    <w:name w:val="List Paragraph Char"/>
    <w:aliases w:val="Bullet List Char,FooterText Char,numbered Char,List Paragraph1 Char,Paragraphe de liste1 Char,列出段落 Char,列出段落1 Char,Bulletr List Paragraph Char,List Paragraph2 Char,List Paragraph21 Char,Parágrafo da Lista1 Char,List Paragraph11 Char"/>
    <w:link w:val="ListParagraph"/>
    <w:uiPriority w:val="34"/>
    <w:qFormat/>
    <w:locked/>
    <w:rsid w:val="00810481"/>
    <w:rPr>
      <w:rFonts w:ascii="Segoe UI" w:hAnsi="Segoe UI" w:cs="Times New Roman"/>
      <w:sz w:val="21"/>
      <w:szCs w:val="22"/>
      <w:lang w:eastAsia="en-US"/>
    </w:rPr>
  </w:style>
  <w:style w:type="paragraph" w:styleId="ListBullet">
    <w:name w:val="List Bullet"/>
    <w:basedOn w:val="Normal"/>
    <w:uiPriority w:val="99"/>
    <w:unhideWhenUsed/>
    <w:rsid w:val="007C2333"/>
    <w:pPr>
      <w:tabs>
        <w:tab w:val="num" w:pos="360"/>
      </w:tabs>
      <w:spacing w:after="0"/>
      <w:ind w:left="360" w:hanging="360"/>
      <w:contextualSpacing/>
    </w:pPr>
    <w:rPr>
      <w:rFonts w:ascii="Times New Roman" w:hAnsi="Times New Roman"/>
      <w:sz w:val="24"/>
      <w:szCs w:val="24"/>
      <w:lang w:eastAsia="en-GB"/>
    </w:rPr>
  </w:style>
  <w:style w:type="paragraph" w:customStyle="1" w:styleId="xzvds">
    <w:name w:val="xzvds"/>
    <w:basedOn w:val="Normal"/>
    <w:rsid w:val="007C2333"/>
    <w:pPr>
      <w:spacing w:before="100" w:beforeAutospacing="1" w:after="100" w:afterAutospacing="1"/>
    </w:pPr>
    <w:rPr>
      <w:rFonts w:ascii="Times New Roman" w:hAnsi="Times New Roman"/>
      <w:sz w:val="24"/>
      <w:szCs w:val="24"/>
      <w:lang w:eastAsia="en-GB"/>
    </w:rPr>
  </w:style>
  <w:style w:type="character" w:customStyle="1" w:styleId="vkif2">
    <w:name w:val="vkif2"/>
    <w:rsid w:val="007C2333"/>
    <w:rPr>
      <w:rFonts w:cs="Times New Roman"/>
    </w:rPr>
  </w:style>
  <w:style w:type="character" w:customStyle="1" w:styleId="apple-converted-space">
    <w:name w:val="apple-converted-space"/>
    <w:rsid w:val="007C2333"/>
    <w:rPr>
      <w:rFonts w:cs="Times New Roman"/>
    </w:rPr>
  </w:style>
  <w:style w:type="paragraph" w:styleId="NormalWeb">
    <w:name w:val="Normal (Web)"/>
    <w:basedOn w:val="Normal"/>
    <w:uiPriority w:val="99"/>
    <w:semiHidden/>
    <w:unhideWhenUsed/>
    <w:rsid w:val="00576F87"/>
    <w:rPr>
      <w:rFonts w:ascii="Times New Roman" w:hAnsi="Times New Roman"/>
      <w:sz w:val="24"/>
      <w:szCs w:val="24"/>
    </w:rPr>
  </w:style>
  <w:style w:type="character" w:styleId="CommentReference">
    <w:name w:val="annotation reference"/>
    <w:uiPriority w:val="99"/>
    <w:semiHidden/>
    <w:unhideWhenUsed/>
    <w:rsid w:val="00F1099D"/>
    <w:rPr>
      <w:rFonts w:cs="Times New Roman"/>
      <w:sz w:val="16"/>
      <w:szCs w:val="16"/>
    </w:rPr>
  </w:style>
  <w:style w:type="paragraph" w:styleId="CommentText">
    <w:name w:val="annotation text"/>
    <w:basedOn w:val="Normal"/>
    <w:link w:val="CommentTextChar"/>
    <w:uiPriority w:val="99"/>
    <w:semiHidden/>
    <w:unhideWhenUsed/>
    <w:rsid w:val="00F1099D"/>
    <w:rPr>
      <w:sz w:val="20"/>
      <w:szCs w:val="20"/>
    </w:rPr>
  </w:style>
  <w:style w:type="character" w:customStyle="1" w:styleId="CommentTextChar">
    <w:name w:val="Comment Text Char"/>
    <w:link w:val="CommentText"/>
    <w:uiPriority w:val="99"/>
    <w:semiHidden/>
    <w:locked/>
    <w:rsid w:val="00F1099D"/>
    <w:rPr>
      <w:rFonts w:ascii="Segoe UI"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F1099D"/>
    <w:rPr>
      <w:b/>
      <w:bCs/>
    </w:rPr>
  </w:style>
  <w:style w:type="character" w:customStyle="1" w:styleId="CommentSubjectChar">
    <w:name w:val="Comment Subject Char"/>
    <w:link w:val="CommentSubject"/>
    <w:uiPriority w:val="99"/>
    <w:semiHidden/>
    <w:locked/>
    <w:rsid w:val="00F1099D"/>
    <w:rPr>
      <w:rFonts w:ascii="Segoe UI" w:hAnsi="Segoe UI" w:cs="Times New Roman"/>
      <w:b/>
      <w:bCs/>
      <w:sz w:val="20"/>
      <w:szCs w:val="20"/>
    </w:rPr>
  </w:style>
  <w:style w:type="paragraph" w:styleId="BalloonText">
    <w:name w:val="Balloon Text"/>
    <w:basedOn w:val="Normal"/>
    <w:link w:val="BalloonTextChar"/>
    <w:uiPriority w:val="99"/>
    <w:semiHidden/>
    <w:unhideWhenUsed/>
    <w:rsid w:val="00F1099D"/>
    <w:pPr>
      <w:spacing w:after="0"/>
    </w:pPr>
    <w:rPr>
      <w:rFonts w:cs="Segoe UI"/>
      <w:sz w:val="18"/>
      <w:szCs w:val="18"/>
    </w:rPr>
  </w:style>
  <w:style w:type="character" w:customStyle="1" w:styleId="BalloonTextChar">
    <w:name w:val="Balloon Text Char"/>
    <w:link w:val="BalloonText"/>
    <w:uiPriority w:val="99"/>
    <w:semiHidden/>
    <w:locked/>
    <w:rsid w:val="00F1099D"/>
    <w:rPr>
      <w:rFonts w:ascii="Segoe UI" w:hAnsi="Segoe UI" w:cs="Segoe UI"/>
      <w:sz w:val="18"/>
      <w:szCs w:val="18"/>
    </w:rPr>
  </w:style>
  <w:style w:type="table" w:styleId="MediumList2-Accent1">
    <w:name w:val="Medium List 2 Accent 1"/>
    <w:basedOn w:val="TableNormal"/>
    <w:uiPriority w:val="66"/>
    <w:rsid w:val="00F6344A"/>
    <w:rPr>
      <w:rFonts w:ascii="Calibri Light" w:hAnsi="Calibri Light" w:cs="Times New Roman"/>
      <w:color w:val="00000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Table6Colorful-Accent6">
    <w:name w:val="List Table 6 Colorful Accent 6"/>
    <w:basedOn w:val="TableNormal"/>
    <w:uiPriority w:val="51"/>
    <w:rsid w:val="00F6344A"/>
    <w:rPr>
      <w:rFonts w:cs="Times New Roman"/>
      <w:color w:val="538135"/>
    </w:rPr>
    <w:tblPr>
      <w:tblStyleRowBandSize w:val="1"/>
      <w:tblStyleColBandSize w:val="1"/>
      <w:tblBorders>
        <w:top w:val="single" w:sz="4" w:space="0" w:color="70AD47"/>
        <w:bottom w:val="single" w:sz="4" w:space="0" w:color="70AD47"/>
      </w:tblBorders>
    </w:tblPr>
    <w:tblStylePr w:type="firstRow">
      <w:rPr>
        <w:rFonts w:cs="Times New Roman"/>
        <w:b/>
        <w:bCs/>
      </w:rPr>
      <w:tblPr/>
      <w:tcPr>
        <w:tcBorders>
          <w:bottom w:val="single" w:sz="4" w:space="0" w:color="70AD47"/>
        </w:tcBorders>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ListTable7Colorful-Accent5">
    <w:name w:val="List Table 7 Colorful Accent 5"/>
    <w:basedOn w:val="TableNormal"/>
    <w:uiPriority w:val="52"/>
    <w:rsid w:val="000369D8"/>
    <w:rPr>
      <w:rFonts w:cs="Times New Roman"/>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customStyle="1" w:styleId="UnresolvedMention">
    <w:name w:val="Unresolved Mention"/>
    <w:uiPriority w:val="99"/>
    <w:semiHidden/>
    <w:unhideWhenUsed/>
    <w:rsid w:val="00D63241"/>
    <w:rPr>
      <w:color w:val="605E5C"/>
      <w:shd w:val="clear" w:color="auto" w:fill="E1DFDD"/>
    </w:rPr>
  </w:style>
  <w:style w:type="table" w:styleId="GridTable4-Accent1">
    <w:name w:val="Grid Table 4 Accent 1"/>
    <w:basedOn w:val="TableNormal"/>
    <w:uiPriority w:val="49"/>
    <w:rsid w:val="00661A2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07692">
      <w:bodyDiv w:val="1"/>
      <w:marLeft w:val="0"/>
      <w:marRight w:val="0"/>
      <w:marTop w:val="0"/>
      <w:marBottom w:val="0"/>
      <w:divBdr>
        <w:top w:val="none" w:sz="0" w:space="0" w:color="auto"/>
        <w:left w:val="none" w:sz="0" w:space="0" w:color="auto"/>
        <w:bottom w:val="none" w:sz="0" w:space="0" w:color="auto"/>
        <w:right w:val="none" w:sz="0" w:space="0" w:color="auto"/>
      </w:divBdr>
    </w:div>
    <w:div w:id="488405134">
      <w:bodyDiv w:val="1"/>
      <w:marLeft w:val="0"/>
      <w:marRight w:val="0"/>
      <w:marTop w:val="0"/>
      <w:marBottom w:val="0"/>
      <w:divBdr>
        <w:top w:val="none" w:sz="0" w:space="0" w:color="auto"/>
        <w:left w:val="none" w:sz="0" w:space="0" w:color="auto"/>
        <w:bottom w:val="none" w:sz="0" w:space="0" w:color="auto"/>
        <w:right w:val="none" w:sz="0" w:space="0" w:color="auto"/>
      </w:divBdr>
    </w:div>
    <w:div w:id="961619087">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8DD945F631E4EAD6B02B667962B55" ma:contentTypeVersion="0" ma:contentTypeDescription="Create a new document." ma:contentTypeScope="" ma:versionID="7b09ed7f38914f25db1c3d7fc489a2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C6F4-762C-4CD3-84B4-96CA906E50C8}">
  <ds:schemaRefs>
    <ds:schemaRef ds:uri="http://schemas.microsoft.com/sharepoint/v3/contenttype/forms"/>
  </ds:schemaRefs>
</ds:datastoreItem>
</file>

<file path=customXml/itemProps2.xml><?xml version="1.0" encoding="utf-8"?>
<ds:datastoreItem xmlns:ds="http://schemas.openxmlformats.org/officeDocument/2006/customXml" ds:itemID="{766ABD48-595D-44D4-9549-41C5FB27DE0A}">
  <ds:schemaRefs>
    <ds:schemaRef ds:uri="http://schemas.microsoft.com/office/2006/metadata/longProperties"/>
  </ds:schemaRefs>
</ds:datastoreItem>
</file>

<file path=customXml/itemProps3.xml><?xml version="1.0" encoding="utf-8"?>
<ds:datastoreItem xmlns:ds="http://schemas.openxmlformats.org/officeDocument/2006/customXml" ds:itemID="{7E396DE5-3B00-4348-A347-0340A7535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C48285-9440-426D-B38C-E4161FC634AB}">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D3B6546-B896-4105-961B-35CE53E0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951</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CIEWG Terms of Reference.docx</vt:lpstr>
    </vt:vector>
  </TitlesOfParts>
  <Company>Australian Broadband Advisory Council</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Industry Expert Working Group Terms of Reference</dc:title>
  <dc:subject/>
  <dc:creator>Australian Broadband Advisory Council</dc:creator>
  <cp:keywords/>
  <dc:description>17 December 2020</dc:description>
  <cp:lastModifiedBy>Hall, Theresa</cp:lastModifiedBy>
  <cp:revision>3</cp:revision>
  <dcterms:created xsi:type="dcterms:W3CDTF">2022-02-24T21:39:00Z</dcterms:created>
  <dcterms:modified xsi:type="dcterms:W3CDTF">2022-03-02T05:34:00Z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0x0101001F98DD945F631E4EAD6B02B667962B55</vt:lpwstr>
  </property>
  <property fmtid="{D5CDD505-2E9C-101B-9397-08002B2CF9AE}" pid="3" name="TrimRevisionNumber">
    <vt:lpwstr>1</vt:lpwstr>
  </property>
</Properties>
</file>