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26E1F" w14:textId="77777777" w:rsidR="008456D5" w:rsidRDefault="007A05BE" w:rsidP="00F26172">
      <w:pPr>
        <w:spacing w:before="0" w:after="760"/>
      </w:pPr>
      <w:r>
        <w:rPr>
          <w:noProof/>
          <w:lang w:eastAsia="en-AU"/>
        </w:rPr>
        <w:drawing>
          <wp:inline distT="0" distB="0" distL="0" distR="0" wp14:anchorId="2056571C" wp14:editId="2B587E8D">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7CFBB598" wp14:editId="5F728845">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47E2A93D" wp14:editId="5D8371C2">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2F77E04"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2BAA48BB" w14:textId="77777777" w:rsidR="00DF7ADB" w:rsidRDefault="00BF331F" w:rsidP="00DF7ADB">
      <w:pPr>
        <w:pStyle w:val="Subtitle"/>
      </w:pPr>
      <w:r w:rsidRPr="0069456D">
        <w:t>Stage 2 Reforms of the Disability Standards for Accessible Public Transport 2002</w:t>
      </w:r>
    </w:p>
    <w:p w14:paraId="3EB4E947"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16B00F33" wp14:editId="68F8EC4D">
            <wp:simplePos x="0" y="0"/>
            <wp:positionH relativeFrom="column">
              <wp:posOffset>-34925</wp:posOffset>
            </wp:positionH>
            <wp:positionV relativeFrom="page">
              <wp:posOffset>2518410</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14:paraId="3D661D3D" w14:textId="77777777" w:rsidR="007A0008" w:rsidRPr="00BE3AD8" w:rsidRDefault="00DB09A7" w:rsidP="00A65874">
          <w:pPr>
            <w:pStyle w:val="Title"/>
          </w:pPr>
          <w:r w:rsidRPr="00DB09A7">
            <w:t>Infrastructure access paths: Continuous accessibility on access paths</w:t>
          </w:r>
        </w:p>
      </w:sdtContent>
    </w:sdt>
    <w:p w14:paraId="117C7BD7" w14:textId="441F7664" w:rsidR="000F4F26" w:rsidRPr="00C41F2E" w:rsidRDefault="00C41F2E" w:rsidP="00DB09A7">
      <w:pPr>
        <w:pStyle w:val="Introduction"/>
        <w:rPr>
          <w:color w:val="auto"/>
        </w:rPr>
      </w:pPr>
      <w:r w:rsidRPr="000E797D">
        <w:rPr>
          <w:color w:val="auto"/>
        </w:rPr>
        <w:t xml:space="preserve">The requirements for continuous accessibility </w:t>
      </w:r>
      <w:r w:rsidR="00D4521B">
        <w:rPr>
          <w:color w:val="auto"/>
          <w:lang w:val="en-US"/>
        </w:rPr>
        <w:t xml:space="preserve">in the Transport Standards </w:t>
      </w:r>
      <w:r w:rsidRPr="000E797D">
        <w:rPr>
          <w:color w:val="auto"/>
        </w:rPr>
        <w:t xml:space="preserve">reference a dated </w:t>
      </w:r>
      <w:r w:rsidR="00D4521B">
        <w:rPr>
          <w:color w:val="auto"/>
          <w:lang w:val="en-US"/>
        </w:rPr>
        <w:t>Australian S</w:t>
      </w:r>
      <w:proofErr w:type="spellStart"/>
      <w:r w:rsidRPr="000E797D">
        <w:rPr>
          <w:color w:val="auto"/>
        </w:rPr>
        <w:t>tandard</w:t>
      </w:r>
      <w:proofErr w:type="spellEnd"/>
      <w:r w:rsidRPr="000E797D">
        <w:rPr>
          <w:color w:val="auto"/>
        </w:rPr>
        <w:t xml:space="preserve">, and are not aligned with the Premises Standards. </w:t>
      </w:r>
      <w:r w:rsidR="00464218">
        <w:rPr>
          <w:color w:val="auto"/>
          <w:lang w:val="en-US"/>
        </w:rPr>
        <w:t xml:space="preserve">As a result, operators may face difficulty negotiating outcomes that satisfy both the Transport Standards and the Premises Standards. </w:t>
      </w:r>
      <w:r w:rsidRPr="000E797D">
        <w:rPr>
          <w:color w:val="auto"/>
        </w:rPr>
        <w:t>There is an opportunity to provide standalone requirements for continuous accessibility on access paths that are more closely aligned with the Premises Standards, whilst maintaining the rights of people with disability</w:t>
      </w:r>
      <w:r w:rsidR="00DB09A7" w:rsidRPr="00C41F2E">
        <w:rPr>
          <w:color w:val="auto"/>
        </w:rPr>
        <w:t>.</w:t>
      </w:r>
    </w:p>
    <w:p w14:paraId="6FA78FF0" w14:textId="77777777" w:rsidR="000F4F26" w:rsidRDefault="000F4F26" w:rsidP="000F4F26">
      <w:pPr>
        <w:pStyle w:val="Heading2"/>
      </w:pPr>
      <w:r>
        <w:t>Reform options</w:t>
      </w:r>
    </w:p>
    <w:p w14:paraId="0A49EA2B" w14:textId="77777777" w:rsidR="000F4F26" w:rsidRDefault="000F4F26" w:rsidP="000F4F26">
      <w:pPr>
        <w:pStyle w:val="Heading3"/>
      </w:pPr>
      <w:r>
        <w:t>Maintain current requirements in the Transport Standards</w:t>
      </w:r>
    </w:p>
    <w:p w14:paraId="50A93063" w14:textId="77777777" w:rsidR="00DB09A7" w:rsidRPr="002A7AC6" w:rsidRDefault="00DB09A7" w:rsidP="00DB09A7">
      <w:r>
        <w:t>Transport Standards</w:t>
      </w:r>
      <w:r w:rsidRPr="002A7AC6">
        <w:t xml:space="preserve"> Section 2.2 </w:t>
      </w:r>
      <w:r w:rsidRPr="000E797D">
        <w:rPr>
          <w:i/>
        </w:rPr>
        <w:t>Continuous accessibility</w:t>
      </w:r>
      <w:r w:rsidRPr="002A7AC6">
        <w:t xml:space="preserve">, of the </w:t>
      </w:r>
      <w:r>
        <w:t>Transport Standards</w:t>
      </w:r>
      <w:r w:rsidRPr="002A7AC6">
        <w:t xml:space="preserve"> would remain unchanged and no new guidance would be issued. </w:t>
      </w:r>
    </w:p>
    <w:p w14:paraId="05B22BB9" w14:textId="77777777" w:rsidR="000F4F26" w:rsidRDefault="000F4F26" w:rsidP="000F4F26">
      <w:pPr>
        <w:pStyle w:val="Heading3"/>
      </w:pPr>
      <w:r>
        <w:t>Non-regulatory option</w:t>
      </w:r>
    </w:p>
    <w:p w14:paraId="1F43FEF3" w14:textId="5831FAA0" w:rsidR="00DB09A7" w:rsidRPr="002A7AC6" w:rsidRDefault="00D4521B" w:rsidP="00DB09A7">
      <w:r>
        <w:t>Guidance</w:t>
      </w:r>
      <w:r w:rsidR="00DB09A7" w:rsidRPr="002A7AC6">
        <w:t xml:space="preserve"> would be updated to include advice on continuous accessibility to encourage the maintenance of continuous accessibility to and within public transport nodes. </w:t>
      </w:r>
      <w:r w:rsidR="00DB09A7">
        <w:t>G</w:t>
      </w:r>
      <w:r w:rsidR="00DB09A7" w:rsidRPr="002A7AC6">
        <w:t xml:space="preserve">uidance </w:t>
      </w:r>
      <w:r w:rsidR="00DB09A7">
        <w:t>may</w:t>
      </w:r>
      <w:r w:rsidR="00DB09A7" w:rsidRPr="002A7AC6">
        <w:t xml:space="preserve"> be based on Section DP1 of the Premises Standard</w:t>
      </w:r>
      <w:r w:rsidR="00DB09A7">
        <w:t>s.</w:t>
      </w:r>
    </w:p>
    <w:p w14:paraId="06B09ADE" w14:textId="77777777" w:rsidR="00DB09A7" w:rsidRDefault="00DB09A7" w:rsidP="00DB09A7">
      <w:r w:rsidRPr="002A7AC6">
        <w:t>Specific guidance may include:</w:t>
      </w:r>
    </w:p>
    <w:p w14:paraId="4031EB8C" w14:textId="10DBF02A" w:rsidR="00DB09A7" w:rsidRPr="00DB09A7" w:rsidRDefault="00DB09A7" w:rsidP="00DB09A7">
      <w:pPr>
        <w:pStyle w:val="Bullet1"/>
      </w:pPr>
      <w:r>
        <w:rPr>
          <w:lang w:val="en-US"/>
        </w:rPr>
        <w:t>Where</w:t>
      </w:r>
      <w:r w:rsidR="003E1B7B">
        <w:rPr>
          <w:lang w:val="en-US"/>
        </w:rPr>
        <w:t xml:space="preserve"> access paths should be provided, such as between transport nodes</w:t>
      </w:r>
    </w:p>
    <w:p w14:paraId="56263CD7" w14:textId="77777777" w:rsidR="00DB09A7" w:rsidRPr="00DB09A7" w:rsidRDefault="00DB09A7" w:rsidP="00DB09A7">
      <w:pPr>
        <w:pStyle w:val="Bullet1"/>
      </w:pPr>
      <w:r>
        <w:rPr>
          <w:lang w:val="en-US"/>
        </w:rPr>
        <w:t xml:space="preserve">Access path design </w:t>
      </w:r>
    </w:p>
    <w:p w14:paraId="13F8DBED" w14:textId="77777777" w:rsidR="00DB09A7" w:rsidRPr="00714155" w:rsidRDefault="00DB09A7" w:rsidP="00DB09A7">
      <w:pPr>
        <w:pStyle w:val="Bullet1"/>
      </w:pPr>
      <w:r>
        <w:rPr>
          <w:lang w:val="en-US"/>
        </w:rPr>
        <w:t xml:space="preserve">Who is responsible for access paths </w:t>
      </w:r>
    </w:p>
    <w:p w14:paraId="4D19C214" w14:textId="77777777" w:rsidR="00714155" w:rsidRPr="00DB09A7" w:rsidRDefault="00714155" w:rsidP="00DB09A7">
      <w:pPr>
        <w:pStyle w:val="Bullet1"/>
      </w:pPr>
      <w:r>
        <w:rPr>
          <w:lang w:val="en-US"/>
        </w:rPr>
        <w:t xml:space="preserve">Easy identification of access paths </w:t>
      </w:r>
    </w:p>
    <w:p w14:paraId="762713F4" w14:textId="19628D90" w:rsidR="00D4521B" w:rsidRPr="000E797D" w:rsidRDefault="00DB09A7" w:rsidP="00DB09A7">
      <w:pPr>
        <w:pStyle w:val="Bullet1"/>
        <w:rPr>
          <w:i/>
        </w:rPr>
      </w:pPr>
      <w:r>
        <w:rPr>
          <w:lang w:val="en-US"/>
        </w:rPr>
        <w:t>Operators and providers can refer to the Australian Human rights C</w:t>
      </w:r>
      <w:r w:rsidR="00714155">
        <w:rPr>
          <w:lang w:val="en-US"/>
        </w:rPr>
        <w:t>ommission</w:t>
      </w:r>
      <w:r>
        <w:rPr>
          <w:lang w:val="en-US"/>
        </w:rPr>
        <w:t xml:space="preserve">’s Advisory Note on </w:t>
      </w:r>
      <w:r w:rsidRPr="000E797D">
        <w:rPr>
          <w:i/>
          <w:lang w:val="en-US"/>
        </w:rPr>
        <w:t xml:space="preserve">streetscape, public outdoor areas, fixtures, fittings and </w:t>
      </w:r>
      <w:r w:rsidRPr="000E797D">
        <w:rPr>
          <w:i/>
          <w:iCs/>
        </w:rPr>
        <w:t>furniture</w:t>
      </w:r>
      <w:r w:rsidRPr="000E797D">
        <w:rPr>
          <w:i/>
          <w:iCs/>
          <w:vertAlign w:val="superscript"/>
        </w:rPr>
        <w:footnoteReference w:id="1"/>
      </w:r>
    </w:p>
    <w:p w14:paraId="14D82BDB" w14:textId="44182A7E" w:rsidR="00DB09A7" w:rsidRPr="002A7AC6" w:rsidRDefault="00D4521B" w:rsidP="000E797D">
      <w:r w:rsidRPr="00D4521B">
        <w:lastRenderedPageBreak/>
        <w:t>The advisory text would pertain to premises (except premises to which the Premises Standards apply), and infrastructure (except airports that do not accept regular public transport services).</w:t>
      </w:r>
    </w:p>
    <w:p w14:paraId="44172861" w14:textId="77777777" w:rsidR="000F4F26" w:rsidRDefault="000F4F26" w:rsidP="000F4F26">
      <w:pPr>
        <w:pStyle w:val="Heading3"/>
      </w:pPr>
      <w:r>
        <w:t>Regulatory option</w:t>
      </w:r>
    </w:p>
    <w:p w14:paraId="4774F771" w14:textId="77777777" w:rsidR="00714155" w:rsidRPr="002A7AC6" w:rsidRDefault="00714155" w:rsidP="00714155">
      <w:r>
        <w:t xml:space="preserve">Transport Standards Section 2.2 </w:t>
      </w:r>
      <w:r w:rsidRPr="007F4FF7">
        <w:t xml:space="preserve">would be amended to include the following (including any requirements retained </w:t>
      </w:r>
      <w:r>
        <w:t>or amended from the status quo)</w:t>
      </w:r>
      <w:r w:rsidRPr="002A7AC6">
        <w:t>:</w:t>
      </w:r>
    </w:p>
    <w:p w14:paraId="6D457A99" w14:textId="77777777" w:rsidR="00714155" w:rsidRPr="002A7AC6" w:rsidRDefault="00714155" w:rsidP="000E797D">
      <w:pPr>
        <w:pStyle w:val="Bullet1"/>
      </w:pPr>
      <w:r w:rsidRPr="002A7AC6">
        <w:t>Access paths must be provided to enable passengers to:</w:t>
      </w:r>
    </w:p>
    <w:p w14:paraId="1D7D238A" w14:textId="77777777" w:rsidR="00714155" w:rsidRPr="002A7AC6" w:rsidRDefault="00714155" w:rsidP="000E797D">
      <w:pPr>
        <w:pStyle w:val="Bullet2"/>
      </w:pPr>
      <w:r w:rsidRPr="002A7AC6">
        <w:t>Approach the premises or infrastructure from any accessible car parking spaces associated with the premises or infrastructure.</w:t>
      </w:r>
    </w:p>
    <w:p w14:paraId="64C92498" w14:textId="77777777" w:rsidR="00714155" w:rsidRPr="002A7AC6" w:rsidRDefault="00714155" w:rsidP="000E797D">
      <w:pPr>
        <w:pStyle w:val="Bullet2"/>
      </w:pPr>
      <w:r w:rsidRPr="002A7AC6">
        <w:t>Enter the premises or infrastructure from adjoining public streets or walkways, and from associated public transport premises or infrastructure.</w:t>
      </w:r>
    </w:p>
    <w:p w14:paraId="138DD5A8" w14:textId="77777777" w:rsidR="00714155" w:rsidRPr="002A7AC6" w:rsidRDefault="00714155" w:rsidP="000E797D">
      <w:pPr>
        <w:pStyle w:val="Bullet2"/>
      </w:pPr>
      <w:r w:rsidRPr="002A7AC6">
        <w:t>Enter the premises or infrastructure from any connected premises or infrastructure.</w:t>
      </w:r>
    </w:p>
    <w:p w14:paraId="434A39DD" w14:textId="77777777" w:rsidR="00714155" w:rsidRPr="002A7AC6" w:rsidRDefault="00714155" w:rsidP="000E797D">
      <w:pPr>
        <w:pStyle w:val="Bullet2"/>
      </w:pPr>
      <w:r w:rsidRPr="002A7AC6">
        <w:t>Access public spaces and accessible facilities within the premises or infrastructure.</w:t>
      </w:r>
    </w:p>
    <w:p w14:paraId="119AB718" w14:textId="77777777" w:rsidR="00714155" w:rsidRPr="002A7AC6" w:rsidRDefault="00714155" w:rsidP="000E797D">
      <w:pPr>
        <w:pStyle w:val="Bullet1"/>
      </w:pPr>
      <w:r w:rsidRPr="002A7AC6">
        <w:t>Access paths must:</w:t>
      </w:r>
    </w:p>
    <w:p w14:paraId="776EC518" w14:textId="77777777" w:rsidR="00714155" w:rsidRPr="002A7AC6" w:rsidRDefault="00714155" w:rsidP="000E797D">
      <w:pPr>
        <w:pStyle w:val="Bullet2"/>
      </w:pPr>
      <w:r w:rsidRPr="002A7AC6">
        <w:t>Be designed to enable identification of access paths at appropriate locations which are easy to find.</w:t>
      </w:r>
    </w:p>
    <w:p w14:paraId="6F8C1E74" w14:textId="77777777" w:rsidR="00714155" w:rsidRPr="00E6143D" w:rsidRDefault="00714155" w:rsidP="000E797D">
      <w:pPr>
        <w:pStyle w:val="Bullet2"/>
      </w:pPr>
      <w:r w:rsidRPr="002A7AC6">
        <w:t>Comply with AS1428.2 (</w:t>
      </w:r>
      <w:r w:rsidRPr="0039756D">
        <w:t>1992) Clause 7(e)</w:t>
      </w:r>
    </w:p>
    <w:p w14:paraId="60D929B7" w14:textId="77777777" w:rsidR="00714155" w:rsidRPr="002A7AC6" w:rsidRDefault="00714155" w:rsidP="00714155">
      <w:pPr>
        <w:rPr>
          <w:rFonts w:cstheme="minorHAnsi"/>
        </w:rPr>
      </w:pPr>
      <w:r w:rsidRPr="002A7AC6">
        <w:t xml:space="preserve">These requirements would apply to premises (except premises to which the Premises Standards apply) and infrastructure (except airports that do not accept regular public transport services). </w:t>
      </w:r>
    </w:p>
    <w:p w14:paraId="062231EB" w14:textId="77777777" w:rsidR="00714155" w:rsidRPr="002A7AC6" w:rsidRDefault="00714155" w:rsidP="00714155">
      <w:r w:rsidRPr="002A7AC6">
        <w:t xml:space="preserve">The </w:t>
      </w:r>
      <w:r>
        <w:t>Transport Standards</w:t>
      </w:r>
      <w:r w:rsidRPr="002A7AC6">
        <w:t xml:space="preserve"> Guidelines and / The Whole Journey Guide would be updated to reflect the new requirements.</w:t>
      </w:r>
    </w:p>
    <w:p w14:paraId="49B147AF" w14:textId="77777777" w:rsidR="000F4F26" w:rsidRDefault="000F4F26" w:rsidP="000F4F26">
      <w:pPr>
        <w:pStyle w:val="Heading2"/>
      </w:pPr>
      <w:r>
        <w:t>Have your say</w:t>
      </w:r>
    </w:p>
    <w:p w14:paraId="3117F0FF" w14:textId="72652620" w:rsidR="000F4F26" w:rsidRDefault="000F4F26" w:rsidP="000F4F26">
      <w:r>
        <w:t xml:space="preserve">Public consultation on the Stage 2 reform of the Transport Standards will open from </w:t>
      </w:r>
      <w:r w:rsidR="00C41F2E">
        <w:t xml:space="preserve">15 March </w:t>
      </w:r>
      <w:r>
        <w:t xml:space="preserve">to </w:t>
      </w:r>
      <w:r w:rsidR="00C41F2E">
        <w:t xml:space="preserve">9 August </w:t>
      </w:r>
      <w:r>
        <w:t xml:space="preserve">2022. </w:t>
      </w:r>
    </w:p>
    <w:p w14:paraId="7E853A1A" w14:textId="77777777" w:rsidR="000F4F26" w:rsidRDefault="000F4F26" w:rsidP="000F4F26">
      <w:r>
        <w:t>For further information:</w:t>
      </w:r>
    </w:p>
    <w:p w14:paraId="581304FC" w14:textId="00E310AA"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14:paraId="6CB31607" w14:textId="77777777" w:rsidR="000F4F26" w:rsidRDefault="000F4F26" w:rsidP="000F4F26">
      <w:pPr>
        <w:pStyle w:val="Bullet1"/>
        <w:numPr>
          <w:ilvl w:val="0"/>
          <w:numId w:val="26"/>
        </w:numPr>
      </w:pPr>
      <w:r>
        <w:rPr>
          <w:b/>
          <w:lang w:val="en-US"/>
        </w:rPr>
        <w:t>Call:</w:t>
      </w:r>
      <w:r>
        <w:rPr>
          <w:lang w:val="en-US"/>
        </w:rPr>
        <w:t xml:space="preserve"> 1800 621 372</w:t>
      </w:r>
    </w:p>
    <w:p w14:paraId="2D610C9F" w14:textId="2202EB8D" w:rsidR="000F4F26" w:rsidRPr="000525CD" w:rsidRDefault="000F4F26" w:rsidP="000F4F26">
      <w:pPr>
        <w:pStyle w:val="Bullet1"/>
        <w:numPr>
          <w:ilvl w:val="0"/>
          <w:numId w:val="26"/>
        </w:numPr>
      </w:pPr>
      <w:r>
        <w:rPr>
          <w:b/>
          <w:lang w:val="en-US"/>
        </w:rPr>
        <w:t>Email:</w:t>
      </w:r>
      <w:r>
        <w:rPr>
          <w:lang w:val="en-US"/>
        </w:rPr>
        <w:t xml:space="preserve"> </w:t>
      </w:r>
      <w:hyperlink r:id="rId20" w:history="1">
        <w:r w:rsidR="000525CD" w:rsidRPr="00311E39">
          <w:rPr>
            <w:rStyle w:val="Hyperlink"/>
            <w:lang w:val="en-US"/>
          </w:rPr>
          <w:t>DisabilityTransport@infrastructure.gov.au</w:t>
        </w:r>
      </w:hyperlink>
      <w:r>
        <w:rPr>
          <w:lang w:val="en-US"/>
        </w:rPr>
        <w:t xml:space="preserve"> </w:t>
      </w:r>
    </w:p>
    <w:p w14:paraId="46BDFC79" w14:textId="651356FD" w:rsidR="000525CD" w:rsidRDefault="000525CD" w:rsidP="000F4F2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ttps://edm.infrastructure.gov.au/survey.php?sid=28667&amp;name=continuous-accessibility-on-access-paths</w:t>
        </w:r>
      </w:hyperlink>
      <w:bookmarkStart w:id="0" w:name="_GoBack"/>
      <w:bookmarkEnd w:id="0"/>
    </w:p>
    <w:p w14:paraId="7F2DEFD2"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DEBE" w14:textId="77777777" w:rsidR="00BD126B" w:rsidRDefault="00BD126B" w:rsidP="008456D5">
      <w:pPr>
        <w:spacing w:before="0" w:after="0"/>
      </w:pPr>
      <w:r>
        <w:separator/>
      </w:r>
    </w:p>
  </w:endnote>
  <w:endnote w:type="continuationSeparator" w:id="0">
    <w:p w14:paraId="69BB91C9" w14:textId="77777777"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FA31"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6830979" wp14:editId="3C0F1EA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69ACE7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30979"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169ACE7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2B16DEC1" wp14:editId="276C6AE8">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0B64FF0" w14:textId="77777777" w:rsidR="009A2D48" w:rsidRDefault="00DB09A7" w:rsidP="009A2D48">
                              <w:pPr>
                                <w:pStyle w:val="Footer"/>
                              </w:pPr>
                              <w:r>
                                <w:t>Infrastructure access paths: Continuous accessibility on access paths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6DEC1"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0B64FF0" w14:textId="77777777" w:rsidR="009A2D48" w:rsidRDefault="00DB09A7" w:rsidP="009A2D48">
                        <w:pPr>
                          <w:pStyle w:val="Footer"/>
                        </w:pPr>
                        <w:r>
                          <w:t>Infrastructure access paths: Continuous accessibility on access paths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54E0320" wp14:editId="1CDAA8FC">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B64E"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B919488" wp14:editId="6AFBD5BC">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D72F555" w14:textId="25D65B5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51427">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9488"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6D72F555" w14:textId="25D65B5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51427">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A436D34" wp14:editId="67C150E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D1CAEA6" w14:textId="77777777" w:rsidR="007A05BE" w:rsidRDefault="00DB09A7" w:rsidP="007A05BE">
                              <w:pPr>
                                <w:pStyle w:val="Footer"/>
                                <w:jc w:val="right"/>
                              </w:pPr>
                              <w:r>
                                <w:t>Infrastructure access paths: Continuous accessibility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6D3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D1CAEA6" w14:textId="77777777" w:rsidR="007A05BE" w:rsidRDefault="00DB09A7" w:rsidP="007A05BE">
                        <w:pPr>
                          <w:pStyle w:val="Footer"/>
                          <w:jc w:val="right"/>
                        </w:pPr>
                        <w:r>
                          <w:t>Infrastructure access paths: Continuous accessibility on access paths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49DF7F" wp14:editId="730FF7B4">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C99B"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193DA0F0" wp14:editId="6C53E124">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68F106A1" wp14:editId="019845B4">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F0C62B2" w14:textId="3F59A066"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51427">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06A1"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2F0C62B2" w14:textId="3F59A066"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51427">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49B6BD7E" wp14:editId="02905FF9">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0896D5" w14:textId="77777777" w:rsidR="00D02062" w:rsidRDefault="00DB09A7" w:rsidP="00D02062">
                              <w:pPr>
                                <w:pStyle w:val="Footer"/>
                                <w:jc w:val="right"/>
                              </w:pPr>
                              <w:r>
                                <w:t>Infrastructure access paths: Continuous accessibility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6BD7E"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0896D5" w14:textId="77777777" w:rsidR="00D02062" w:rsidRDefault="00DB09A7" w:rsidP="00D02062">
                        <w:pPr>
                          <w:pStyle w:val="Footer"/>
                          <w:jc w:val="right"/>
                        </w:pPr>
                        <w:r>
                          <w:t>Infrastructure access paths: Continuous accessibility on access paths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F3E93" w14:textId="77777777" w:rsidR="00BD126B" w:rsidRPr="005912BE" w:rsidRDefault="00BD126B" w:rsidP="005912BE">
      <w:pPr>
        <w:spacing w:before="300"/>
        <w:rPr>
          <w:color w:val="008089" w:themeColor="accent2"/>
        </w:rPr>
      </w:pPr>
      <w:r>
        <w:rPr>
          <w:color w:val="008089" w:themeColor="accent2"/>
        </w:rPr>
        <w:t>----------</w:t>
      </w:r>
    </w:p>
  </w:footnote>
  <w:footnote w:type="continuationSeparator" w:id="0">
    <w:p w14:paraId="5F7DE67E" w14:textId="77777777" w:rsidR="00BD126B" w:rsidRDefault="00BD126B" w:rsidP="008456D5">
      <w:pPr>
        <w:spacing w:before="0" w:after="0"/>
      </w:pPr>
      <w:r>
        <w:continuationSeparator/>
      </w:r>
    </w:p>
  </w:footnote>
  <w:footnote w:id="1">
    <w:p w14:paraId="77BE8030" w14:textId="31FD1A4A" w:rsidR="00DB09A7" w:rsidRPr="00A91FFE" w:rsidRDefault="00DB09A7" w:rsidP="00DB09A7">
      <w:pPr>
        <w:pStyle w:val="FootnoteText"/>
        <w:rPr>
          <w:lang w:val="en-US"/>
        </w:rPr>
      </w:pPr>
      <w:r>
        <w:rPr>
          <w:rStyle w:val="FootnoteReference"/>
        </w:rPr>
        <w:footnoteRef/>
      </w:r>
      <w:r>
        <w:t xml:space="preserve"> </w:t>
      </w:r>
      <w:r>
        <w:rPr>
          <w:lang w:val="en-US"/>
        </w:rPr>
        <w:t xml:space="preserve">Australian Human Rights Commission, </w:t>
      </w:r>
      <w:r>
        <w:rPr>
          <w:i/>
          <w:lang w:val="en-US"/>
        </w:rPr>
        <w:t>Advisory Note on streetscape, public outdoor areas, fixtures, fittings and furniture,</w:t>
      </w:r>
      <w:r>
        <w:rPr>
          <w:lang w:val="en-US"/>
        </w:rPr>
        <w:t xml:space="preserve"> 9 December 2021, </w:t>
      </w:r>
      <w:hyperlink r:id="rId1" w:history="1">
        <w:r>
          <w:rPr>
            <w:rStyle w:val="Hyperlink"/>
          </w:rPr>
          <w:t>https://humanrights.gov.au/our-work/disability-rights/publications/advisory-note-streetscape-public-outdoor-areas-fixtures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B040" w14:textId="45CF205C" w:rsidR="009A2D48" w:rsidRDefault="00751427"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691E" w14:textId="05C69586" w:rsidR="00A65874" w:rsidRDefault="000E797D">
    <w:pPr>
      <w:pStyle w:val="Header"/>
    </w:pPr>
    <w:fldSimple w:instr=" STYLEREF  Subtitle  \* MERGEFORMAT ">
      <w:r w:rsidR="00751427">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D721"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469EBC3C" wp14:editId="52A82FC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9A7937"/>
    <w:multiLevelType w:val="hybridMultilevel"/>
    <w:tmpl w:val="246EFB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42798"/>
    <w:rsid w:val="000525CD"/>
    <w:rsid w:val="000B5AB5"/>
    <w:rsid w:val="000E24BA"/>
    <w:rsid w:val="000E5674"/>
    <w:rsid w:val="000E797D"/>
    <w:rsid w:val="000F4F26"/>
    <w:rsid w:val="001349C6"/>
    <w:rsid w:val="001D1414"/>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E1B7B"/>
    <w:rsid w:val="003F775D"/>
    <w:rsid w:val="00420F04"/>
    <w:rsid w:val="00450D0E"/>
    <w:rsid w:val="00464218"/>
    <w:rsid w:val="00477E77"/>
    <w:rsid w:val="00541213"/>
    <w:rsid w:val="00546218"/>
    <w:rsid w:val="005912BE"/>
    <w:rsid w:val="005E4288"/>
    <w:rsid w:val="005E5B5F"/>
    <w:rsid w:val="005F794B"/>
    <w:rsid w:val="00686A7B"/>
    <w:rsid w:val="006A266A"/>
    <w:rsid w:val="006E1ECA"/>
    <w:rsid w:val="00705BB9"/>
    <w:rsid w:val="00714155"/>
    <w:rsid w:val="00751427"/>
    <w:rsid w:val="007646BA"/>
    <w:rsid w:val="007A05BE"/>
    <w:rsid w:val="007F4A24"/>
    <w:rsid w:val="008067A1"/>
    <w:rsid w:val="008456D5"/>
    <w:rsid w:val="0084634B"/>
    <w:rsid w:val="008A1887"/>
    <w:rsid w:val="008A2C99"/>
    <w:rsid w:val="008B6A81"/>
    <w:rsid w:val="008C014B"/>
    <w:rsid w:val="008E2A0D"/>
    <w:rsid w:val="00945483"/>
    <w:rsid w:val="009A1753"/>
    <w:rsid w:val="009A2D48"/>
    <w:rsid w:val="009B00F2"/>
    <w:rsid w:val="009B07D1"/>
    <w:rsid w:val="00A070A2"/>
    <w:rsid w:val="00A10F53"/>
    <w:rsid w:val="00A65874"/>
    <w:rsid w:val="00A95970"/>
    <w:rsid w:val="00AD7703"/>
    <w:rsid w:val="00B42AC2"/>
    <w:rsid w:val="00B60AEC"/>
    <w:rsid w:val="00BB3AAC"/>
    <w:rsid w:val="00BD126B"/>
    <w:rsid w:val="00BE3AD8"/>
    <w:rsid w:val="00BF331F"/>
    <w:rsid w:val="00C41F2E"/>
    <w:rsid w:val="00CD233E"/>
    <w:rsid w:val="00CF6CFD"/>
    <w:rsid w:val="00D02062"/>
    <w:rsid w:val="00D23771"/>
    <w:rsid w:val="00D4521B"/>
    <w:rsid w:val="00D5655E"/>
    <w:rsid w:val="00D62101"/>
    <w:rsid w:val="00D84509"/>
    <w:rsid w:val="00DB09A7"/>
    <w:rsid w:val="00DE4362"/>
    <w:rsid w:val="00DE4FE2"/>
    <w:rsid w:val="00DF7ADB"/>
    <w:rsid w:val="00E04908"/>
    <w:rsid w:val="00E07637"/>
    <w:rsid w:val="00E07ED4"/>
    <w:rsid w:val="00E308C7"/>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79F5B8"/>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09"/>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uiPriority w:val="39"/>
    <w:rsid w:val="005912BE"/>
    <w:pPr>
      <w:spacing w:before="0" w:after="0"/>
      <w:ind w:left="284" w:hanging="284"/>
    </w:pPr>
    <w:rPr>
      <w:sz w:val="18"/>
    </w:rPr>
  </w:style>
  <w:style w:type="character" w:customStyle="1" w:styleId="FootnoteTextChar">
    <w:name w:val="Footnote Text Char"/>
    <w:aliases w:val="(NECG) Footnote Text Char"/>
    <w:basedOn w:val="DefaultParagraphFont"/>
    <w:link w:val="FootnoteText"/>
    <w:uiPriority w:val="39"/>
    <w:rsid w:val="005912BE"/>
    <w:rPr>
      <w:kern w:val="12"/>
      <w:sz w:val="18"/>
    </w:rPr>
  </w:style>
  <w:style w:type="character" w:styleId="FootnoteReference">
    <w:name w:val="footnote reference"/>
    <w:aliases w:val="(NECG) Footnote Reference,Text Footnote Reference"/>
    <w:basedOn w:val="DefaultParagraphFont"/>
    <w:uiPriority w:val="3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714155"/>
    <w:rPr>
      <w:sz w:val="16"/>
      <w:szCs w:val="16"/>
    </w:rPr>
  </w:style>
  <w:style w:type="paragraph" w:styleId="CommentText">
    <w:name w:val="annotation text"/>
    <w:basedOn w:val="Normal"/>
    <w:link w:val="CommentTextChar"/>
    <w:uiPriority w:val="99"/>
    <w:semiHidden/>
    <w:unhideWhenUsed/>
    <w:rsid w:val="00714155"/>
  </w:style>
  <w:style w:type="character" w:customStyle="1" w:styleId="CommentTextChar">
    <w:name w:val="Comment Text Char"/>
    <w:basedOn w:val="DefaultParagraphFont"/>
    <w:link w:val="CommentText"/>
    <w:uiPriority w:val="99"/>
    <w:semiHidden/>
    <w:rsid w:val="00714155"/>
    <w:rPr>
      <w:kern w:val="12"/>
    </w:rPr>
  </w:style>
  <w:style w:type="paragraph" w:styleId="CommentSubject">
    <w:name w:val="annotation subject"/>
    <w:basedOn w:val="CommentText"/>
    <w:next w:val="CommentText"/>
    <w:link w:val="CommentSubjectChar"/>
    <w:uiPriority w:val="99"/>
    <w:semiHidden/>
    <w:unhideWhenUsed/>
    <w:rsid w:val="00714155"/>
    <w:rPr>
      <w:b/>
      <w:bCs/>
    </w:rPr>
  </w:style>
  <w:style w:type="character" w:customStyle="1" w:styleId="CommentSubjectChar">
    <w:name w:val="Comment Subject Char"/>
    <w:basedOn w:val="CommentTextChar"/>
    <w:link w:val="CommentSubject"/>
    <w:uiPriority w:val="99"/>
    <w:semiHidden/>
    <w:rsid w:val="00714155"/>
    <w:rPr>
      <w:b/>
      <w:bCs/>
      <w:kern w:val="12"/>
    </w:rPr>
  </w:style>
  <w:style w:type="paragraph" w:styleId="BalloonText">
    <w:name w:val="Balloon Text"/>
    <w:basedOn w:val="Normal"/>
    <w:link w:val="BalloonTextChar"/>
    <w:uiPriority w:val="99"/>
    <w:semiHidden/>
    <w:unhideWhenUsed/>
    <w:rsid w:val="0071415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155"/>
    <w:rPr>
      <w:rFonts w:ascii="Segoe UI" w:hAnsi="Segoe UI" w:cs="Segoe UI"/>
      <w:kern w:val="12"/>
      <w:sz w:val="18"/>
      <w:szCs w:val="18"/>
    </w:rPr>
  </w:style>
  <w:style w:type="paragraph" w:styleId="ListParagraph">
    <w:name w:val="List Paragraph"/>
    <w:basedOn w:val="Normal"/>
    <w:uiPriority w:val="99"/>
    <w:unhideWhenUsed/>
    <w:qFormat/>
    <w:rsid w:val="00C41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67&amp;name=continuous-accessibility-on-access-path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our-work/disability-rights/publications/advisory-note-streetscape-public-outdoor-areas-fixt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E447EE-7BA8-4E66-A23F-9F5E2764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28</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Infrastructure access paths: Continuous accessibility on access paths</vt:lpstr>
    </vt:vector>
  </TitlesOfParts>
  <Company>Department of Infrastructure &amp; Regional Development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Continuous accessibility on access paths</dc:title>
  <dc:subject/>
  <dc:creator>EGAN Harry</dc:creator>
  <cp:keywords/>
  <dc:description/>
  <cp:lastModifiedBy>EGAN Harry</cp:lastModifiedBy>
  <cp:revision>12</cp:revision>
  <cp:lastPrinted>2022-03-08T04:44:00Z</cp:lastPrinted>
  <dcterms:created xsi:type="dcterms:W3CDTF">2022-02-20T23:59:00Z</dcterms:created>
  <dcterms:modified xsi:type="dcterms:W3CDTF">2022-03-08T04:45:00Z</dcterms:modified>
</cp:coreProperties>
</file>