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136D5"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13E84506" wp14:editId="50ACAD0D">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AD13210" w14:textId="779070B3" w:rsidR="00081DB0" w:rsidRDefault="00081DB0" w:rsidP="00150826">
      <w:pPr>
        <w:pStyle w:val="Heading1"/>
      </w:pPr>
      <w:r>
        <w:t>Consumer Safeguards Review</w:t>
      </w:r>
      <w:r w:rsidR="00150826">
        <w:t>—</w:t>
      </w:r>
      <w:r>
        <w:t>Part A</w:t>
      </w:r>
      <w:r w:rsidR="00150826">
        <w:t>—</w:t>
      </w:r>
      <w:r w:rsidRPr="000E4767">
        <w:t>Redress and Complaints Handling</w:t>
      </w:r>
      <w:r w:rsidR="00150826">
        <w:t>—</w:t>
      </w:r>
      <w:r w:rsidR="00C15844">
        <w:t>Consultation paper</w:t>
      </w:r>
    </w:p>
    <w:p w14:paraId="4E1FDBB7" w14:textId="6879973D" w:rsidR="00150826" w:rsidRDefault="00C678C3" w:rsidP="00EB40A5">
      <w:r>
        <w:t xml:space="preserve">July </w:t>
      </w:r>
      <w:r w:rsidR="00081DB0">
        <w:t>2018</w:t>
      </w:r>
    </w:p>
    <w:p w14:paraId="48D7BED9" w14:textId="77777777" w:rsidR="00400E77" w:rsidRDefault="00400E77" w:rsidP="00625397">
      <w:pPr>
        <w:rPr>
          <w:lang w:eastAsia="en-US"/>
        </w:rPr>
      </w:pPr>
      <w:r>
        <w:rPr>
          <w:lang w:eastAsia="en-US"/>
        </w:rPr>
        <w:br w:type="page"/>
      </w:r>
    </w:p>
    <w:p w14:paraId="17C15BAF" w14:textId="77777777" w:rsidR="00625397" w:rsidRPr="00BE07A7" w:rsidRDefault="00625397" w:rsidP="00625397">
      <w:pPr>
        <w:pStyle w:val="Heading2-notshowing"/>
      </w:pPr>
      <w:r w:rsidRPr="00BE07A7">
        <w:lastRenderedPageBreak/>
        <w:t>Disclaimer</w:t>
      </w:r>
    </w:p>
    <w:p w14:paraId="6FE6FBAC" w14:textId="77777777" w:rsidR="00625397" w:rsidRPr="00081DB0" w:rsidRDefault="00625397" w:rsidP="00625397">
      <w:pPr>
        <w:spacing w:after="120"/>
      </w:pPr>
      <w:r w:rsidRPr="00081DB0">
        <w:t xml:space="preserve">The material in </w:t>
      </w:r>
      <w:r w:rsidR="00081DB0" w:rsidRPr="00081DB0">
        <w:t>this paper</w:t>
      </w:r>
      <w:r w:rsidRPr="00081DB0">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this</w:t>
      </w:r>
      <w:r w:rsidR="00081DB0" w:rsidRPr="00081DB0">
        <w:t xml:space="preserve"> paper</w:t>
      </w:r>
      <w:r w:rsidRPr="00081DB0">
        <w:t>.</w:t>
      </w:r>
    </w:p>
    <w:p w14:paraId="0B51F10B" w14:textId="77777777" w:rsidR="00625397" w:rsidRPr="00BE07A7" w:rsidRDefault="00625397" w:rsidP="00625397">
      <w:pPr>
        <w:spacing w:after="120"/>
      </w:pPr>
      <w:r w:rsidRPr="00081DB0">
        <w:t>This</w:t>
      </w:r>
      <w:r w:rsidR="00081DB0" w:rsidRPr="00081DB0">
        <w:t xml:space="preserve"> paper has</w:t>
      </w:r>
      <w:r w:rsidRPr="00081DB0">
        <w:t xml:space="preserve"> been prepared for consultation purposes only and does not indicate the Commonwealth’s commitment to a particular course of action. Additionally, any third party views or recommendations included in this</w:t>
      </w:r>
      <w:r w:rsidR="00081DB0" w:rsidRPr="00081DB0">
        <w:t xml:space="preserve"> paper</w:t>
      </w:r>
      <w:r w:rsidRPr="00081DB0">
        <w:t xml:space="preserve"> do</w:t>
      </w:r>
      <w:r w:rsidRPr="00BE07A7">
        <w:t xml:space="preserve"> not reflect the views of the Commonwealth, or indicate its commitment to a particular course of action.</w:t>
      </w:r>
    </w:p>
    <w:p w14:paraId="6198FAB3" w14:textId="77777777" w:rsidR="00625397" w:rsidRPr="00BE07A7" w:rsidRDefault="00625397" w:rsidP="00625397">
      <w:pPr>
        <w:pStyle w:val="Heading2-notshowing"/>
      </w:pPr>
      <w:r w:rsidRPr="00BE07A7">
        <w:t>Copyright</w:t>
      </w:r>
    </w:p>
    <w:p w14:paraId="44D69EB6" w14:textId="77777777" w:rsidR="00625397" w:rsidRPr="00BE07A7" w:rsidRDefault="00625397" w:rsidP="00625397">
      <w:pPr>
        <w:spacing w:after="120"/>
      </w:pPr>
      <w:r w:rsidRPr="00BE07A7">
        <w:t xml:space="preserve">© Commonwealth of Australia </w:t>
      </w:r>
      <w:r w:rsidR="00CC75CC">
        <w:t>2018</w:t>
      </w:r>
    </w:p>
    <w:p w14:paraId="7893855B" w14:textId="6B4BBB85" w:rsidR="00625397" w:rsidRPr="00BE07A7" w:rsidRDefault="00625397" w:rsidP="00625397">
      <w:pPr>
        <w:spacing w:after="120"/>
      </w:pPr>
      <w:r w:rsidRPr="00BE07A7">
        <w:rPr>
          <w:noProof/>
          <w:lang w:eastAsia="en-AU"/>
        </w:rPr>
        <w:drawing>
          <wp:inline distT="0" distB="0" distL="0" distR="0" wp14:anchorId="0B77BC91" wp14:editId="0B89CF49">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070D1E">
        <w:t xml:space="preserve"> </w:t>
      </w:r>
      <w:r w:rsidRPr="00BE07A7">
        <w:t xml:space="preserve">The material </w:t>
      </w:r>
      <w:r w:rsidRPr="00081DB0">
        <w:t>in this</w:t>
      </w:r>
      <w:r w:rsidR="00081DB0" w:rsidRPr="00081DB0">
        <w:t xml:space="preserve"> paper</w:t>
      </w:r>
      <w:r w:rsidRPr="00081DB0">
        <w:t xml:space="preserve"> is</w:t>
      </w:r>
      <w:r w:rsidRPr="00BE07A7">
        <w:t xml:space="preserve"> licensed under a Creative Commons Attribution—4.0 International licen</w:t>
      </w:r>
      <w:r w:rsidR="00C451EE">
        <w:t>c</w:t>
      </w:r>
      <w:r w:rsidRPr="00BE07A7">
        <w:t>e, with the exception of:</w:t>
      </w:r>
    </w:p>
    <w:p w14:paraId="4E6FDAB6" w14:textId="77777777" w:rsidR="00625397" w:rsidRPr="00BE07A7" w:rsidRDefault="00625397" w:rsidP="00625397">
      <w:pPr>
        <w:pStyle w:val="Bulletlevel1"/>
      </w:pPr>
      <w:r w:rsidRPr="00BE07A7">
        <w:t>the Commonwealth Coat of Arms</w:t>
      </w:r>
    </w:p>
    <w:p w14:paraId="34264C43" w14:textId="77777777" w:rsidR="00625397" w:rsidRPr="00BE07A7" w:rsidRDefault="00625397" w:rsidP="00625397">
      <w:pPr>
        <w:pStyle w:val="Bulletlevel1"/>
      </w:pPr>
      <w:r w:rsidRPr="00BE07A7">
        <w:t>this Department’s logo</w:t>
      </w:r>
    </w:p>
    <w:p w14:paraId="3C487F81" w14:textId="77777777" w:rsidR="00625397" w:rsidRPr="00BE07A7" w:rsidRDefault="00625397" w:rsidP="00625397">
      <w:pPr>
        <w:pStyle w:val="Bulletlevel1"/>
      </w:pPr>
      <w:r w:rsidRPr="00BE07A7">
        <w:t>any third party material</w:t>
      </w:r>
    </w:p>
    <w:p w14:paraId="4450578C" w14:textId="77777777" w:rsidR="00625397" w:rsidRPr="00BE07A7" w:rsidRDefault="00625397" w:rsidP="00625397">
      <w:pPr>
        <w:pStyle w:val="Bulletlevel1"/>
      </w:pPr>
      <w:r w:rsidRPr="00BE07A7">
        <w:t>any material protected by a trademark, and</w:t>
      </w:r>
    </w:p>
    <w:p w14:paraId="593B6DF9" w14:textId="77777777" w:rsidR="00625397" w:rsidRPr="00BE07A7" w:rsidRDefault="00625397" w:rsidP="00625397">
      <w:pPr>
        <w:pStyle w:val="Bulletlevel1"/>
      </w:pPr>
      <w:proofErr w:type="gramStart"/>
      <w:r w:rsidRPr="00BE07A7">
        <w:t>any</w:t>
      </w:r>
      <w:proofErr w:type="gramEnd"/>
      <w:r w:rsidRPr="00BE07A7">
        <w:t xml:space="preserve"> images and/or photographs.</w:t>
      </w:r>
    </w:p>
    <w:p w14:paraId="57F6DAAC" w14:textId="77777777" w:rsidR="00625397" w:rsidRPr="00BE07A7" w:rsidRDefault="00625397" w:rsidP="00625397">
      <w:pPr>
        <w:spacing w:after="120"/>
      </w:pPr>
      <w:r w:rsidRPr="00BE07A7">
        <w:t>More information on this CC BY licen</w:t>
      </w:r>
      <w:r w:rsidR="00C451EE">
        <w:t>c</w:t>
      </w:r>
      <w:r w:rsidRPr="00BE07A7">
        <w:t>e is set out as follows:</w:t>
      </w:r>
    </w:p>
    <w:p w14:paraId="342FE3EF" w14:textId="77777777" w:rsidR="00625397" w:rsidRPr="00BE07A7" w:rsidRDefault="00625397" w:rsidP="00625397">
      <w:pPr>
        <w:pStyle w:val="Bulletlevel1"/>
      </w:pPr>
      <w:r w:rsidRPr="00BE07A7">
        <w:t>Creative Commons website—</w:t>
      </w:r>
      <w:hyperlink r:id="rId17" w:history="1">
        <w:r w:rsidRPr="00BE07A7">
          <w:rPr>
            <w:rStyle w:val="Hyperlink"/>
          </w:rPr>
          <w:t>www.creativecommons.org</w:t>
        </w:r>
      </w:hyperlink>
    </w:p>
    <w:p w14:paraId="2C480D6F" w14:textId="77777777" w:rsidR="00625397" w:rsidRPr="00BE07A7" w:rsidRDefault="00625397" w:rsidP="00625397">
      <w:pPr>
        <w:pStyle w:val="Bulletlevel1"/>
        <w:spacing w:after="120"/>
      </w:pPr>
      <w:r w:rsidRPr="00BE07A7">
        <w:t>Attribution 4.0 international (CC by 4.0)—</w:t>
      </w:r>
      <w:hyperlink r:id="rId18" w:history="1">
        <w:r w:rsidR="002F3895" w:rsidRPr="005C73E4">
          <w:rPr>
            <w:rStyle w:val="Hyperlink"/>
          </w:rPr>
          <w:t>www.creativecommons.org/licenses/by/4.0</w:t>
        </w:r>
      </w:hyperlink>
      <w:r w:rsidRPr="00BE07A7">
        <w:t>.</w:t>
      </w:r>
    </w:p>
    <w:p w14:paraId="63382B59" w14:textId="77777777" w:rsidR="00625397" w:rsidRPr="00BE07A7" w:rsidRDefault="00625397" w:rsidP="00625397">
      <w:pPr>
        <w:spacing w:after="120"/>
      </w:pPr>
      <w:r w:rsidRPr="00BE07A7">
        <w:t>Enquiries about this licen</w:t>
      </w:r>
      <w:r w:rsidR="00C451EE">
        <w:t>c</w:t>
      </w:r>
      <w:r w:rsidRPr="00BE07A7">
        <w:t xml:space="preserve">e and any use of this discussion paper can be sent to: </w:t>
      </w:r>
      <w:hyperlink r:id="rId19" w:history="1">
        <w:r w:rsidRPr="00BE07A7">
          <w:rPr>
            <w:rStyle w:val="Hyperlink"/>
          </w:rPr>
          <w:t>copyright@communications.gov.au</w:t>
        </w:r>
      </w:hyperlink>
      <w:r w:rsidRPr="00BE07A7">
        <w:t>.</w:t>
      </w:r>
    </w:p>
    <w:p w14:paraId="7CE3CEDE" w14:textId="77777777" w:rsidR="00625397" w:rsidRPr="00BE07A7" w:rsidRDefault="00625397" w:rsidP="00625397">
      <w:pPr>
        <w:pStyle w:val="Heading3-notshowing"/>
      </w:pPr>
      <w:bookmarkStart w:id="0" w:name="_Toc490666776"/>
      <w:bookmarkStart w:id="1" w:name="_Toc490744403"/>
      <w:r w:rsidRPr="00BE07A7">
        <w:t>Third party copyright</w:t>
      </w:r>
    </w:p>
    <w:p w14:paraId="4A841D2C" w14:textId="77777777"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14:paraId="49600B02" w14:textId="77777777" w:rsidR="00625397" w:rsidRPr="00BE07A7" w:rsidRDefault="00625397" w:rsidP="00625397">
      <w:pPr>
        <w:pStyle w:val="Heading3-notshowing"/>
      </w:pPr>
      <w:r w:rsidRPr="00BE07A7">
        <w:t>Attribution</w:t>
      </w:r>
      <w:bookmarkEnd w:id="0"/>
      <w:bookmarkEnd w:id="1"/>
    </w:p>
    <w:p w14:paraId="04932665" w14:textId="77777777" w:rsidR="00625397" w:rsidRPr="00BE07A7" w:rsidRDefault="00625397" w:rsidP="00625397">
      <w:pPr>
        <w:spacing w:after="120"/>
      </w:pPr>
      <w:bookmarkStart w:id="2"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14:paraId="1C349BED" w14:textId="77777777" w:rsidR="00625397" w:rsidRPr="00BE07A7" w:rsidRDefault="00625397" w:rsidP="00625397">
      <w:pPr>
        <w:spacing w:after="120"/>
        <w:ind w:left="567"/>
      </w:pPr>
      <w:r w:rsidRPr="00BE07A7">
        <w:t>Licensed from the Commonwealth of Australia under a Creative Commons Attribution 4.0 International licence.</w:t>
      </w:r>
    </w:p>
    <w:p w14:paraId="294EA585" w14:textId="77777777" w:rsidR="00625397" w:rsidRPr="00BE07A7" w:rsidRDefault="00625397" w:rsidP="00625397">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14:paraId="4930B1AA" w14:textId="77777777" w:rsidR="00625397" w:rsidRPr="00BE07A7" w:rsidRDefault="00625397" w:rsidP="00EE69AF">
      <w:pPr>
        <w:pStyle w:val="Heading2-notshowing"/>
      </w:pPr>
      <w:r w:rsidRPr="00BE07A7">
        <w:lastRenderedPageBreak/>
        <w:t xml:space="preserve">Using the </w:t>
      </w:r>
      <w:r w:rsidRPr="00EE69AF">
        <w:t>Commonwealth</w:t>
      </w:r>
      <w:r w:rsidRPr="00BE07A7">
        <w:t xml:space="preserve"> Coat </w:t>
      </w:r>
      <w:r w:rsidRPr="00EE69AF">
        <w:t>of</w:t>
      </w:r>
      <w:r w:rsidRPr="00BE07A7">
        <w:t xml:space="preserve"> Arms</w:t>
      </w:r>
    </w:p>
    <w:p w14:paraId="6C1C9222" w14:textId="77777777" w:rsidR="00597F9B" w:rsidRDefault="00625397" w:rsidP="00625397">
      <w:pPr>
        <w:spacing w:after="120"/>
        <w:rPr>
          <w:lang w:eastAsia="en-US"/>
        </w:rPr>
      </w:pPr>
      <w:r w:rsidRPr="00BE07A7">
        <w:t>Guidelines for using the Commonwealth Coat of Arms are available from the Department of Prime Minister and Cabinet website at</w:t>
      </w:r>
      <w:r w:rsidR="002F3895" w:rsidRPr="002F3895">
        <w:t xml:space="preserve"> </w:t>
      </w:r>
      <w:hyperlink r:id="rId21" w:history="1">
        <w:r w:rsidR="002F3895" w:rsidRPr="005C73E4">
          <w:rPr>
            <w:rStyle w:val="Hyperlink"/>
          </w:rPr>
          <w:t>www.pmc.gov.au/government/its-honour</w:t>
        </w:r>
      </w:hyperlink>
      <w:r w:rsidRPr="00BE07A7">
        <w:t>.</w:t>
      </w:r>
      <w:r w:rsidR="00597F9B">
        <w:rPr>
          <w:lang w:eastAsia="en-US"/>
        </w:rPr>
        <w:br w:type="page"/>
      </w:r>
    </w:p>
    <w:p w14:paraId="0171C827" w14:textId="77777777" w:rsidR="00F651E1" w:rsidRDefault="00F651E1" w:rsidP="00F651E1">
      <w:pPr>
        <w:pStyle w:val="Heading2-notshowing"/>
      </w:pPr>
      <w:r>
        <w:lastRenderedPageBreak/>
        <w:t>Content</w:t>
      </w:r>
      <w:bookmarkStart w:id="3" w:name="_GoBack"/>
      <w:bookmarkEnd w:id="3"/>
      <w:r>
        <w:t>s</w:t>
      </w:r>
    </w:p>
    <w:p w14:paraId="5EC0AB58" w14:textId="77777777" w:rsidR="00B74147" w:rsidRDefault="00F651E1">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18483530" w:history="1">
        <w:r w:rsidR="00B74147" w:rsidRPr="0066087A">
          <w:rPr>
            <w:rStyle w:val="Hyperlink"/>
            <w:noProof/>
          </w:rPr>
          <w:t>Have your say</w:t>
        </w:r>
        <w:r w:rsidR="00B74147">
          <w:rPr>
            <w:noProof/>
            <w:webHidden/>
          </w:rPr>
          <w:tab/>
        </w:r>
        <w:r w:rsidR="00B74147">
          <w:rPr>
            <w:noProof/>
            <w:webHidden/>
          </w:rPr>
          <w:fldChar w:fldCharType="begin"/>
        </w:r>
        <w:r w:rsidR="00B74147">
          <w:rPr>
            <w:noProof/>
            <w:webHidden/>
          </w:rPr>
          <w:instrText xml:space="preserve"> PAGEREF _Toc518483530 \h </w:instrText>
        </w:r>
        <w:r w:rsidR="00B74147">
          <w:rPr>
            <w:noProof/>
            <w:webHidden/>
          </w:rPr>
        </w:r>
        <w:r w:rsidR="00B74147">
          <w:rPr>
            <w:noProof/>
            <w:webHidden/>
          </w:rPr>
          <w:fldChar w:fldCharType="separate"/>
        </w:r>
        <w:r w:rsidR="00B74147">
          <w:rPr>
            <w:noProof/>
            <w:webHidden/>
          </w:rPr>
          <w:t>4</w:t>
        </w:r>
        <w:r w:rsidR="00B74147">
          <w:rPr>
            <w:noProof/>
            <w:webHidden/>
          </w:rPr>
          <w:fldChar w:fldCharType="end"/>
        </w:r>
      </w:hyperlink>
    </w:p>
    <w:p w14:paraId="207A382C" w14:textId="77777777" w:rsidR="00B74147" w:rsidRDefault="00B74147">
      <w:pPr>
        <w:pStyle w:val="TOC1"/>
        <w:rPr>
          <w:b w:val="0"/>
          <w:noProof/>
          <w:color w:val="auto"/>
          <w:sz w:val="22"/>
          <w:lang w:eastAsia="en-AU"/>
        </w:rPr>
      </w:pPr>
      <w:hyperlink w:anchor="_Toc518483531" w:history="1">
        <w:r w:rsidRPr="0066087A">
          <w:rPr>
            <w:rStyle w:val="Hyperlink"/>
            <w:noProof/>
          </w:rPr>
          <w:t>Introduction</w:t>
        </w:r>
        <w:r>
          <w:rPr>
            <w:noProof/>
            <w:webHidden/>
          </w:rPr>
          <w:tab/>
        </w:r>
        <w:r>
          <w:rPr>
            <w:noProof/>
            <w:webHidden/>
          </w:rPr>
          <w:fldChar w:fldCharType="begin"/>
        </w:r>
        <w:r>
          <w:rPr>
            <w:noProof/>
            <w:webHidden/>
          </w:rPr>
          <w:instrText xml:space="preserve"> PAGEREF _Toc518483531 \h </w:instrText>
        </w:r>
        <w:r>
          <w:rPr>
            <w:noProof/>
            <w:webHidden/>
          </w:rPr>
        </w:r>
        <w:r>
          <w:rPr>
            <w:noProof/>
            <w:webHidden/>
          </w:rPr>
          <w:fldChar w:fldCharType="separate"/>
        </w:r>
        <w:r>
          <w:rPr>
            <w:noProof/>
            <w:webHidden/>
          </w:rPr>
          <w:t>5</w:t>
        </w:r>
        <w:r>
          <w:rPr>
            <w:noProof/>
            <w:webHidden/>
          </w:rPr>
          <w:fldChar w:fldCharType="end"/>
        </w:r>
      </w:hyperlink>
    </w:p>
    <w:p w14:paraId="0BC9A45D" w14:textId="77777777" w:rsidR="00B74147" w:rsidRDefault="00B74147">
      <w:pPr>
        <w:pStyle w:val="TOC2"/>
        <w:rPr>
          <w:noProof/>
          <w:lang w:eastAsia="en-AU"/>
        </w:rPr>
      </w:pPr>
      <w:hyperlink w:anchor="_Toc518483532" w:history="1">
        <w:r w:rsidRPr="0066087A">
          <w:rPr>
            <w:rStyle w:val="Hyperlink"/>
            <w:noProof/>
          </w:rPr>
          <w:t>Current legislative &amp; regulatory framework</w:t>
        </w:r>
        <w:r>
          <w:rPr>
            <w:noProof/>
            <w:webHidden/>
          </w:rPr>
          <w:tab/>
        </w:r>
        <w:r>
          <w:rPr>
            <w:noProof/>
            <w:webHidden/>
          </w:rPr>
          <w:fldChar w:fldCharType="begin"/>
        </w:r>
        <w:r>
          <w:rPr>
            <w:noProof/>
            <w:webHidden/>
          </w:rPr>
          <w:instrText xml:space="preserve"> PAGEREF _Toc518483532 \h </w:instrText>
        </w:r>
        <w:r>
          <w:rPr>
            <w:noProof/>
            <w:webHidden/>
          </w:rPr>
        </w:r>
        <w:r>
          <w:rPr>
            <w:noProof/>
            <w:webHidden/>
          </w:rPr>
          <w:fldChar w:fldCharType="separate"/>
        </w:r>
        <w:r>
          <w:rPr>
            <w:noProof/>
            <w:webHidden/>
          </w:rPr>
          <w:t>5</w:t>
        </w:r>
        <w:r>
          <w:rPr>
            <w:noProof/>
            <w:webHidden/>
          </w:rPr>
          <w:fldChar w:fldCharType="end"/>
        </w:r>
      </w:hyperlink>
    </w:p>
    <w:p w14:paraId="51B335FD" w14:textId="77777777" w:rsidR="00B74147" w:rsidRDefault="00B74147">
      <w:pPr>
        <w:pStyle w:val="TOC2"/>
        <w:rPr>
          <w:noProof/>
          <w:lang w:eastAsia="en-AU"/>
        </w:rPr>
      </w:pPr>
      <w:hyperlink w:anchor="_Toc518483533" w:history="1">
        <w:r w:rsidRPr="0066087A">
          <w:rPr>
            <w:rStyle w:val="Hyperlink"/>
            <w:noProof/>
          </w:rPr>
          <w:t>Institutional arrangements</w:t>
        </w:r>
        <w:r>
          <w:rPr>
            <w:noProof/>
            <w:webHidden/>
          </w:rPr>
          <w:tab/>
        </w:r>
        <w:r>
          <w:rPr>
            <w:noProof/>
            <w:webHidden/>
          </w:rPr>
          <w:fldChar w:fldCharType="begin"/>
        </w:r>
        <w:r>
          <w:rPr>
            <w:noProof/>
            <w:webHidden/>
          </w:rPr>
          <w:instrText xml:space="preserve"> PAGEREF _Toc518483533 \h </w:instrText>
        </w:r>
        <w:r>
          <w:rPr>
            <w:noProof/>
            <w:webHidden/>
          </w:rPr>
        </w:r>
        <w:r>
          <w:rPr>
            <w:noProof/>
            <w:webHidden/>
          </w:rPr>
          <w:fldChar w:fldCharType="separate"/>
        </w:r>
        <w:r>
          <w:rPr>
            <w:noProof/>
            <w:webHidden/>
          </w:rPr>
          <w:t>5</w:t>
        </w:r>
        <w:r>
          <w:rPr>
            <w:noProof/>
            <w:webHidden/>
          </w:rPr>
          <w:fldChar w:fldCharType="end"/>
        </w:r>
      </w:hyperlink>
    </w:p>
    <w:p w14:paraId="632AF935" w14:textId="77777777" w:rsidR="00B74147" w:rsidRDefault="00B74147">
      <w:pPr>
        <w:pStyle w:val="TOC1"/>
        <w:rPr>
          <w:b w:val="0"/>
          <w:noProof/>
          <w:color w:val="auto"/>
          <w:sz w:val="22"/>
          <w:lang w:eastAsia="en-AU"/>
        </w:rPr>
      </w:pPr>
      <w:hyperlink w:anchor="_Toc518483534" w:history="1">
        <w:r w:rsidRPr="0066087A">
          <w:rPr>
            <w:rStyle w:val="Hyperlink"/>
            <w:noProof/>
          </w:rPr>
          <w:t>The problem</w:t>
        </w:r>
        <w:r>
          <w:rPr>
            <w:noProof/>
            <w:webHidden/>
          </w:rPr>
          <w:tab/>
        </w:r>
        <w:r>
          <w:rPr>
            <w:noProof/>
            <w:webHidden/>
          </w:rPr>
          <w:fldChar w:fldCharType="begin"/>
        </w:r>
        <w:r>
          <w:rPr>
            <w:noProof/>
            <w:webHidden/>
          </w:rPr>
          <w:instrText xml:space="preserve"> PAGEREF _Toc518483534 \h </w:instrText>
        </w:r>
        <w:r>
          <w:rPr>
            <w:noProof/>
            <w:webHidden/>
          </w:rPr>
        </w:r>
        <w:r>
          <w:rPr>
            <w:noProof/>
            <w:webHidden/>
          </w:rPr>
          <w:fldChar w:fldCharType="separate"/>
        </w:r>
        <w:r>
          <w:rPr>
            <w:noProof/>
            <w:webHidden/>
          </w:rPr>
          <w:t>6</w:t>
        </w:r>
        <w:r>
          <w:rPr>
            <w:noProof/>
            <w:webHidden/>
          </w:rPr>
          <w:fldChar w:fldCharType="end"/>
        </w:r>
      </w:hyperlink>
    </w:p>
    <w:p w14:paraId="02A75F58" w14:textId="77777777" w:rsidR="00B74147" w:rsidRDefault="00B74147">
      <w:pPr>
        <w:pStyle w:val="TOC2"/>
        <w:rPr>
          <w:noProof/>
          <w:lang w:eastAsia="en-AU"/>
        </w:rPr>
      </w:pPr>
      <w:hyperlink w:anchor="_Toc518483535" w:history="1">
        <w:r w:rsidRPr="0066087A">
          <w:rPr>
            <w:rStyle w:val="Hyperlink"/>
            <w:noProof/>
          </w:rPr>
          <w:t>Regulatory settings</w:t>
        </w:r>
        <w:r>
          <w:rPr>
            <w:noProof/>
            <w:webHidden/>
          </w:rPr>
          <w:tab/>
        </w:r>
        <w:r>
          <w:rPr>
            <w:noProof/>
            <w:webHidden/>
          </w:rPr>
          <w:fldChar w:fldCharType="begin"/>
        </w:r>
        <w:r>
          <w:rPr>
            <w:noProof/>
            <w:webHidden/>
          </w:rPr>
          <w:instrText xml:space="preserve"> PAGEREF _Toc518483535 \h </w:instrText>
        </w:r>
        <w:r>
          <w:rPr>
            <w:noProof/>
            <w:webHidden/>
          </w:rPr>
        </w:r>
        <w:r>
          <w:rPr>
            <w:noProof/>
            <w:webHidden/>
          </w:rPr>
          <w:fldChar w:fldCharType="separate"/>
        </w:r>
        <w:r>
          <w:rPr>
            <w:noProof/>
            <w:webHidden/>
          </w:rPr>
          <w:t>6</w:t>
        </w:r>
        <w:r>
          <w:rPr>
            <w:noProof/>
            <w:webHidden/>
          </w:rPr>
          <w:fldChar w:fldCharType="end"/>
        </w:r>
      </w:hyperlink>
    </w:p>
    <w:p w14:paraId="6A015476" w14:textId="77777777" w:rsidR="00B74147" w:rsidRDefault="00B74147">
      <w:pPr>
        <w:pStyle w:val="TOC2"/>
        <w:rPr>
          <w:noProof/>
          <w:lang w:eastAsia="en-AU"/>
        </w:rPr>
      </w:pPr>
      <w:hyperlink w:anchor="_Toc518483536" w:history="1">
        <w:r w:rsidRPr="0066087A">
          <w:rPr>
            <w:rStyle w:val="Hyperlink"/>
            <w:noProof/>
          </w:rPr>
          <w:t>Dispute resolution processes</w:t>
        </w:r>
        <w:r>
          <w:rPr>
            <w:noProof/>
            <w:webHidden/>
          </w:rPr>
          <w:tab/>
        </w:r>
        <w:r>
          <w:rPr>
            <w:noProof/>
            <w:webHidden/>
          </w:rPr>
          <w:fldChar w:fldCharType="begin"/>
        </w:r>
        <w:r>
          <w:rPr>
            <w:noProof/>
            <w:webHidden/>
          </w:rPr>
          <w:instrText xml:space="preserve"> PAGEREF _Toc518483536 \h </w:instrText>
        </w:r>
        <w:r>
          <w:rPr>
            <w:noProof/>
            <w:webHidden/>
          </w:rPr>
        </w:r>
        <w:r>
          <w:rPr>
            <w:noProof/>
            <w:webHidden/>
          </w:rPr>
          <w:fldChar w:fldCharType="separate"/>
        </w:r>
        <w:r>
          <w:rPr>
            <w:noProof/>
            <w:webHidden/>
          </w:rPr>
          <w:t>7</w:t>
        </w:r>
        <w:r>
          <w:rPr>
            <w:noProof/>
            <w:webHidden/>
          </w:rPr>
          <w:fldChar w:fldCharType="end"/>
        </w:r>
      </w:hyperlink>
    </w:p>
    <w:p w14:paraId="50121420" w14:textId="77777777" w:rsidR="00B74147" w:rsidRDefault="00B74147">
      <w:pPr>
        <w:pStyle w:val="TOC2"/>
        <w:rPr>
          <w:noProof/>
          <w:lang w:eastAsia="en-AU"/>
        </w:rPr>
      </w:pPr>
      <w:hyperlink w:anchor="_Toc518483537" w:history="1">
        <w:r w:rsidRPr="0066087A">
          <w:rPr>
            <w:rStyle w:val="Hyperlink"/>
            <w:noProof/>
          </w:rPr>
          <w:t>Accountability and responsibility of providers</w:t>
        </w:r>
        <w:r>
          <w:rPr>
            <w:noProof/>
            <w:webHidden/>
          </w:rPr>
          <w:tab/>
        </w:r>
        <w:r>
          <w:rPr>
            <w:noProof/>
            <w:webHidden/>
          </w:rPr>
          <w:fldChar w:fldCharType="begin"/>
        </w:r>
        <w:r>
          <w:rPr>
            <w:noProof/>
            <w:webHidden/>
          </w:rPr>
          <w:instrText xml:space="preserve"> PAGEREF _Toc518483537 \h </w:instrText>
        </w:r>
        <w:r>
          <w:rPr>
            <w:noProof/>
            <w:webHidden/>
          </w:rPr>
        </w:r>
        <w:r>
          <w:rPr>
            <w:noProof/>
            <w:webHidden/>
          </w:rPr>
          <w:fldChar w:fldCharType="separate"/>
        </w:r>
        <w:r>
          <w:rPr>
            <w:noProof/>
            <w:webHidden/>
          </w:rPr>
          <w:t>7</w:t>
        </w:r>
        <w:r>
          <w:rPr>
            <w:noProof/>
            <w:webHidden/>
          </w:rPr>
          <w:fldChar w:fldCharType="end"/>
        </w:r>
      </w:hyperlink>
    </w:p>
    <w:p w14:paraId="609AF7A0" w14:textId="77777777" w:rsidR="00B74147" w:rsidRDefault="00B74147">
      <w:pPr>
        <w:pStyle w:val="TOC2"/>
        <w:rPr>
          <w:noProof/>
          <w:lang w:eastAsia="en-AU"/>
        </w:rPr>
      </w:pPr>
      <w:hyperlink w:anchor="_Toc518483538" w:history="1">
        <w:r w:rsidRPr="0066087A">
          <w:rPr>
            <w:rStyle w:val="Hyperlink"/>
            <w:noProof/>
          </w:rPr>
          <w:t>TIO structure and funding</w:t>
        </w:r>
        <w:r>
          <w:rPr>
            <w:noProof/>
            <w:webHidden/>
          </w:rPr>
          <w:tab/>
        </w:r>
        <w:r>
          <w:rPr>
            <w:noProof/>
            <w:webHidden/>
          </w:rPr>
          <w:fldChar w:fldCharType="begin"/>
        </w:r>
        <w:r>
          <w:rPr>
            <w:noProof/>
            <w:webHidden/>
          </w:rPr>
          <w:instrText xml:space="preserve"> PAGEREF _Toc518483538 \h </w:instrText>
        </w:r>
        <w:r>
          <w:rPr>
            <w:noProof/>
            <w:webHidden/>
          </w:rPr>
        </w:r>
        <w:r>
          <w:rPr>
            <w:noProof/>
            <w:webHidden/>
          </w:rPr>
          <w:fldChar w:fldCharType="separate"/>
        </w:r>
        <w:r>
          <w:rPr>
            <w:noProof/>
            <w:webHidden/>
          </w:rPr>
          <w:t>8</w:t>
        </w:r>
        <w:r>
          <w:rPr>
            <w:noProof/>
            <w:webHidden/>
          </w:rPr>
          <w:fldChar w:fldCharType="end"/>
        </w:r>
      </w:hyperlink>
    </w:p>
    <w:p w14:paraId="341A9376" w14:textId="77777777" w:rsidR="00B74147" w:rsidRDefault="00B74147">
      <w:pPr>
        <w:pStyle w:val="TOC2"/>
        <w:rPr>
          <w:noProof/>
          <w:lang w:eastAsia="en-AU"/>
        </w:rPr>
      </w:pPr>
      <w:hyperlink w:anchor="_Toc518483539" w:history="1">
        <w:r w:rsidRPr="0066087A">
          <w:rPr>
            <w:rStyle w:val="Hyperlink"/>
            <w:noProof/>
          </w:rPr>
          <w:t>Data collection, analysis and reporting</w:t>
        </w:r>
        <w:r>
          <w:rPr>
            <w:noProof/>
            <w:webHidden/>
          </w:rPr>
          <w:tab/>
        </w:r>
        <w:r>
          <w:rPr>
            <w:noProof/>
            <w:webHidden/>
          </w:rPr>
          <w:fldChar w:fldCharType="begin"/>
        </w:r>
        <w:r>
          <w:rPr>
            <w:noProof/>
            <w:webHidden/>
          </w:rPr>
          <w:instrText xml:space="preserve"> PAGEREF _Toc518483539 \h </w:instrText>
        </w:r>
        <w:r>
          <w:rPr>
            <w:noProof/>
            <w:webHidden/>
          </w:rPr>
        </w:r>
        <w:r>
          <w:rPr>
            <w:noProof/>
            <w:webHidden/>
          </w:rPr>
          <w:fldChar w:fldCharType="separate"/>
        </w:r>
        <w:r>
          <w:rPr>
            <w:noProof/>
            <w:webHidden/>
          </w:rPr>
          <w:t>8</w:t>
        </w:r>
        <w:r>
          <w:rPr>
            <w:noProof/>
            <w:webHidden/>
          </w:rPr>
          <w:fldChar w:fldCharType="end"/>
        </w:r>
      </w:hyperlink>
    </w:p>
    <w:p w14:paraId="7A97E3A4" w14:textId="77777777" w:rsidR="00B74147" w:rsidRDefault="00B74147">
      <w:pPr>
        <w:pStyle w:val="TOC1"/>
        <w:rPr>
          <w:b w:val="0"/>
          <w:noProof/>
          <w:color w:val="auto"/>
          <w:sz w:val="22"/>
          <w:lang w:eastAsia="en-AU"/>
        </w:rPr>
      </w:pPr>
      <w:hyperlink w:anchor="_Toc518483540" w:history="1">
        <w:r w:rsidRPr="0066087A">
          <w:rPr>
            <w:rStyle w:val="Hyperlink"/>
            <w:noProof/>
          </w:rPr>
          <w:t>The new rules and standards</w:t>
        </w:r>
        <w:r>
          <w:rPr>
            <w:noProof/>
            <w:webHidden/>
          </w:rPr>
          <w:tab/>
        </w:r>
        <w:r>
          <w:rPr>
            <w:noProof/>
            <w:webHidden/>
          </w:rPr>
          <w:fldChar w:fldCharType="begin"/>
        </w:r>
        <w:r>
          <w:rPr>
            <w:noProof/>
            <w:webHidden/>
          </w:rPr>
          <w:instrText xml:space="preserve"> PAGEREF _Toc518483540 \h </w:instrText>
        </w:r>
        <w:r>
          <w:rPr>
            <w:noProof/>
            <w:webHidden/>
          </w:rPr>
        </w:r>
        <w:r>
          <w:rPr>
            <w:noProof/>
            <w:webHidden/>
          </w:rPr>
          <w:fldChar w:fldCharType="separate"/>
        </w:r>
        <w:r>
          <w:rPr>
            <w:noProof/>
            <w:webHidden/>
          </w:rPr>
          <w:t>8</w:t>
        </w:r>
        <w:r>
          <w:rPr>
            <w:noProof/>
            <w:webHidden/>
          </w:rPr>
          <w:fldChar w:fldCharType="end"/>
        </w:r>
      </w:hyperlink>
    </w:p>
    <w:p w14:paraId="3004F940" w14:textId="77777777" w:rsidR="00B74147" w:rsidRDefault="00B74147">
      <w:pPr>
        <w:pStyle w:val="TOC1"/>
        <w:rPr>
          <w:b w:val="0"/>
          <w:noProof/>
          <w:color w:val="auto"/>
          <w:sz w:val="22"/>
          <w:lang w:eastAsia="en-AU"/>
        </w:rPr>
      </w:pPr>
      <w:hyperlink w:anchor="_Toc518483541" w:history="1">
        <w:r w:rsidRPr="0066087A">
          <w:rPr>
            <w:rStyle w:val="Hyperlink"/>
            <w:noProof/>
          </w:rPr>
          <w:t>Proposals for reform</w:t>
        </w:r>
        <w:r>
          <w:rPr>
            <w:noProof/>
            <w:webHidden/>
          </w:rPr>
          <w:tab/>
        </w:r>
        <w:r>
          <w:rPr>
            <w:noProof/>
            <w:webHidden/>
          </w:rPr>
          <w:fldChar w:fldCharType="begin"/>
        </w:r>
        <w:r>
          <w:rPr>
            <w:noProof/>
            <w:webHidden/>
          </w:rPr>
          <w:instrText xml:space="preserve"> PAGEREF _Toc518483541 \h </w:instrText>
        </w:r>
        <w:r>
          <w:rPr>
            <w:noProof/>
            <w:webHidden/>
          </w:rPr>
        </w:r>
        <w:r>
          <w:rPr>
            <w:noProof/>
            <w:webHidden/>
          </w:rPr>
          <w:fldChar w:fldCharType="separate"/>
        </w:r>
        <w:r>
          <w:rPr>
            <w:noProof/>
            <w:webHidden/>
          </w:rPr>
          <w:t>9</w:t>
        </w:r>
        <w:r>
          <w:rPr>
            <w:noProof/>
            <w:webHidden/>
          </w:rPr>
          <w:fldChar w:fldCharType="end"/>
        </w:r>
      </w:hyperlink>
    </w:p>
    <w:p w14:paraId="49DACAAA" w14:textId="77777777" w:rsidR="00B74147" w:rsidRDefault="00B74147">
      <w:pPr>
        <w:pStyle w:val="TOC2"/>
        <w:rPr>
          <w:noProof/>
          <w:lang w:eastAsia="en-AU"/>
        </w:rPr>
      </w:pPr>
      <w:hyperlink w:anchor="_Toc518483542" w:history="1">
        <w:r w:rsidRPr="0066087A">
          <w:rPr>
            <w:rStyle w:val="Hyperlink"/>
            <w:noProof/>
          </w:rPr>
          <w:t>These proposals are based on the following principles:</w:t>
        </w:r>
        <w:r>
          <w:rPr>
            <w:noProof/>
            <w:webHidden/>
          </w:rPr>
          <w:tab/>
        </w:r>
        <w:r>
          <w:rPr>
            <w:noProof/>
            <w:webHidden/>
          </w:rPr>
          <w:fldChar w:fldCharType="begin"/>
        </w:r>
        <w:r>
          <w:rPr>
            <w:noProof/>
            <w:webHidden/>
          </w:rPr>
          <w:instrText xml:space="preserve"> PAGEREF _Toc518483542 \h </w:instrText>
        </w:r>
        <w:r>
          <w:rPr>
            <w:noProof/>
            <w:webHidden/>
          </w:rPr>
        </w:r>
        <w:r>
          <w:rPr>
            <w:noProof/>
            <w:webHidden/>
          </w:rPr>
          <w:fldChar w:fldCharType="separate"/>
        </w:r>
        <w:r>
          <w:rPr>
            <w:noProof/>
            <w:webHidden/>
          </w:rPr>
          <w:t>9</w:t>
        </w:r>
        <w:r>
          <w:rPr>
            <w:noProof/>
            <w:webHidden/>
          </w:rPr>
          <w:fldChar w:fldCharType="end"/>
        </w:r>
      </w:hyperlink>
    </w:p>
    <w:p w14:paraId="699DC15C" w14:textId="77777777" w:rsidR="00B74147" w:rsidRDefault="00B74147">
      <w:pPr>
        <w:pStyle w:val="TOC3"/>
        <w:rPr>
          <w:noProof/>
          <w:lang w:eastAsia="en-AU"/>
        </w:rPr>
      </w:pPr>
      <w:hyperlink w:anchor="_Toc518483543" w:history="1">
        <w:r w:rsidRPr="0066087A">
          <w:rPr>
            <w:rStyle w:val="Hyperlink"/>
            <w:noProof/>
          </w:rPr>
          <w:t>Principle 1: Industry should have responsibility for taking care of its customers</w:t>
        </w:r>
        <w:r>
          <w:rPr>
            <w:noProof/>
            <w:webHidden/>
          </w:rPr>
          <w:tab/>
        </w:r>
        <w:r>
          <w:rPr>
            <w:noProof/>
            <w:webHidden/>
          </w:rPr>
          <w:fldChar w:fldCharType="begin"/>
        </w:r>
        <w:r>
          <w:rPr>
            <w:noProof/>
            <w:webHidden/>
          </w:rPr>
          <w:instrText xml:space="preserve"> PAGEREF _Toc518483543 \h </w:instrText>
        </w:r>
        <w:r>
          <w:rPr>
            <w:noProof/>
            <w:webHidden/>
          </w:rPr>
        </w:r>
        <w:r>
          <w:rPr>
            <w:noProof/>
            <w:webHidden/>
          </w:rPr>
          <w:fldChar w:fldCharType="separate"/>
        </w:r>
        <w:r>
          <w:rPr>
            <w:noProof/>
            <w:webHidden/>
          </w:rPr>
          <w:t>9</w:t>
        </w:r>
        <w:r>
          <w:rPr>
            <w:noProof/>
            <w:webHidden/>
          </w:rPr>
          <w:fldChar w:fldCharType="end"/>
        </w:r>
      </w:hyperlink>
    </w:p>
    <w:p w14:paraId="640FCBF3" w14:textId="77777777" w:rsidR="00B74147" w:rsidRDefault="00B74147">
      <w:pPr>
        <w:pStyle w:val="TOC3"/>
        <w:rPr>
          <w:noProof/>
          <w:lang w:eastAsia="en-AU"/>
        </w:rPr>
      </w:pPr>
      <w:hyperlink w:anchor="_Toc518483544" w:history="1">
        <w:r w:rsidRPr="0066087A">
          <w:rPr>
            <w:rStyle w:val="Hyperlink"/>
            <w:noProof/>
          </w:rPr>
          <w:t>Principle 2: Consumer safeguards are best delivered through direct regulation</w:t>
        </w:r>
        <w:r>
          <w:rPr>
            <w:noProof/>
            <w:webHidden/>
          </w:rPr>
          <w:tab/>
        </w:r>
        <w:r>
          <w:rPr>
            <w:noProof/>
            <w:webHidden/>
          </w:rPr>
          <w:fldChar w:fldCharType="begin"/>
        </w:r>
        <w:r>
          <w:rPr>
            <w:noProof/>
            <w:webHidden/>
          </w:rPr>
          <w:instrText xml:space="preserve"> PAGEREF _Toc518483544 \h </w:instrText>
        </w:r>
        <w:r>
          <w:rPr>
            <w:noProof/>
            <w:webHidden/>
          </w:rPr>
        </w:r>
        <w:r>
          <w:rPr>
            <w:noProof/>
            <w:webHidden/>
          </w:rPr>
          <w:fldChar w:fldCharType="separate"/>
        </w:r>
        <w:r>
          <w:rPr>
            <w:noProof/>
            <w:webHidden/>
          </w:rPr>
          <w:t>9</w:t>
        </w:r>
        <w:r>
          <w:rPr>
            <w:noProof/>
            <w:webHidden/>
          </w:rPr>
          <w:fldChar w:fldCharType="end"/>
        </w:r>
      </w:hyperlink>
    </w:p>
    <w:p w14:paraId="4D1007D6" w14:textId="77777777" w:rsidR="00B74147" w:rsidRDefault="00B74147">
      <w:pPr>
        <w:pStyle w:val="TOC2"/>
        <w:rPr>
          <w:noProof/>
          <w:lang w:eastAsia="en-AU"/>
        </w:rPr>
      </w:pPr>
      <w:hyperlink w:anchor="_Toc518483545" w:history="1">
        <w:r w:rsidRPr="0066087A">
          <w:rPr>
            <w:rStyle w:val="Hyperlink"/>
            <w:noProof/>
          </w:rPr>
          <w:t>Issues for comment</w:t>
        </w:r>
        <w:r>
          <w:rPr>
            <w:noProof/>
            <w:webHidden/>
          </w:rPr>
          <w:tab/>
        </w:r>
        <w:r>
          <w:rPr>
            <w:noProof/>
            <w:webHidden/>
          </w:rPr>
          <w:fldChar w:fldCharType="begin"/>
        </w:r>
        <w:r>
          <w:rPr>
            <w:noProof/>
            <w:webHidden/>
          </w:rPr>
          <w:instrText xml:space="preserve"> PAGEREF _Toc518483545 \h </w:instrText>
        </w:r>
        <w:r>
          <w:rPr>
            <w:noProof/>
            <w:webHidden/>
          </w:rPr>
        </w:r>
        <w:r>
          <w:rPr>
            <w:noProof/>
            <w:webHidden/>
          </w:rPr>
          <w:fldChar w:fldCharType="separate"/>
        </w:r>
        <w:r>
          <w:rPr>
            <w:noProof/>
            <w:webHidden/>
          </w:rPr>
          <w:t>10</w:t>
        </w:r>
        <w:r>
          <w:rPr>
            <w:noProof/>
            <w:webHidden/>
          </w:rPr>
          <w:fldChar w:fldCharType="end"/>
        </w:r>
      </w:hyperlink>
    </w:p>
    <w:p w14:paraId="7B097F6B" w14:textId="77777777" w:rsidR="00B74147" w:rsidRDefault="00B74147">
      <w:pPr>
        <w:pStyle w:val="TOC2"/>
        <w:rPr>
          <w:noProof/>
          <w:lang w:eastAsia="en-AU"/>
        </w:rPr>
      </w:pPr>
      <w:hyperlink w:anchor="_Toc518483546" w:history="1">
        <w:r w:rsidRPr="0066087A">
          <w:rPr>
            <w:rStyle w:val="Hyperlink"/>
            <w:noProof/>
          </w:rPr>
          <w:t>These proposals are based on the following principles:</w:t>
        </w:r>
        <w:r>
          <w:rPr>
            <w:noProof/>
            <w:webHidden/>
          </w:rPr>
          <w:tab/>
        </w:r>
        <w:r>
          <w:rPr>
            <w:noProof/>
            <w:webHidden/>
          </w:rPr>
          <w:fldChar w:fldCharType="begin"/>
        </w:r>
        <w:r>
          <w:rPr>
            <w:noProof/>
            <w:webHidden/>
          </w:rPr>
          <w:instrText xml:space="preserve"> PAGEREF _Toc518483546 \h </w:instrText>
        </w:r>
        <w:r>
          <w:rPr>
            <w:noProof/>
            <w:webHidden/>
          </w:rPr>
        </w:r>
        <w:r>
          <w:rPr>
            <w:noProof/>
            <w:webHidden/>
          </w:rPr>
          <w:fldChar w:fldCharType="separate"/>
        </w:r>
        <w:r>
          <w:rPr>
            <w:noProof/>
            <w:webHidden/>
          </w:rPr>
          <w:t>11</w:t>
        </w:r>
        <w:r>
          <w:rPr>
            <w:noProof/>
            <w:webHidden/>
          </w:rPr>
          <w:fldChar w:fldCharType="end"/>
        </w:r>
      </w:hyperlink>
    </w:p>
    <w:p w14:paraId="366A348B" w14:textId="77777777" w:rsidR="00B74147" w:rsidRDefault="00B74147">
      <w:pPr>
        <w:pStyle w:val="TOC3"/>
        <w:rPr>
          <w:noProof/>
          <w:lang w:eastAsia="en-AU"/>
        </w:rPr>
      </w:pPr>
      <w:hyperlink w:anchor="_Toc518483547" w:history="1">
        <w:r w:rsidRPr="0066087A">
          <w:rPr>
            <w:rStyle w:val="Hyperlink"/>
            <w:noProof/>
          </w:rPr>
          <w:t>Principle 3: Consumers have an independent avenue for resolution and/or redress</w:t>
        </w:r>
        <w:r>
          <w:rPr>
            <w:noProof/>
            <w:webHidden/>
          </w:rPr>
          <w:tab/>
        </w:r>
        <w:r>
          <w:rPr>
            <w:noProof/>
            <w:webHidden/>
          </w:rPr>
          <w:fldChar w:fldCharType="begin"/>
        </w:r>
        <w:r>
          <w:rPr>
            <w:noProof/>
            <w:webHidden/>
          </w:rPr>
          <w:instrText xml:space="preserve"> PAGEREF _Toc518483547 \h </w:instrText>
        </w:r>
        <w:r>
          <w:rPr>
            <w:noProof/>
            <w:webHidden/>
          </w:rPr>
        </w:r>
        <w:r>
          <w:rPr>
            <w:noProof/>
            <w:webHidden/>
          </w:rPr>
          <w:fldChar w:fldCharType="separate"/>
        </w:r>
        <w:r>
          <w:rPr>
            <w:noProof/>
            <w:webHidden/>
          </w:rPr>
          <w:t>11</w:t>
        </w:r>
        <w:r>
          <w:rPr>
            <w:noProof/>
            <w:webHidden/>
          </w:rPr>
          <w:fldChar w:fldCharType="end"/>
        </w:r>
      </w:hyperlink>
    </w:p>
    <w:p w14:paraId="236E77F6" w14:textId="77777777" w:rsidR="00B74147" w:rsidRDefault="00B74147">
      <w:pPr>
        <w:pStyle w:val="TOC3"/>
        <w:rPr>
          <w:noProof/>
          <w:lang w:eastAsia="en-AU"/>
        </w:rPr>
      </w:pPr>
      <w:hyperlink w:anchor="_Toc518483548" w:history="1">
        <w:r w:rsidRPr="0066087A">
          <w:rPr>
            <w:rStyle w:val="Hyperlink"/>
            <w:noProof/>
          </w:rPr>
          <w:t>Principle 4: Governance and public accountability</w:t>
        </w:r>
        <w:r>
          <w:rPr>
            <w:noProof/>
            <w:webHidden/>
          </w:rPr>
          <w:tab/>
        </w:r>
        <w:r>
          <w:rPr>
            <w:noProof/>
            <w:webHidden/>
          </w:rPr>
          <w:fldChar w:fldCharType="begin"/>
        </w:r>
        <w:r>
          <w:rPr>
            <w:noProof/>
            <w:webHidden/>
          </w:rPr>
          <w:instrText xml:space="preserve"> PAGEREF _Toc518483548 \h </w:instrText>
        </w:r>
        <w:r>
          <w:rPr>
            <w:noProof/>
            <w:webHidden/>
          </w:rPr>
        </w:r>
        <w:r>
          <w:rPr>
            <w:noProof/>
            <w:webHidden/>
          </w:rPr>
          <w:fldChar w:fldCharType="separate"/>
        </w:r>
        <w:r>
          <w:rPr>
            <w:noProof/>
            <w:webHidden/>
          </w:rPr>
          <w:t>11</w:t>
        </w:r>
        <w:r>
          <w:rPr>
            <w:noProof/>
            <w:webHidden/>
          </w:rPr>
          <w:fldChar w:fldCharType="end"/>
        </w:r>
      </w:hyperlink>
    </w:p>
    <w:p w14:paraId="5FFCEC6F" w14:textId="77777777" w:rsidR="00B74147" w:rsidRDefault="00B74147">
      <w:pPr>
        <w:pStyle w:val="TOC3"/>
        <w:rPr>
          <w:noProof/>
          <w:lang w:eastAsia="en-AU"/>
        </w:rPr>
      </w:pPr>
      <w:hyperlink w:anchor="_Toc518483549" w:history="1">
        <w:r w:rsidRPr="0066087A">
          <w:rPr>
            <w:rStyle w:val="Hyperlink"/>
            <w:noProof/>
          </w:rPr>
          <w:t>Principle 5: Appropriate institutional arrangements</w:t>
        </w:r>
        <w:r>
          <w:rPr>
            <w:noProof/>
            <w:webHidden/>
          </w:rPr>
          <w:tab/>
        </w:r>
        <w:r>
          <w:rPr>
            <w:noProof/>
            <w:webHidden/>
          </w:rPr>
          <w:fldChar w:fldCharType="begin"/>
        </w:r>
        <w:r>
          <w:rPr>
            <w:noProof/>
            <w:webHidden/>
          </w:rPr>
          <w:instrText xml:space="preserve"> PAGEREF _Toc518483549 \h </w:instrText>
        </w:r>
        <w:r>
          <w:rPr>
            <w:noProof/>
            <w:webHidden/>
          </w:rPr>
        </w:r>
        <w:r>
          <w:rPr>
            <w:noProof/>
            <w:webHidden/>
          </w:rPr>
          <w:fldChar w:fldCharType="separate"/>
        </w:r>
        <w:r>
          <w:rPr>
            <w:noProof/>
            <w:webHidden/>
          </w:rPr>
          <w:t>11</w:t>
        </w:r>
        <w:r>
          <w:rPr>
            <w:noProof/>
            <w:webHidden/>
          </w:rPr>
          <w:fldChar w:fldCharType="end"/>
        </w:r>
      </w:hyperlink>
    </w:p>
    <w:p w14:paraId="050756E3" w14:textId="77777777" w:rsidR="00B74147" w:rsidRDefault="00B74147">
      <w:pPr>
        <w:pStyle w:val="TOC2"/>
        <w:rPr>
          <w:noProof/>
          <w:lang w:eastAsia="en-AU"/>
        </w:rPr>
      </w:pPr>
      <w:hyperlink w:anchor="_Toc518483550" w:history="1">
        <w:r w:rsidRPr="0066087A">
          <w:rPr>
            <w:rStyle w:val="Hyperlink"/>
            <w:noProof/>
          </w:rPr>
          <w:t>Issues for comment</w:t>
        </w:r>
        <w:r>
          <w:rPr>
            <w:noProof/>
            <w:webHidden/>
          </w:rPr>
          <w:tab/>
        </w:r>
        <w:r>
          <w:rPr>
            <w:noProof/>
            <w:webHidden/>
          </w:rPr>
          <w:fldChar w:fldCharType="begin"/>
        </w:r>
        <w:r>
          <w:rPr>
            <w:noProof/>
            <w:webHidden/>
          </w:rPr>
          <w:instrText xml:space="preserve"> PAGEREF _Toc518483550 \h </w:instrText>
        </w:r>
        <w:r>
          <w:rPr>
            <w:noProof/>
            <w:webHidden/>
          </w:rPr>
        </w:r>
        <w:r>
          <w:rPr>
            <w:noProof/>
            <w:webHidden/>
          </w:rPr>
          <w:fldChar w:fldCharType="separate"/>
        </w:r>
        <w:r>
          <w:rPr>
            <w:noProof/>
            <w:webHidden/>
          </w:rPr>
          <w:t>11</w:t>
        </w:r>
        <w:r>
          <w:rPr>
            <w:noProof/>
            <w:webHidden/>
          </w:rPr>
          <w:fldChar w:fldCharType="end"/>
        </w:r>
      </w:hyperlink>
    </w:p>
    <w:p w14:paraId="059CFFE9" w14:textId="77777777" w:rsidR="00B74147" w:rsidRDefault="00B74147">
      <w:pPr>
        <w:pStyle w:val="TOC2"/>
        <w:rPr>
          <w:noProof/>
          <w:lang w:eastAsia="en-AU"/>
        </w:rPr>
      </w:pPr>
      <w:hyperlink w:anchor="_Toc518483551" w:history="1">
        <w:r w:rsidRPr="0066087A">
          <w:rPr>
            <w:rStyle w:val="Hyperlink"/>
            <w:noProof/>
          </w:rPr>
          <w:t>These proposals are based on the following principle:</w:t>
        </w:r>
        <w:r>
          <w:rPr>
            <w:noProof/>
            <w:webHidden/>
          </w:rPr>
          <w:tab/>
        </w:r>
        <w:r>
          <w:rPr>
            <w:noProof/>
            <w:webHidden/>
          </w:rPr>
          <w:fldChar w:fldCharType="begin"/>
        </w:r>
        <w:r>
          <w:rPr>
            <w:noProof/>
            <w:webHidden/>
          </w:rPr>
          <w:instrText xml:space="preserve"> PAGEREF _Toc518483551 \h </w:instrText>
        </w:r>
        <w:r>
          <w:rPr>
            <w:noProof/>
            <w:webHidden/>
          </w:rPr>
        </w:r>
        <w:r>
          <w:rPr>
            <w:noProof/>
            <w:webHidden/>
          </w:rPr>
          <w:fldChar w:fldCharType="separate"/>
        </w:r>
        <w:r>
          <w:rPr>
            <w:noProof/>
            <w:webHidden/>
          </w:rPr>
          <w:t>12</w:t>
        </w:r>
        <w:r>
          <w:rPr>
            <w:noProof/>
            <w:webHidden/>
          </w:rPr>
          <w:fldChar w:fldCharType="end"/>
        </w:r>
      </w:hyperlink>
    </w:p>
    <w:p w14:paraId="73123F05" w14:textId="77777777" w:rsidR="00B74147" w:rsidRDefault="00B74147">
      <w:pPr>
        <w:pStyle w:val="TOC3"/>
        <w:rPr>
          <w:noProof/>
          <w:lang w:eastAsia="en-AU"/>
        </w:rPr>
      </w:pPr>
      <w:hyperlink w:anchor="_Toc518483552" w:history="1">
        <w:r w:rsidRPr="0066087A">
          <w:rPr>
            <w:rStyle w:val="Hyperlink"/>
            <w:noProof/>
          </w:rPr>
          <w:t>Principle 6: Complaints data collection, analysis and reporting should drive improved outcomes</w:t>
        </w:r>
        <w:r>
          <w:rPr>
            <w:noProof/>
            <w:webHidden/>
          </w:rPr>
          <w:tab/>
        </w:r>
        <w:r>
          <w:rPr>
            <w:noProof/>
            <w:webHidden/>
          </w:rPr>
          <w:fldChar w:fldCharType="begin"/>
        </w:r>
        <w:r>
          <w:rPr>
            <w:noProof/>
            <w:webHidden/>
          </w:rPr>
          <w:instrText xml:space="preserve"> PAGEREF _Toc518483552 \h </w:instrText>
        </w:r>
        <w:r>
          <w:rPr>
            <w:noProof/>
            <w:webHidden/>
          </w:rPr>
        </w:r>
        <w:r>
          <w:rPr>
            <w:noProof/>
            <w:webHidden/>
          </w:rPr>
          <w:fldChar w:fldCharType="separate"/>
        </w:r>
        <w:r>
          <w:rPr>
            <w:noProof/>
            <w:webHidden/>
          </w:rPr>
          <w:t>12</w:t>
        </w:r>
        <w:r>
          <w:rPr>
            <w:noProof/>
            <w:webHidden/>
          </w:rPr>
          <w:fldChar w:fldCharType="end"/>
        </w:r>
      </w:hyperlink>
    </w:p>
    <w:p w14:paraId="1E08978F" w14:textId="77777777" w:rsidR="00B74147" w:rsidRDefault="00B74147">
      <w:pPr>
        <w:pStyle w:val="TOC2"/>
        <w:rPr>
          <w:noProof/>
          <w:lang w:eastAsia="en-AU"/>
        </w:rPr>
      </w:pPr>
      <w:hyperlink w:anchor="_Toc518483553" w:history="1">
        <w:r w:rsidRPr="0066087A">
          <w:rPr>
            <w:rStyle w:val="Hyperlink"/>
            <w:noProof/>
          </w:rPr>
          <w:t>Issues for comment</w:t>
        </w:r>
        <w:r>
          <w:rPr>
            <w:noProof/>
            <w:webHidden/>
          </w:rPr>
          <w:tab/>
        </w:r>
        <w:r>
          <w:rPr>
            <w:noProof/>
            <w:webHidden/>
          </w:rPr>
          <w:fldChar w:fldCharType="begin"/>
        </w:r>
        <w:r>
          <w:rPr>
            <w:noProof/>
            <w:webHidden/>
          </w:rPr>
          <w:instrText xml:space="preserve"> PAGEREF _Toc518483553 \h </w:instrText>
        </w:r>
        <w:r>
          <w:rPr>
            <w:noProof/>
            <w:webHidden/>
          </w:rPr>
        </w:r>
        <w:r>
          <w:rPr>
            <w:noProof/>
            <w:webHidden/>
          </w:rPr>
          <w:fldChar w:fldCharType="separate"/>
        </w:r>
        <w:r>
          <w:rPr>
            <w:noProof/>
            <w:webHidden/>
          </w:rPr>
          <w:t>12</w:t>
        </w:r>
        <w:r>
          <w:rPr>
            <w:noProof/>
            <w:webHidden/>
          </w:rPr>
          <w:fldChar w:fldCharType="end"/>
        </w:r>
      </w:hyperlink>
    </w:p>
    <w:p w14:paraId="4AAAFC6D" w14:textId="77777777" w:rsidR="00B74147" w:rsidRDefault="00B74147">
      <w:pPr>
        <w:pStyle w:val="TOC1"/>
        <w:rPr>
          <w:b w:val="0"/>
          <w:noProof/>
          <w:color w:val="auto"/>
          <w:sz w:val="22"/>
          <w:lang w:eastAsia="en-AU"/>
        </w:rPr>
      </w:pPr>
      <w:hyperlink w:anchor="_Toc518483554" w:history="1">
        <w:r w:rsidRPr="0066087A">
          <w:rPr>
            <w:rStyle w:val="Hyperlink"/>
            <w:noProof/>
          </w:rPr>
          <w:t>Appendix A</w:t>
        </w:r>
        <w:r>
          <w:rPr>
            <w:noProof/>
            <w:webHidden/>
          </w:rPr>
          <w:tab/>
        </w:r>
        <w:r>
          <w:rPr>
            <w:noProof/>
            <w:webHidden/>
          </w:rPr>
          <w:fldChar w:fldCharType="begin"/>
        </w:r>
        <w:r>
          <w:rPr>
            <w:noProof/>
            <w:webHidden/>
          </w:rPr>
          <w:instrText xml:space="preserve"> PAGEREF _Toc518483554 \h </w:instrText>
        </w:r>
        <w:r>
          <w:rPr>
            <w:noProof/>
            <w:webHidden/>
          </w:rPr>
        </w:r>
        <w:r>
          <w:rPr>
            <w:noProof/>
            <w:webHidden/>
          </w:rPr>
          <w:fldChar w:fldCharType="separate"/>
        </w:r>
        <w:r>
          <w:rPr>
            <w:noProof/>
            <w:webHidden/>
          </w:rPr>
          <w:t>13</w:t>
        </w:r>
        <w:r>
          <w:rPr>
            <w:noProof/>
            <w:webHidden/>
          </w:rPr>
          <w:fldChar w:fldCharType="end"/>
        </w:r>
      </w:hyperlink>
    </w:p>
    <w:p w14:paraId="1CA2B346" w14:textId="77777777" w:rsidR="00B74147" w:rsidRDefault="00B74147">
      <w:pPr>
        <w:pStyle w:val="TOC2"/>
        <w:rPr>
          <w:noProof/>
          <w:lang w:eastAsia="en-AU"/>
        </w:rPr>
      </w:pPr>
      <w:hyperlink w:anchor="_Toc518483555" w:history="1">
        <w:r w:rsidRPr="0066087A">
          <w:rPr>
            <w:rStyle w:val="Hyperlink"/>
            <w:noProof/>
          </w:rPr>
          <w:t>Terms of Reference</w:t>
        </w:r>
        <w:r>
          <w:rPr>
            <w:noProof/>
            <w:webHidden/>
          </w:rPr>
          <w:tab/>
        </w:r>
        <w:r>
          <w:rPr>
            <w:noProof/>
            <w:webHidden/>
          </w:rPr>
          <w:fldChar w:fldCharType="begin"/>
        </w:r>
        <w:r>
          <w:rPr>
            <w:noProof/>
            <w:webHidden/>
          </w:rPr>
          <w:instrText xml:space="preserve"> PAGEREF _Toc518483555 \h </w:instrText>
        </w:r>
        <w:r>
          <w:rPr>
            <w:noProof/>
            <w:webHidden/>
          </w:rPr>
        </w:r>
        <w:r>
          <w:rPr>
            <w:noProof/>
            <w:webHidden/>
          </w:rPr>
          <w:fldChar w:fldCharType="separate"/>
        </w:r>
        <w:r>
          <w:rPr>
            <w:noProof/>
            <w:webHidden/>
          </w:rPr>
          <w:t>13</w:t>
        </w:r>
        <w:r>
          <w:rPr>
            <w:noProof/>
            <w:webHidden/>
          </w:rPr>
          <w:fldChar w:fldCharType="end"/>
        </w:r>
      </w:hyperlink>
    </w:p>
    <w:p w14:paraId="28C43775" w14:textId="77777777" w:rsidR="00B74147" w:rsidRDefault="00B74147">
      <w:pPr>
        <w:pStyle w:val="TOC3"/>
        <w:rPr>
          <w:noProof/>
          <w:lang w:eastAsia="en-AU"/>
        </w:rPr>
      </w:pPr>
      <w:hyperlink w:anchor="_Toc518483556" w:history="1">
        <w:r w:rsidRPr="0066087A">
          <w:rPr>
            <w:rStyle w:val="Hyperlink"/>
            <w:noProof/>
          </w:rPr>
          <w:t>Telecommunications Consumer Safeguards Review</w:t>
        </w:r>
        <w:r>
          <w:rPr>
            <w:noProof/>
            <w:webHidden/>
          </w:rPr>
          <w:tab/>
        </w:r>
        <w:r>
          <w:rPr>
            <w:noProof/>
            <w:webHidden/>
          </w:rPr>
          <w:fldChar w:fldCharType="begin"/>
        </w:r>
        <w:r>
          <w:rPr>
            <w:noProof/>
            <w:webHidden/>
          </w:rPr>
          <w:instrText xml:space="preserve"> PAGEREF _Toc518483556 \h </w:instrText>
        </w:r>
        <w:r>
          <w:rPr>
            <w:noProof/>
            <w:webHidden/>
          </w:rPr>
        </w:r>
        <w:r>
          <w:rPr>
            <w:noProof/>
            <w:webHidden/>
          </w:rPr>
          <w:fldChar w:fldCharType="separate"/>
        </w:r>
        <w:r>
          <w:rPr>
            <w:noProof/>
            <w:webHidden/>
          </w:rPr>
          <w:t>13</w:t>
        </w:r>
        <w:r>
          <w:rPr>
            <w:noProof/>
            <w:webHidden/>
          </w:rPr>
          <w:fldChar w:fldCharType="end"/>
        </w:r>
      </w:hyperlink>
    </w:p>
    <w:p w14:paraId="0A9051BC" w14:textId="77777777" w:rsidR="00B74147" w:rsidRDefault="00B74147">
      <w:pPr>
        <w:pStyle w:val="TOC1"/>
        <w:rPr>
          <w:b w:val="0"/>
          <w:noProof/>
          <w:color w:val="auto"/>
          <w:sz w:val="22"/>
          <w:lang w:eastAsia="en-AU"/>
        </w:rPr>
      </w:pPr>
      <w:hyperlink w:anchor="_Toc518483557" w:history="1">
        <w:r w:rsidRPr="0066087A">
          <w:rPr>
            <w:rStyle w:val="Hyperlink"/>
            <w:noProof/>
          </w:rPr>
          <w:t>Appendix B</w:t>
        </w:r>
        <w:r>
          <w:rPr>
            <w:noProof/>
            <w:webHidden/>
          </w:rPr>
          <w:tab/>
        </w:r>
        <w:r>
          <w:rPr>
            <w:noProof/>
            <w:webHidden/>
          </w:rPr>
          <w:fldChar w:fldCharType="begin"/>
        </w:r>
        <w:r>
          <w:rPr>
            <w:noProof/>
            <w:webHidden/>
          </w:rPr>
          <w:instrText xml:space="preserve"> PAGEREF _Toc518483557 \h </w:instrText>
        </w:r>
        <w:r>
          <w:rPr>
            <w:noProof/>
            <w:webHidden/>
          </w:rPr>
        </w:r>
        <w:r>
          <w:rPr>
            <w:noProof/>
            <w:webHidden/>
          </w:rPr>
          <w:fldChar w:fldCharType="separate"/>
        </w:r>
        <w:r>
          <w:rPr>
            <w:noProof/>
            <w:webHidden/>
          </w:rPr>
          <w:t>14</w:t>
        </w:r>
        <w:r>
          <w:rPr>
            <w:noProof/>
            <w:webHidden/>
          </w:rPr>
          <w:fldChar w:fldCharType="end"/>
        </w:r>
      </w:hyperlink>
    </w:p>
    <w:p w14:paraId="5D9C3EAF" w14:textId="77777777" w:rsidR="00B74147" w:rsidRDefault="00B74147">
      <w:pPr>
        <w:pStyle w:val="TOC2"/>
        <w:rPr>
          <w:noProof/>
          <w:lang w:eastAsia="en-AU"/>
        </w:rPr>
      </w:pPr>
      <w:hyperlink w:anchor="_Toc518483558" w:history="1">
        <w:r w:rsidRPr="0066087A">
          <w:rPr>
            <w:rStyle w:val="Hyperlink"/>
            <w:noProof/>
          </w:rPr>
          <w:t>Overview of Proposed Future Framework</w:t>
        </w:r>
        <w:r>
          <w:rPr>
            <w:noProof/>
            <w:webHidden/>
          </w:rPr>
          <w:tab/>
        </w:r>
        <w:r>
          <w:rPr>
            <w:noProof/>
            <w:webHidden/>
          </w:rPr>
          <w:fldChar w:fldCharType="begin"/>
        </w:r>
        <w:r>
          <w:rPr>
            <w:noProof/>
            <w:webHidden/>
          </w:rPr>
          <w:instrText xml:space="preserve"> PAGEREF _Toc518483558 \h </w:instrText>
        </w:r>
        <w:r>
          <w:rPr>
            <w:noProof/>
            <w:webHidden/>
          </w:rPr>
        </w:r>
        <w:r>
          <w:rPr>
            <w:noProof/>
            <w:webHidden/>
          </w:rPr>
          <w:fldChar w:fldCharType="separate"/>
        </w:r>
        <w:r>
          <w:rPr>
            <w:noProof/>
            <w:webHidden/>
          </w:rPr>
          <w:t>14</w:t>
        </w:r>
        <w:r>
          <w:rPr>
            <w:noProof/>
            <w:webHidden/>
          </w:rPr>
          <w:fldChar w:fldCharType="end"/>
        </w:r>
      </w:hyperlink>
    </w:p>
    <w:p w14:paraId="167BC91C" w14:textId="77777777" w:rsidR="00F651E1" w:rsidRDefault="00F651E1" w:rsidP="00F651E1">
      <w:pPr>
        <w:spacing w:after="120"/>
        <w:rPr>
          <w:lang w:eastAsia="en-US"/>
        </w:rPr>
      </w:pPr>
      <w:r>
        <w:rPr>
          <w:lang w:eastAsia="en-US"/>
        </w:rPr>
        <w:fldChar w:fldCharType="end"/>
      </w:r>
    </w:p>
    <w:p w14:paraId="0386D121" w14:textId="25DEF6B7" w:rsidR="00F651E1" w:rsidRDefault="00F651E1" w:rsidP="00F651E1">
      <w:pPr>
        <w:spacing w:after="120"/>
        <w:rPr>
          <w:lang w:eastAsia="en-US"/>
        </w:rPr>
      </w:pPr>
      <w:r>
        <w:rPr>
          <w:lang w:eastAsia="en-US"/>
        </w:rPr>
        <w:br w:type="page"/>
      </w:r>
    </w:p>
    <w:p w14:paraId="1F1F1837" w14:textId="77777777" w:rsidR="002117E6" w:rsidRPr="001F4C2C" w:rsidRDefault="00CA5CF0" w:rsidP="001F4C2C">
      <w:pPr>
        <w:spacing w:after="160" w:line="259" w:lineRule="auto"/>
        <w:rPr>
          <w:rFonts w:asciiTheme="majorHAnsi" w:eastAsiaTheme="majorEastAsia" w:hAnsiTheme="majorHAnsi" w:cstheme="majorBidi"/>
          <w:b/>
          <w:color w:val="155589"/>
          <w:sz w:val="36"/>
          <w:szCs w:val="26"/>
          <w:lang w:eastAsia="en-US"/>
        </w:rPr>
      </w:pPr>
      <w:bookmarkStart w:id="4" w:name="_Toc515980263"/>
      <w:r>
        <w:rPr>
          <w:sz w:val="44"/>
          <w:szCs w:val="44"/>
        </w:rPr>
        <w:lastRenderedPageBreak/>
        <w:t>Consumer Safeguards Review</w:t>
      </w:r>
      <w:bookmarkEnd w:id="4"/>
    </w:p>
    <w:p w14:paraId="06F0C52F" w14:textId="77777777" w:rsidR="00102CCF" w:rsidRDefault="00102CCF" w:rsidP="00081DB0">
      <w:r>
        <w:t xml:space="preserve">The </w:t>
      </w:r>
      <w:r w:rsidR="000A1086">
        <w:t xml:space="preserve">Consumer Safeguards </w:t>
      </w:r>
      <w:r>
        <w:t xml:space="preserve">Review </w:t>
      </w:r>
      <w:r w:rsidR="000A1086">
        <w:t>(</w:t>
      </w:r>
      <w:r w:rsidR="000A1086" w:rsidRPr="00D503E7">
        <w:t>Terms of Reference at Appendix A</w:t>
      </w:r>
      <w:r w:rsidR="000A1086">
        <w:t xml:space="preserve">) </w:t>
      </w:r>
      <w:r w:rsidR="00223917">
        <w:t xml:space="preserve">will be conducted in three parts and </w:t>
      </w:r>
      <w:r w:rsidR="000A1086">
        <w:t>aims to ensure that consumers</w:t>
      </w:r>
      <w:r>
        <w:t>:</w:t>
      </w:r>
    </w:p>
    <w:p w14:paraId="5DC94F53" w14:textId="727D93AF" w:rsidR="00102CCF" w:rsidRDefault="00547429" w:rsidP="00503BC9">
      <w:pPr>
        <w:pStyle w:val="ListParagraph"/>
        <w:numPr>
          <w:ilvl w:val="0"/>
          <w:numId w:val="6"/>
        </w:numPr>
        <w:ind w:left="567" w:hanging="567"/>
      </w:pPr>
      <w:r>
        <w:t>c</w:t>
      </w:r>
      <w:r w:rsidR="000A1086">
        <w:t xml:space="preserve">an access </w:t>
      </w:r>
      <w:r w:rsidR="00070D1E">
        <w:t xml:space="preserve">an </w:t>
      </w:r>
      <w:r w:rsidR="000A1086">
        <w:t>e</w:t>
      </w:r>
      <w:r w:rsidR="00102CCF">
        <w:t>ffective complaints handling and redress scheme that provides transparency and accountability of telecommunications providers for their performance</w:t>
      </w:r>
      <w:r>
        <w:t xml:space="preserve"> </w:t>
      </w:r>
      <w:r w:rsidR="00DC4277" w:rsidRPr="0079558F">
        <w:rPr>
          <w:b/>
        </w:rPr>
        <w:t>(Part</w:t>
      </w:r>
      <w:r>
        <w:rPr>
          <w:b/>
        </w:rPr>
        <w:t> </w:t>
      </w:r>
      <w:r w:rsidR="00DC4277" w:rsidRPr="0079558F">
        <w:rPr>
          <w:b/>
        </w:rPr>
        <w:t>A)</w:t>
      </w:r>
    </w:p>
    <w:p w14:paraId="0EF50649" w14:textId="56978D25" w:rsidR="00102CCF" w:rsidRDefault="00547429" w:rsidP="00503BC9">
      <w:pPr>
        <w:pStyle w:val="ListParagraph"/>
        <w:numPr>
          <w:ilvl w:val="0"/>
          <w:numId w:val="6"/>
        </w:numPr>
        <w:ind w:left="567" w:hanging="567"/>
      </w:pPr>
      <w:r>
        <w:t>h</w:t>
      </w:r>
      <w:r w:rsidR="000A1086">
        <w:t>ave r</w:t>
      </w:r>
      <w:r w:rsidR="00102CCF">
        <w:t>eliable telecommunications services</w:t>
      </w:r>
      <w:r w:rsidR="000A1086">
        <w:t xml:space="preserve">, </w:t>
      </w:r>
      <w:r w:rsidR="00102CCF">
        <w:t>including reasonable timeframes for connections, fault repairs and appointments</w:t>
      </w:r>
      <w:r w:rsidR="000A1086">
        <w:t xml:space="preserve"> </w:t>
      </w:r>
      <w:r w:rsidR="00DC4277" w:rsidRPr="0079558F">
        <w:rPr>
          <w:b/>
        </w:rPr>
        <w:t>(Part</w:t>
      </w:r>
      <w:r>
        <w:rPr>
          <w:b/>
        </w:rPr>
        <w:t> </w:t>
      </w:r>
      <w:r w:rsidR="00DC4277" w:rsidRPr="0079558F">
        <w:rPr>
          <w:b/>
        </w:rPr>
        <w:t>B)</w:t>
      </w:r>
    </w:p>
    <w:p w14:paraId="68FEDDE8" w14:textId="3B4DAFD7" w:rsidR="00102CCF" w:rsidRDefault="00547429" w:rsidP="00503BC9">
      <w:pPr>
        <w:pStyle w:val="ListParagraph"/>
        <w:numPr>
          <w:ilvl w:val="0"/>
          <w:numId w:val="6"/>
        </w:numPr>
        <w:ind w:left="567" w:hanging="567"/>
      </w:pPr>
      <w:proofErr w:type="gramStart"/>
      <w:r>
        <w:t>a</w:t>
      </w:r>
      <w:r w:rsidR="00102CCF">
        <w:t>re</w:t>
      </w:r>
      <w:proofErr w:type="gramEnd"/>
      <w:r w:rsidR="00102CCF">
        <w:t xml:space="preserve"> able to make informed choices and are treated fairly by their provider in areas such as customer service, contracts, billing, credit</w:t>
      </w:r>
      <w:r w:rsidR="000A1086">
        <w:t>/</w:t>
      </w:r>
      <w:r w:rsidR="00102CCF">
        <w:t>debt management and switching providers</w:t>
      </w:r>
      <w:r w:rsidR="00DC4277">
        <w:t xml:space="preserve"> </w:t>
      </w:r>
      <w:r w:rsidR="00DC4277" w:rsidRPr="0079558F">
        <w:rPr>
          <w:b/>
        </w:rPr>
        <w:t>(Part</w:t>
      </w:r>
      <w:r>
        <w:rPr>
          <w:b/>
        </w:rPr>
        <w:t> </w:t>
      </w:r>
      <w:r w:rsidR="00DC4277" w:rsidRPr="0079558F">
        <w:rPr>
          <w:b/>
        </w:rPr>
        <w:t>C)</w:t>
      </w:r>
      <w:r w:rsidR="00102CCF">
        <w:t>.</w:t>
      </w:r>
    </w:p>
    <w:p w14:paraId="149400C0" w14:textId="3939E7C6" w:rsidR="000A1086" w:rsidRDefault="000A1086" w:rsidP="0079558F">
      <w:r>
        <w:t xml:space="preserve">This consultation paper is seeking your views on proposals to reform </w:t>
      </w:r>
      <w:r>
        <w:rPr>
          <w:b/>
        </w:rPr>
        <w:t xml:space="preserve">Redress and Complaints Handling </w:t>
      </w:r>
      <w:r w:rsidRPr="0079558F">
        <w:rPr>
          <w:b/>
        </w:rPr>
        <w:t>(Part</w:t>
      </w:r>
      <w:r w:rsidR="00547429">
        <w:rPr>
          <w:b/>
        </w:rPr>
        <w:t> </w:t>
      </w:r>
      <w:r w:rsidRPr="0079558F">
        <w:rPr>
          <w:b/>
        </w:rPr>
        <w:t>A)</w:t>
      </w:r>
      <w:r w:rsidR="00547429">
        <w:t>.</w:t>
      </w:r>
    </w:p>
    <w:p w14:paraId="0CED75B5" w14:textId="77777777" w:rsidR="00CA5CF0" w:rsidRDefault="00CA5CF0" w:rsidP="00CA5CF0">
      <w:pPr>
        <w:pStyle w:val="Heading2"/>
      </w:pPr>
      <w:bookmarkStart w:id="5" w:name="_Toc515980264"/>
      <w:bookmarkStart w:id="6" w:name="_Toc517104223"/>
      <w:bookmarkStart w:id="7" w:name="_Toc518483530"/>
      <w:r>
        <w:t>Have your say</w:t>
      </w:r>
      <w:bookmarkEnd w:id="5"/>
      <w:bookmarkEnd w:id="6"/>
      <w:bookmarkEnd w:id="7"/>
    </w:p>
    <w:p w14:paraId="0CC95DD3" w14:textId="251CB70A" w:rsidR="00CA5CF0" w:rsidRDefault="00CA5CF0" w:rsidP="00CA5CF0">
      <w:pPr>
        <w:rPr>
          <w:lang w:eastAsia="en-US"/>
        </w:rPr>
      </w:pPr>
      <w:r>
        <w:rPr>
          <w:lang w:eastAsia="en-US"/>
        </w:rPr>
        <w:t>The Government welcomes submission</w:t>
      </w:r>
      <w:r w:rsidR="00223917">
        <w:rPr>
          <w:lang w:eastAsia="en-US"/>
        </w:rPr>
        <w:t>s</w:t>
      </w:r>
      <w:r>
        <w:rPr>
          <w:lang w:eastAsia="en-US"/>
        </w:rPr>
        <w:t xml:space="preserve"> from individuals, businesses, peak bodies and other interested organisations</w:t>
      </w:r>
      <w:r w:rsidR="00223917">
        <w:rPr>
          <w:lang w:eastAsia="en-US"/>
        </w:rPr>
        <w:t xml:space="preserve"> on the matters outlined in this consultation paper and the proposals for reform</w:t>
      </w:r>
      <w:r>
        <w:rPr>
          <w:lang w:eastAsia="en-US"/>
        </w:rPr>
        <w:t>.</w:t>
      </w:r>
      <w:r w:rsidR="00547429">
        <w:rPr>
          <w:lang w:eastAsia="en-US"/>
        </w:rPr>
        <w:t xml:space="preserve"> </w:t>
      </w:r>
    </w:p>
    <w:p w14:paraId="24211C8E" w14:textId="006A18D1" w:rsidR="00B119B9" w:rsidRDefault="00B119B9" w:rsidP="00CA5CF0">
      <w:pPr>
        <w:rPr>
          <w:lang w:eastAsia="en-US"/>
        </w:rPr>
      </w:pPr>
      <w:r>
        <w:rPr>
          <w:lang w:eastAsia="en-US"/>
        </w:rPr>
        <w:t>Submissions will be accepted until</w:t>
      </w:r>
      <w:r w:rsidR="00897E5F">
        <w:rPr>
          <w:lang w:eastAsia="en-US"/>
        </w:rPr>
        <w:t xml:space="preserve"> </w:t>
      </w:r>
      <w:r w:rsidR="00CF50C9" w:rsidRPr="00A07808">
        <w:rPr>
          <w:lang w:eastAsia="en-US"/>
        </w:rPr>
        <w:t xml:space="preserve">5:00pm on Friday, </w:t>
      </w:r>
      <w:r w:rsidR="000E5939" w:rsidRPr="00A07808">
        <w:rPr>
          <w:lang w:eastAsia="en-US"/>
        </w:rPr>
        <w:t>3 August</w:t>
      </w:r>
      <w:r w:rsidR="00AE1F47" w:rsidRPr="00A07808">
        <w:rPr>
          <w:lang w:eastAsia="en-US"/>
        </w:rPr>
        <w:t xml:space="preserve"> 2018</w:t>
      </w:r>
      <w:r>
        <w:rPr>
          <w:lang w:eastAsia="en-US"/>
        </w:rPr>
        <w:t xml:space="preserve"> via:</w:t>
      </w:r>
    </w:p>
    <w:p w14:paraId="25513034" w14:textId="7E59E790" w:rsidR="00CA5CF0" w:rsidRDefault="00B119B9" w:rsidP="00547429">
      <w:pPr>
        <w:ind w:left="1134" w:hanging="567"/>
      </w:pPr>
      <w:r>
        <w:t>Email</w:t>
      </w:r>
      <w:r w:rsidR="00547429">
        <w:t>:</w:t>
      </w:r>
      <w:r w:rsidR="00547429">
        <w:tab/>
      </w:r>
      <w:r>
        <w:t xml:space="preserve">to </w:t>
      </w:r>
      <w:hyperlink r:id="rId22" w:history="1">
        <w:r w:rsidRPr="00665BBF">
          <w:rPr>
            <w:rStyle w:val="Hyperlink"/>
          </w:rPr>
          <w:t>consumersafeguardsreview@communications.gov.au</w:t>
        </w:r>
      </w:hyperlink>
      <w:r w:rsidR="00547429">
        <w:t>.</w:t>
      </w:r>
    </w:p>
    <w:p w14:paraId="50F345C7" w14:textId="419C134D" w:rsidR="00B119B9" w:rsidRDefault="00B119B9" w:rsidP="00547429">
      <w:pPr>
        <w:ind w:left="1134" w:hanging="567"/>
      </w:pPr>
      <w:r>
        <w:t>Post:</w:t>
      </w:r>
      <w:r>
        <w:tab/>
        <w:t>Consumer Safeguards Review</w:t>
      </w:r>
      <w:r w:rsidR="00150826">
        <w:br/>
      </w:r>
      <w:r>
        <w:t>Department of Communications and the Arts</w:t>
      </w:r>
      <w:r w:rsidR="00150826">
        <w:br/>
      </w:r>
      <w:r>
        <w:t>GPO Box 2154</w:t>
      </w:r>
      <w:r w:rsidR="00150826">
        <w:br/>
      </w:r>
      <w:r>
        <w:t>CANBERRA ACT 2601</w:t>
      </w:r>
    </w:p>
    <w:p w14:paraId="73B34B85" w14:textId="36F5F7D5" w:rsidR="00B119B9" w:rsidRDefault="00B119B9" w:rsidP="00150826">
      <w:pPr>
        <w:rPr>
          <w:lang w:eastAsia="en-US"/>
        </w:rPr>
      </w:pPr>
      <w:r>
        <w:rPr>
          <w:lang w:eastAsia="en-US"/>
        </w:rPr>
        <w:t>All submissions will be published on the Department’s website unless a need for confidentiality is indicated.</w:t>
      </w:r>
    </w:p>
    <w:p w14:paraId="032BA91B" w14:textId="77777777" w:rsidR="00E709EE" w:rsidRDefault="00E709EE" w:rsidP="00150826">
      <w:pPr>
        <w:rPr>
          <w:lang w:eastAsia="en-US"/>
        </w:rPr>
      </w:pPr>
      <w:r>
        <w:t>Visit</w:t>
      </w:r>
      <w:r w:rsidRPr="00897E5F">
        <w:rPr>
          <w:lang w:eastAsia="en-US"/>
        </w:rPr>
        <w:t xml:space="preserve"> </w:t>
      </w:r>
      <w:r>
        <w:rPr>
          <w:lang w:eastAsia="en-US"/>
        </w:rPr>
        <w:t>the Department of Communications and the Arts’ website</w:t>
      </w:r>
      <w:r>
        <w:t xml:space="preserve"> </w:t>
      </w:r>
      <w:hyperlink r:id="rId23" w:history="1">
        <w:r w:rsidRPr="00665BBF">
          <w:rPr>
            <w:rStyle w:val="Hyperlink"/>
            <w:lang w:eastAsia="en-US"/>
          </w:rPr>
          <w:t>www.communications.gov.au</w:t>
        </w:r>
      </w:hyperlink>
      <w:r>
        <w:rPr>
          <w:lang w:eastAsia="en-US"/>
        </w:rPr>
        <w:t xml:space="preserve"> for more information on the Review and the consultation process.</w:t>
      </w:r>
    </w:p>
    <w:p w14:paraId="2D8B1E5B" w14:textId="77777777" w:rsidR="00150826" w:rsidRDefault="00150826">
      <w:pPr>
        <w:spacing w:after="160" w:line="259" w:lineRule="auto"/>
      </w:pPr>
    </w:p>
    <w:p w14:paraId="7665AC66" w14:textId="77777777" w:rsidR="00B119B9" w:rsidRDefault="00B119B9" w:rsidP="00150826">
      <w:pPr>
        <w:pStyle w:val="Heading2"/>
        <w:pageBreakBefore/>
      </w:pPr>
      <w:bookmarkStart w:id="8" w:name="_Toc515980265"/>
      <w:bookmarkStart w:id="9" w:name="_Toc517104224"/>
      <w:bookmarkStart w:id="10" w:name="_Toc518483531"/>
      <w:r>
        <w:lastRenderedPageBreak/>
        <w:t>Introduction</w:t>
      </w:r>
      <w:bookmarkEnd w:id="8"/>
      <w:bookmarkEnd w:id="9"/>
      <w:bookmarkEnd w:id="10"/>
    </w:p>
    <w:p w14:paraId="7ECA2054" w14:textId="700BC4F1" w:rsidR="00223917" w:rsidRDefault="00070D1E" w:rsidP="00102CCF">
      <w:r>
        <w:t>C</w:t>
      </w:r>
      <w:r w:rsidR="00223917">
        <w:t xml:space="preserve">onsumers </w:t>
      </w:r>
      <w:r w:rsidR="00E678E6">
        <w:t>are i</w:t>
      </w:r>
      <w:r w:rsidR="00223917">
        <w:t xml:space="preserve">ncreasingly reliant on </w:t>
      </w:r>
      <w:r>
        <w:t xml:space="preserve">communications </w:t>
      </w:r>
      <w:r w:rsidR="00223917">
        <w:t>services</w:t>
      </w:r>
      <w:r w:rsidR="00E678E6">
        <w:t xml:space="preserve">. We expect that </w:t>
      </w:r>
      <w:r w:rsidR="00652FC2">
        <w:t>voice and internet services will be easy to connect and</w:t>
      </w:r>
      <w:r w:rsidR="00E678E6">
        <w:t xml:space="preserve"> reliable</w:t>
      </w:r>
      <w:r w:rsidR="00652FC2">
        <w:t>,</w:t>
      </w:r>
      <w:r w:rsidR="00E678E6">
        <w:t xml:space="preserve"> and</w:t>
      </w:r>
      <w:r w:rsidR="00652FC2">
        <w:t xml:space="preserve"> that when</w:t>
      </w:r>
      <w:r w:rsidR="00223917">
        <w:t xml:space="preserve"> things go wrong</w:t>
      </w:r>
      <w:r w:rsidR="00652FC2">
        <w:t xml:space="preserve"> </w:t>
      </w:r>
      <w:r w:rsidR="00E678E6">
        <w:t>our service provider will resolve problems</w:t>
      </w:r>
      <w:r w:rsidR="00223917">
        <w:t xml:space="preserve"> quickly.</w:t>
      </w:r>
      <w:r w:rsidR="00E678E6">
        <w:t xml:space="preserve"> </w:t>
      </w:r>
      <w:r w:rsidR="00652FC2">
        <w:t>Whe</w:t>
      </w:r>
      <w:r>
        <w:t>n</w:t>
      </w:r>
      <w:r w:rsidR="00652FC2">
        <w:t xml:space="preserve"> this doesn’t occur, we expect that simple, easy</w:t>
      </w:r>
      <w:r>
        <w:t>-</w:t>
      </w:r>
      <w:r w:rsidR="00652FC2">
        <w:t>to</w:t>
      </w:r>
      <w:r>
        <w:t>-</w:t>
      </w:r>
      <w:r w:rsidR="00652FC2">
        <w:t>navigate safeguards will be in place to assist us.</w:t>
      </w:r>
    </w:p>
    <w:p w14:paraId="2B472137" w14:textId="068070E6" w:rsidR="00081DB0" w:rsidRDefault="00081DB0" w:rsidP="00AC172A">
      <w:r>
        <w:t xml:space="preserve">This paper, </w:t>
      </w:r>
      <w:r w:rsidRPr="00BB4D77">
        <w:rPr>
          <w:i/>
        </w:rPr>
        <w:t>Consumer Redress and Complaints Handling</w:t>
      </w:r>
      <w:r>
        <w:t xml:space="preserve">, </w:t>
      </w:r>
      <w:r w:rsidR="00652FC2">
        <w:t>sets out the</w:t>
      </w:r>
      <w:r w:rsidR="00C04057">
        <w:t xml:space="preserve"> problems and complexities that consumers face when navigating</w:t>
      </w:r>
      <w:r w:rsidR="00652FC2">
        <w:t xml:space="preserve"> current regulator</w:t>
      </w:r>
      <w:r w:rsidR="00C04057">
        <w:t>y and institutional arrangements</w:t>
      </w:r>
      <w:r w:rsidR="00652FC2">
        <w:t xml:space="preserve"> and proposes reforms to address these problems</w:t>
      </w:r>
      <w:r>
        <w:t>.</w:t>
      </w:r>
      <w:r w:rsidR="00070D1E">
        <w:t xml:space="preserve"> </w:t>
      </w:r>
    </w:p>
    <w:p w14:paraId="62D207A1" w14:textId="77777777" w:rsidR="00AC172A" w:rsidRPr="00150826" w:rsidRDefault="0031589E" w:rsidP="00150826">
      <w:pPr>
        <w:pStyle w:val="Heading3"/>
      </w:pPr>
      <w:bookmarkStart w:id="11" w:name="_Toc515980266"/>
      <w:bookmarkStart w:id="12" w:name="_Toc517104225"/>
      <w:bookmarkStart w:id="13" w:name="_Toc518483532"/>
      <w:r w:rsidRPr="00150826">
        <w:t xml:space="preserve">Current </w:t>
      </w:r>
      <w:r w:rsidR="00E314DE" w:rsidRPr="00150826">
        <w:t>l</w:t>
      </w:r>
      <w:r w:rsidR="00AC172A" w:rsidRPr="00150826">
        <w:t xml:space="preserve">egislative &amp; </w:t>
      </w:r>
      <w:r w:rsidR="00E314DE" w:rsidRPr="00150826">
        <w:t>r</w:t>
      </w:r>
      <w:r w:rsidR="00AC172A" w:rsidRPr="00150826">
        <w:t xml:space="preserve">egulatory </w:t>
      </w:r>
      <w:r w:rsidR="00E314DE" w:rsidRPr="00150826">
        <w:t>framework</w:t>
      </w:r>
      <w:bookmarkEnd w:id="11"/>
      <w:bookmarkEnd w:id="12"/>
      <w:bookmarkEnd w:id="13"/>
    </w:p>
    <w:p w14:paraId="2E7BA4B9" w14:textId="1D264B12" w:rsidR="00AC172A" w:rsidRDefault="006519FF" w:rsidP="00AC172A">
      <w:r>
        <w:t>The consumer protection framework, including complaints handling and redress</w:t>
      </w:r>
      <w:r w:rsidR="00751560">
        <w:t xml:space="preserve"> mechanisms</w:t>
      </w:r>
      <w:r w:rsidR="00652FC2">
        <w:t xml:space="preserve"> is complex</w:t>
      </w:r>
      <w:r>
        <w:t>, involv</w:t>
      </w:r>
      <w:r w:rsidR="00652FC2">
        <w:t>ing</w:t>
      </w:r>
      <w:r>
        <w:t xml:space="preserve"> </w:t>
      </w:r>
      <w:r w:rsidR="00652FC2">
        <w:t xml:space="preserve">several different </w:t>
      </w:r>
      <w:r>
        <w:t xml:space="preserve">policy agencies, regulators, and industry </w:t>
      </w:r>
      <w:r w:rsidR="00E837D4">
        <w:t>(individual providers and representative bodies)</w:t>
      </w:r>
      <w:r>
        <w:t>.</w:t>
      </w:r>
    </w:p>
    <w:p w14:paraId="586B2300" w14:textId="3BA8A00C" w:rsidR="00AC172A" w:rsidRDefault="00AC172A" w:rsidP="00AC172A">
      <w:r>
        <w:t xml:space="preserve">The </w:t>
      </w:r>
      <w:r w:rsidRPr="00C653A1">
        <w:rPr>
          <w:i/>
        </w:rPr>
        <w:t>Telecommunications Act 1997</w:t>
      </w:r>
      <w:r>
        <w:t xml:space="preserve"> (Tel Act) and the </w:t>
      </w:r>
      <w:r w:rsidRPr="00C653A1">
        <w:rPr>
          <w:i/>
        </w:rPr>
        <w:t>Telecommunications (Consumer Protection and Service Standards) Act 1999</w:t>
      </w:r>
      <w:r>
        <w:t xml:space="preserve"> (TCPSS Act) establish </w:t>
      </w:r>
      <w:r w:rsidR="00652FC2">
        <w:t>the</w:t>
      </w:r>
      <w:r>
        <w:t xml:space="preserve"> legislative and regulatory framework</w:t>
      </w:r>
      <w:r w:rsidR="00652FC2">
        <w:t xml:space="preserve">. The framework </w:t>
      </w:r>
      <w:r w:rsidR="00EC70BE">
        <w:t xml:space="preserve">encourages </w:t>
      </w:r>
      <w:r w:rsidR="00582E19">
        <w:t>industry self-regulation</w:t>
      </w:r>
      <w:r w:rsidR="00EC70BE">
        <w:t xml:space="preserve"> in the first instance</w:t>
      </w:r>
      <w:r>
        <w:t>.</w:t>
      </w:r>
      <w:r w:rsidR="00070D1E">
        <w:t xml:space="preserve"> </w:t>
      </w:r>
      <w:r w:rsidR="00582E19">
        <w:t xml:space="preserve">This has seen most consumer complaint and service issues addressed primarily through </w:t>
      </w:r>
      <w:r>
        <w:t>industry codes</w:t>
      </w:r>
      <w:r w:rsidR="0064159E">
        <w:t xml:space="preserve"> such as the </w:t>
      </w:r>
      <w:r w:rsidR="0064159E" w:rsidRPr="0064159E">
        <w:t>Telecommunications Consumer Protection</w:t>
      </w:r>
      <w:r w:rsidR="0064159E">
        <w:t xml:space="preserve">s (TCP) Code, </w:t>
      </w:r>
      <w:r w:rsidR="001A15BD">
        <w:t xml:space="preserve">which is </w:t>
      </w:r>
      <w:r w:rsidR="0064159E">
        <w:t xml:space="preserve">developed by industry body Communications Alliance and monitored by the </w:t>
      </w:r>
      <w:r w:rsidR="0064159E" w:rsidRPr="0064159E">
        <w:t>Australian Communications and Media Authority</w:t>
      </w:r>
      <w:r w:rsidR="0064159E">
        <w:t xml:space="preserve"> (ACMA)</w:t>
      </w:r>
      <w:r>
        <w:t>.</w:t>
      </w:r>
    </w:p>
    <w:p w14:paraId="212A9004" w14:textId="73034FB3" w:rsidR="00AC172A" w:rsidRDefault="00AC172A" w:rsidP="00AC172A">
      <w:r>
        <w:t>In some instances there is use of more direct regulation</w:t>
      </w:r>
      <w:r w:rsidR="00582E19">
        <w:t>, such</w:t>
      </w:r>
      <w:r>
        <w:t xml:space="preserve"> as the Customer Service Guarantee (CSG)</w:t>
      </w:r>
      <w:r w:rsidR="005E174C">
        <w:rPr>
          <w:rStyle w:val="FootnoteReference"/>
        </w:rPr>
        <w:footnoteReference w:id="2"/>
      </w:r>
      <w:r>
        <w:t>.</w:t>
      </w:r>
      <w:r w:rsidR="00582E19">
        <w:t xml:space="preserve"> </w:t>
      </w:r>
      <w:r w:rsidR="00652FC2">
        <w:t xml:space="preserve">More detail can be found </w:t>
      </w:r>
      <w:r w:rsidR="00C90A86">
        <w:t xml:space="preserve">in the companion background paper </w:t>
      </w:r>
      <w:r w:rsidR="00C90A86" w:rsidRPr="00C90A86">
        <w:rPr>
          <w:i/>
        </w:rPr>
        <w:t>C</w:t>
      </w:r>
      <w:r w:rsidR="00535F71">
        <w:rPr>
          <w:i/>
        </w:rPr>
        <w:t>urrent Telecommunications S</w:t>
      </w:r>
      <w:r w:rsidR="00C90A86" w:rsidRPr="00C90A86">
        <w:rPr>
          <w:i/>
        </w:rPr>
        <w:t>afeguards and Regulatory Environment</w:t>
      </w:r>
      <w:r w:rsidR="001A15BD">
        <w:t xml:space="preserve"> </w:t>
      </w:r>
      <w:r w:rsidR="00652FC2">
        <w:t xml:space="preserve">at </w:t>
      </w:r>
      <w:r w:rsidR="00CA4FCB">
        <w:t>www.communications.gov.au/consumer-safeguards-</w:t>
      </w:r>
      <w:r w:rsidR="00247912">
        <w:t>review</w:t>
      </w:r>
      <w:r w:rsidR="00150826">
        <w:rPr>
          <w:lang w:eastAsia="en-US"/>
        </w:rPr>
        <w:t>.</w:t>
      </w:r>
    </w:p>
    <w:p w14:paraId="78E3BB32" w14:textId="77777777" w:rsidR="00064D81" w:rsidRPr="00547429" w:rsidRDefault="00E314DE" w:rsidP="00131CFA">
      <w:pPr>
        <w:pStyle w:val="Heading3"/>
      </w:pPr>
      <w:bookmarkStart w:id="14" w:name="_Toc515980267"/>
      <w:bookmarkStart w:id="15" w:name="_Toc517104226"/>
      <w:bookmarkStart w:id="16" w:name="_Toc517173807"/>
      <w:bookmarkStart w:id="17" w:name="_Toc518483533"/>
      <w:r w:rsidRPr="00547429">
        <w:t>Institutional arrangements</w:t>
      </w:r>
      <w:bookmarkEnd w:id="14"/>
      <w:bookmarkEnd w:id="15"/>
      <w:bookmarkEnd w:id="16"/>
      <w:bookmarkEnd w:id="17"/>
    </w:p>
    <w:p w14:paraId="539173E2" w14:textId="348B7685" w:rsidR="003D59E6" w:rsidRDefault="00064D81" w:rsidP="00503BC9">
      <w:pPr>
        <w:spacing w:after="120"/>
      </w:pPr>
      <w:r>
        <w:t xml:space="preserve">There are two </w:t>
      </w:r>
      <w:r w:rsidR="00B15753">
        <w:t xml:space="preserve">national </w:t>
      </w:r>
      <w:r>
        <w:t>regulators with responsibility for telecommunications consumer matters</w:t>
      </w:r>
      <w:r w:rsidR="00503BC9">
        <w:t>:</w:t>
      </w:r>
    </w:p>
    <w:p w14:paraId="0E1795B9" w14:textId="09015471" w:rsidR="003D59E6" w:rsidRDefault="00064D81" w:rsidP="00503BC9">
      <w:pPr>
        <w:pStyle w:val="ListParagraph"/>
        <w:ind w:left="567" w:hanging="567"/>
      </w:pPr>
      <w:r>
        <w:t>Australian Competition and Consumer Commission (ACCC)</w:t>
      </w:r>
      <w:r w:rsidR="00503BC9">
        <w:t>—</w:t>
      </w:r>
      <w:r w:rsidR="003D59E6">
        <w:t>responsible</w:t>
      </w:r>
      <w:r>
        <w:t xml:space="preserve"> </w:t>
      </w:r>
      <w:r w:rsidR="003D59E6">
        <w:t xml:space="preserve">for </w:t>
      </w:r>
      <w:r>
        <w:t xml:space="preserve">general competition and </w:t>
      </w:r>
      <w:r w:rsidR="00582E19">
        <w:t xml:space="preserve">is the whole of economy </w:t>
      </w:r>
      <w:r>
        <w:t>consumer regulator</w:t>
      </w:r>
      <w:r w:rsidR="003D59E6">
        <w:t xml:space="preserve"> under Australian Consumer Law</w:t>
      </w:r>
      <w:r w:rsidR="00547429">
        <w:t>,</w:t>
      </w:r>
      <w:r w:rsidR="00150826">
        <w:t xml:space="preserve"> and</w:t>
      </w:r>
    </w:p>
    <w:p w14:paraId="39D78DE9" w14:textId="25464CA7" w:rsidR="003D59E6" w:rsidRDefault="00064D81" w:rsidP="00503BC9">
      <w:pPr>
        <w:pStyle w:val="ListParagraph"/>
        <w:ind w:left="567" w:hanging="567"/>
      </w:pPr>
      <w:r>
        <w:t>Australian Communications and Media Authority (ACMA)</w:t>
      </w:r>
      <w:r w:rsidR="00503BC9">
        <w:t>—</w:t>
      </w:r>
      <w:r w:rsidR="003D59E6">
        <w:t xml:space="preserve">responsibility for </w:t>
      </w:r>
      <w:r>
        <w:t xml:space="preserve">industry specific </w:t>
      </w:r>
      <w:r w:rsidR="003D59E6">
        <w:t>consumer regulation</w:t>
      </w:r>
      <w:r w:rsidR="00150826">
        <w:t>.</w:t>
      </w:r>
    </w:p>
    <w:p w14:paraId="1D6BE3DC" w14:textId="3E9CA518" w:rsidR="003D59E6" w:rsidRDefault="003D59E6" w:rsidP="00064D81">
      <w:r>
        <w:t>In addition</w:t>
      </w:r>
      <w:r w:rsidRPr="00373C77">
        <w:t>, t</w:t>
      </w:r>
      <w:r w:rsidR="004441F3" w:rsidRPr="00373C77">
        <w:t xml:space="preserve">he </w:t>
      </w:r>
      <w:r w:rsidR="00064D81">
        <w:t>Telecommunications Industry Ombudsman (TIO)</w:t>
      </w:r>
      <w:r w:rsidR="00DC4277">
        <w:t xml:space="preserve"> </w:t>
      </w:r>
      <w:r w:rsidR="00565B9E">
        <w:t xml:space="preserve">Scheme </w:t>
      </w:r>
      <w:r w:rsidR="004441F3">
        <w:t xml:space="preserve">is established under </w:t>
      </w:r>
      <w:r w:rsidR="00DC4277">
        <w:t>Part 6 of the TCPSS Act</w:t>
      </w:r>
      <w:r w:rsidR="001A15BD">
        <w:t xml:space="preserve">, and telecommunications carriers and carriage service providers are required to enter into the TIO Scheme </w:t>
      </w:r>
      <w:r w:rsidR="001A15BD">
        <w:lastRenderedPageBreak/>
        <w:t>(though the ACMA may grant exemptions from this requirement)</w:t>
      </w:r>
      <w:r>
        <w:t>. The TIO</w:t>
      </w:r>
      <w:r w:rsidR="004441F3">
        <w:t xml:space="preserve"> </w:t>
      </w:r>
      <w:r w:rsidR="00333942">
        <w:t xml:space="preserve">currently </w:t>
      </w:r>
      <w:r w:rsidR="004441F3">
        <w:t xml:space="preserve">provides an independent dispute resolution service for residential and small business </w:t>
      </w:r>
      <w:r w:rsidR="00333942">
        <w:t>consumers</w:t>
      </w:r>
      <w:r w:rsidR="004441F3">
        <w:t xml:space="preserve"> who have </w:t>
      </w:r>
      <w:r w:rsidR="00333942">
        <w:t xml:space="preserve">unresolved </w:t>
      </w:r>
      <w:r w:rsidR="004441F3">
        <w:t>complaints about their telephone or internet service</w:t>
      </w:r>
      <w:r w:rsidR="00064D81">
        <w:t>.</w:t>
      </w:r>
    </w:p>
    <w:p w14:paraId="4F113BF3" w14:textId="0EB4E206" w:rsidR="00064D81" w:rsidRDefault="00064D81" w:rsidP="00064D81">
      <w:r>
        <w:t>The TIO is industry</w:t>
      </w:r>
      <w:r w:rsidR="00A9726B">
        <w:t xml:space="preserve"> owned and</w:t>
      </w:r>
      <w:r>
        <w:t xml:space="preserve"> </w:t>
      </w:r>
      <w:r w:rsidR="001A15BD">
        <w:t xml:space="preserve">industry </w:t>
      </w:r>
      <w:r>
        <w:t>funded</w:t>
      </w:r>
      <w:r w:rsidR="004441F3">
        <w:t>.</w:t>
      </w:r>
      <w:r w:rsidR="00070D1E">
        <w:t xml:space="preserve"> </w:t>
      </w:r>
      <w:r w:rsidR="004441F3">
        <w:t>It is governed by a</w:t>
      </w:r>
      <w:r>
        <w:t xml:space="preserve"> board </w:t>
      </w:r>
      <w:r w:rsidR="004441F3">
        <w:t>compris</w:t>
      </w:r>
      <w:r w:rsidR="007557D2">
        <w:t xml:space="preserve">ed of </w:t>
      </w:r>
      <w:r>
        <w:t xml:space="preserve">industry </w:t>
      </w:r>
      <w:r w:rsidR="004441F3">
        <w:t xml:space="preserve">and </w:t>
      </w:r>
      <w:r>
        <w:t>consumer</w:t>
      </w:r>
      <w:r w:rsidR="00A9726B">
        <w:t xml:space="preserve"> representatives</w:t>
      </w:r>
      <w:r w:rsidR="004441F3">
        <w:t xml:space="preserve"> as well as </w:t>
      </w:r>
      <w:r>
        <w:t xml:space="preserve">independent </w:t>
      </w:r>
      <w:r w:rsidR="004441F3">
        <w:t xml:space="preserve">directors and </w:t>
      </w:r>
      <w:r>
        <w:t>an independent chair.</w:t>
      </w:r>
      <w:r w:rsidR="00070D1E">
        <w:t xml:space="preserve"> </w:t>
      </w:r>
      <w:r>
        <w:t>The Board is responsible for appointing an Ombudsman</w:t>
      </w:r>
      <w:r w:rsidR="00582E19">
        <w:t xml:space="preserve"> (who manages the day to day operations)</w:t>
      </w:r>
      <w:r>
        <w:t>.</w:t>
      </w:r>
      <w:r w:rsidR="00070D1E">
        <w:t xml:space="preserve"> </w:t>
      </w:r>
      <w:r>
        <w:t xml:space="preserve">The Minister responsible for Communications and </w:t>
      </w:r>
      <w:r w:rsidR="00AD2E2F">
        <w:t xml:space="preserve">the </w:t>
      </w:r>
      <w:r w:rsidR="007557D2">
        <w:t>Minister responsible for</w:t>
      </w:r>
      <w:r>
        <w:t xml:space="preserve"> Consumer Affairs </w:t>
      </w:r>
      <w:r w:rsidR="007557D2">
        <w:t>(</w:t>
      </w:r>
      <w:r w:rsidR="00AD2E2F">
        <w:t xml:space="preserve">i.e. </w:t>
      </w:r>
      <w:r w:rsidR="007557D2">
        <w:t>the</w:t>
      </w:r>
      <w:r w:rsidR="00B51B93">
        <w:t xml:space="preserve"> Assistant Minister to the Treasurer</w:t>
      </w:r>
      <w:r w:rsidR="0093746E">
        <w:t>)</w:t>
      </w:r>
      <w:r w:rsidR="00B51B93">
        <w:rPr>
          <w:rStyle w:val="FootnoteReference"/>
        </w:rPr>
        <w:footnoteReference w:id="3"/>
      </w:r>
      <w:r w:rsidR="007557D2">
        <w:t xml:space="preserve"> </w:t>
      </w:r>
      <w:r w:rsidR="00333942">
        <w:t xml:space="preserve">currently </w:t>
      </w:r>
      <w:r>
        <w:t xml:space="preserve">have a limited oversight role </w:t>
      </w:r>
      <w:r w:rsidR="00333942">
        <w:t>in the appointment of the chair</w:t>
      </w:r>
      <w:r w:rsidR="0064159E">
        <w:t>,</w:t>
      </w:r>
      <w:r w:rsidR="004441F3">
        <w:t xml:space="preserve"> </w:t>
      </w:r>
      <w:r>
        <w:t>and do no</w:t>
      </w:r>
      <w:r w:rsidR="00A9726B">
        <w:t xml:space="preserve">t </w:t>
      </w:r>
      <w:r w:rsidR="00333942">
        <w:t xml:space="preserve">have </w:t>
      </w:r>
      <w:r w:rsidR="00A9726B">
        <w:t xml:space="preserve">influence </w:t>
      </w:r>
      <w:r w:rsidR="0064159E">
        <w:t xml:space="preserve">over </w:t>
      </w:r>
      <w:r>
        <w:t xml:space="preserve">the TIO’s </w:t>
      </w:r>
      <w:r w:rsidR="00A9726B">
        <w:t>day</w:t>
      </w:r>
      <w:r w:rsidR="0064159E">
        <w:t>-</w:t>
      </w:r>
      <w:r w:rsidR="00A9726B">
        <w:t>to</w:t>
      </w:r>
      <w:r w:rsidR="0064159E">
        <w:t>-</w:t>
      </w:r>
      <w:r w:rsidR="00A9726B">
        <w:t xml:space="preserve">day </w:t>
      </w:r>
      <w:r>
        <w:t>operations or strategic direction.</w:t>
      </w:r>
      <w:r w:rsidR="00070D1E">
        <w:t xml:space="preserve"> </w:t>
      </w:r>
      <w:r w:rsidR="00333942">
        <w:t>However, the Minister for Communications has powers under the TCPSS Act</w:t>
      </w:r>
      <w:r w:rsidR="00302117">
        <w:t xml:space="preserve"> to </w:t>
      </w:r>
      <w:r w:rsidR="006C6BA8">
        <w:t>determine</w:t>
      </w:r>
      <w:r w:rsidR="00302117">
        <w:t xml:space="preserve"> standards </w:t>
      </w:r>
      <w:r w:rsidR="006C6BA8">
        <w:t xml:space="preserve">to which </w:t>
      </w:r>
      <w:r w:rsidR="00302117">
        <w:t xml:space="preserve">the TIO </w:t>
      </w:r>
      <w:r w:rsidR="006C6BA8">
        <w:t xml:space="preserve">Scheme must comply </w:t>
      </w:r>
      <w:r w:rsidR="00302117">
        <w:t>(see Section 128 (8</w:t>
      </w:r>
      <w:proofErr w:type="gramStart"/>
      <w:r w:rsidR="00302117">
        <w:t>)(</w:t>
      </w:r>
      <w:proofErr w:type="gramEnd"/>
      <w:r w:rsidR="00302117">
        <w:t>9)(10).</w:t>
      </w:r>
    </w:p>
    <w:p w14:paraId="6335A8A0" w14:textId="03F0201E" w:rsidR="00C9241E" w:rsidRDefault="00F03354" w:rsidP="00C9241E">
      <w:pPr>
        <w:pStyle w:val="Heading2"/>
      </w:pPr>
      <w:bookmarkStart w:id="18" w:name="_Toc515980270"/>
      <w:bookmarkStart w:id="19" w:name="_Toc517104227"/>
      <w:bookmarkStart w:id="20" w:name="_Toc518483534"/>
      <w:r>
        <w:t>The problem</w:t>
      </w:r>
      <w:bookmarkEnd w:id="18"/>
      <w:bookmarkEnd w:id="19"/>
      <w:bookmarkEnd w:id="20"/>
    </w:p>
    <w:p w14:paraId="1C92E9AE" w14:textId="55E141FC" w:rsidR="007B3526" w:rsidRDefault="00AE03F4" w:rsidP="00F03354">
      <w:pPr>
        <w:rPr>
          <w:lang w:eastAsia="en-US"/>
        </w:rPr>
      </w:pPr>
      <w:r>
        <w:rPr>
          <w:lang w:eastAsia="en-US"/>
        </w:rPr>
        <w:t>Service outages, delays in connections and repairs</w:t>
      </w:r>
      <w:r w:rsidR="007B3526">
        <w:rPr>
          <w:lang w:eastAsia="en-US"/>
        </w:rPr>
        <w:t xml:space="preserve">, incorrect billing </w:t>
      </w:r>
      <w:r>
        <w:rPr>
          <w:lang w:eastAsia="en-US"/>
        </w:rPr>
        <w:t xml:space="preserve">and </w:t>
      </w:r>
      <w:r w:rsidR="007B3526">
        <w:rPr>
          <w:lang w:eastAsia="en-US"/>
        </w:rPr>
        <w:t xml:space="preserve">a </w:t>
      </w:r>
      <w:r>
        <w:rPr>
          <w:lang w:eastAsia="en-US"/>
        </w:rPr>
        <w:t xml:space="preserve">lack of responsiveness to these issues by </w:t>
      </w:r>
      <w:r w:rsidR="00DF56D3">
        <w:rPr>
          <w:lang w:eastAsia="en-US"/>
        </w:rPr>
        <w:t xml:space="preserve">telecommunications </w:t>
      </w:r>
      <w:r>
        <w:rPr>
          <w:lang w:eastAsia="en-US"/>
        </w:rPr>
        <w:t>providers has resulted in</w:t>
      </w:r>
      <w:r w:rsidR="00BC054A">
        <w:rPr>
          <w:lang w:eastAsia="en-US"/>
        </w:rPr>
        <w:t xml:space="preserve"> an increasing</w:t>
      </w:r>
      <w:r w:rsidR="0088188F">
        <w:rPr>
          <w:lang w:eastAsia="en-US"/>
        </w:rPr>
        <w:t>ly</w:t>
      </w:r>
      <w:r w:rsidR="00BC054A">
        <w:rPr>
          <w:lang w:eastAsia="en-US"/>
        </w:rPr>
        <w:t xml:space="preserve"> high number of consumer complaints reported to the TIO</w:t>
      </w:r>
      <w:r w:rsidR="007B3526">
        <w:rPr>
          <w:lang w:eastAsia="en-US"/>
        </w:rPr>
        <w:t xml:space="preserve"> in the last 18 months</w:t>
      </w:r>
      <w:r>
        <w:rPr>
          <w:lang w:eastAsia="en-US"/>
        </w:rPr>
        <w:t>.</w:t>
      </w:r>
      <w:r w:rsidR="00070D1E">
        <w:rPr>
          <w:lang w:eastAsia="en-US"/>
        </w:rPr>
        <w:t xml:space="preserve"> </w:t>
      </w:r>
      <w:r w:rsidR="00F726D2">
        <w:rPr>
          <w:lang w:eastAsia="en-US"/>
        </w:rPr>
        <w:t xml:space="preserve">The TIO’s </w:t>
      </w:r>
      <w:r w:rsidR="00503BC9">
        <w:rPr>
          <w:lang w:eastAsia="en-US"/>
        </w:rPr>
        <w:t>2016–17</w:t>
      </w:r>
      <w:r w:rsidR="00F726D2">
        <w:rPr>
          <w:lang w:eastAsia="en-US"/>
        </w:rPr>
        <w:t xml:space="preserve"> Annual Report </w:t>
      </w:r>
      <w:r w:rsidR="00DF56D3">
        <w:rPr>
          <w:lang w:eastAsia="en-US"/>
        </w:rPr>
        <w:t>stated</w:t>
      </w:r>
      <w:r w:rsidR="00F726D2">
        <w:rPr>
          <w:lang w:eastAsia="en-US"/>
        </w:rPr>
        <w:t xml:space="preserve"> that 158,016 complaints were received by the Ombudsman</w:t>
      </w:r>
      <w:r w:rsidR="007B3526" w:rsidRPr="00020187">
        <w:rPr>
          <w:vertAlign w:val="superscript"/>
        </w:rPr>
        <w:footnoteReference w:id="4"/>
      </w:r>
      <w:r w:rsidR="00F726D2">
        <w:rPr>
          <w:lang w:eastAsia="en-US"/>
        </w:rPr>
        <w:t>.</w:t>
      </w:r>
      <w:r w:rsidR="00070D1E">
        <w:rPr>
          <w:lang w:eastAsia="en-US"/>
        </w:rPr>
        <w:t xml:space="preserve"> </w:t>
      </w:r>
      <w:r w:rsidR="00F726D2">
        <w:rPr>
          <w:lang w:eastAsia="en-US"/>
        </w:rPr>
        <w:t>This was a 41.1% increase on the previous year.</w:t>
      </w:r>
      <w:r w:rsidR="00070D1E">
        <w:rPr>
          <w:lang w:eastAsia="en-US"/>
        </w:rPr>
        <w:t xml:space="preserve"> </w:t>
      </w:r>
      <w:r w:rsidR="007B3526">
        <w:rPr>
          <w:lang w:eastAsia="en-US"/>
        </w:rPr>
        <w:t>Total complaints had</w:t>
      </w:r>
      <w:r w:rsidR="00F726D2">
        <w:rPr>
          <w:lang w:eastAsia="en-US"/>
        </w:rPr>
        <w:t xml:space="preserve"> been declining since a peak reached in </w:t>
      </w:r>
      <w:r w:rsidR="004F5B27">
        <w:rPr>
          <w:lang w:eastAsia="en-US"/>
        </w:rPr>
        <w:t>2012–13</w:t>
      </w:r>
      <w:r w:rsidR="007B3526">
        <w:rPr>
          <w:lang w:eastAsia="en-US"/>
        </w:rPr>
        <w:t xml:space="preserve">, but are now </w:t>
      </w:r>
      <w:r w:rsidR="00E15915">
        <w:rPr>
          <w:lang w:eastAsia="en-US"/>
        </w:rPr>
        <w:t xml:space="preserve">again </w:t>
      </w:r>
      <w:r w:rsidR="007B3526">
        <w:rPr>
          <w:lang w:eastAsia="en-US"/>
        </w:rPr>
        <w:t xml:space="preserve">approaching the </w:t>
      </w:r>
      <w:r w:rsidR="004F5B27">
        <w:rPr>
          <w:lang w:eastAsia="en-US"/>
        </w:rPr>
        <w:t>2012–13</w:t>
      </w:r>
      <w:r w:rsidR="007B3526">
        <w:rPr>
          <w:lang w:eastAsia="en-US"/>
        </w:rPr>
        <w:t xml:space="preserve"> </w:t>
      </w:r>
      <w:r w:rsidR="00DF56D3">
        <w:rPr>
          <w:lang w:eastAsia="en-US"/>
        </w:rPr>
        <w:t>levels</w:t>
      </w:r>
      <w:r w:rsidR="004F5B27">
        <w:rPr>
          <w:lang w:eastAsia="en-US"/>
        </w:rPr>
        <w:t>.</w:t>
      </w:r>
    </w:p>
    <w:p w14:paraId="4B1B6CBC" w14:textId="461C0886" w:rsidR="00D84D2E" w:rsidRDefault="00D84D2E" w:rsidP="00D84D2E">
      <w:pPr>
        <w:rPr>
          <w:lang w:eastAsia="en-US"/>
        </w:rPr>
      </w:pPr>
      <w:r>
        <w:rPr>
          <w:lang w:eastAsia="en-US"/>
        </w:rPr>
        <w:t xml:space="preserve">These complaint levels do not compare favourably </w:t>
      </w:r>
      <w:r w:rsidR="00DF56D3">
        <w:rPr>
          <w:lang w:eastAsia="en-US"/>
        </w:rPr>
        <w:t xml:space="preserve">with </w:t>
      </w:r>
      <w:r w:rsidR="00A05F6B">
        <w:rPr>
          <w:lang w:eastAsia="en-US"/>
        </w:rPr>
        <w:t xml:space="preserve">telecommunications dispute resolution </w:t>
      </w:r>
      <w:r w:rsidR="00A7324D">
        <w:rPr>
          <w:lang w:eastAsia="en-US"/>
        </w:rPr>
        <w:t>schemes</w:t>
      </w:r>
      <w:r w:rsidR="00A05F6B">
        <w:rPr>
          <w:lang w:eastAsia="en-US"/>
        </w:rPr>
        <w:t xml:space="preserve"> in </w:t>
      </w:r>
      <w:r w:rsidR="00DF56D3">
        <w:rPr>
          <w:lang w:eastAsia="en-US"/>
        </w:rPr>
        <w:t>other</w:t>
      </w:r>
      <w:r>
        <w:rPr>
          <w:lang w:eastAsia="en-US"/>
        </w:rPr>
        <w:t xml:space="preserve"> jurisdictions.</w:t>
      </w:r>
      <w:r w:rsidR="00070D1E">
        <w:rPr>
          <w:lang w:eastAsia="en-US"/>
        </w:rPr>
        <w:t xml:space="preserve"> </w:t>
      </w:r>
      <w:r w:rsidR="00070BBF">
        <w:rPr>
          <w:lang w:eastAsia="en-US"/>
        </w:rPr>
        <w:t>For example, t</w:t>
      </w:r>
      <w:r>
        <w:rPr>
          <w:lang w:eastAsia="en-US"/>
        </w:rPr>
        <w:t xml:space="preserve">he New Zealand Telecom Dispute Resolution service </w:t>
      </w:r>
      <w:r w:rsidR="00A377DC">
        <w:rPr>
          <w:lang w:eastAsia="en-US"/>
        </w:rPr>
        <w:t>received 2,252</w:t>
      </w:r>
      <w:r>
        <w:rPr>
          <w:lang w:eastAsia="en-US"/>
        </w:rPr>
        <w:t xml:space="preserve"> complaints in the </w:t>
      </w:r>
      <w:r w:rsidR="004F5B27">
        <w:rPr>
          <w:lang w:eastAsia="en-US"/>
        </w:rPr>
        <w:t>2016–17</w:t>
      </w:r>
      <w:r>
        <w:rPr>
          <w:lang w:eastAsia="en-US"/>
        </w:rPr>
        <w:t xml:space="preserve"> reporting year</w:t>
      </w:r>
      <w:r w:rsidR="00070BBF">
        <w:rPr>
          <w:rStyle w:val="FootnoteReference"/>
          <w:lang w:eastAsia="en-US"/>
        </w:rPr>
        <w:footnoteReference w:id="5"/>
      </w:r>
      <w:r>
        <w:rPr>
          <w:lang w:eastAsia="en-US"/>
        </w:rPr>
        <w:t xml:space="preserve">, while the equivalent Canadian telecommunications complaints scheme received </w:t>
      </w:r>
      <w:r w:rsidR="00070BBF">
        <w:rPr>
          <w:lang w:eastAsia="en-US"/>
        </w:rPr>
        <w:t>9,097</w:t>
      </w:r>
      <w:r>
        <w:rPr>
          <w:lang w:eastAsia="en-US"/>
        </w:rPr>
        <w:t xml:space="preserve"> complaints for the same period.</w:t>
      </w:r>
      <w:r w:rsidR="00070BBF">
        <w:rPr>
          <w:rStyle w:val="FootnoteReference"/>
          <w:lang w:eastAsia="en-US"/>
        </w:rPr>
        <w:footnoteReference w:id="6"/>
      </w:r>
    </w:p>
    <w:p w14:paraId="76274ECC" w14:textId="09C12EF4" w:rsidR="00F03354" w:rsidRPr="00F03354" w:rsidRDefault="007B3526" w:rsidP="00F03354">
      <w:pPr>
        <w:rPr>
          <w:lang w:eastAsia="en-US"/>
        </w:rPr>
      </w:pPr>
      <w:r>
        <w:rPr>
          <w:lang w:eastAsia="en-US"/>
        </w:rPr>
        <w:t xml:space="preserve">The top complaint issue reported to the TIO is </w:t>
      </w:r>
      <w:r w:rsidRPr="001C1EEC">
        <w:rPr>
          <w:i/>
          <w:lang w:eastAsia="en-US"/>
        </w:rPr>
        <w:t>customer service</w:t>
      </w:r>
      <w:r>
        <w:rPr>
          <w:lang w:eastAsia="en-US"/>
        </w:rPr>
        <w:t>.</w:t>
      </w:r>
      <w:r w:rsidR="00070D1E">
        <w:rPr>
          <w:lang w:eastAsia="en-US"/>
        </w:rPr>
        <w:t xml:space="preserve"> </w:t>
      </w:r>
      <w:r w:rsidR="00BC054A">
        <w:rPr>
          <w:lang w:eastAsia="en-US"/>
        </w:rPr>
        <w:t xml:space="preserve">Consumers </w:t>
      </w:r>
      <w:r>
        <w:rPr>
          <w:lang w:eastAsia="en-US"/>
        </w:rPr>
        <w:t>a</w:t>
      </w:r>
      <w:r w:rsidR="00DF56D3">
        <w:rPr>
          <w:lang w:eastAsia="en-US"/>
        </w:rPr>
        <w:t>re</w:t>
      </w:r>
      <w:r>
        <w:rPr>
          <w:lang w:eastAsia="en-US"/>
        </w:rPr>
        <w:t xml:space="preserve"> </w:t>
      </w:r>
      <w:r w:rsidR="00BC054A">
        <w:rPr>
          <w:lang w:eastAsia="en-US"/>
        </w:rPr>
        <w:t xml:space="preserve">frustrated with </w:t>
      </w:r>
      <w:r w:rsidR="00A05F6B">
        <w:rPr>
          <w:lang w:eastAsia="en-US"/>
        </w:rPr>
        <w:t xml:space="preserve">the lack of effective </w:t>
      </w:r>
      <w:r w:rsidR="00EC70BE">
        <w:rPr>
          <w:lang w:eastAsia="en-US"/>
        </w:rPr>
        <w:t>consumer care</w:t>
      </w:r>
      <w:r w:rsidR="00BC054A">
        <w:rPr>
          <w:lang w:eastAsia="en-US"/>
        </w:rPr>
        <w:t xml:space="preserve"> and the</w:t>
      </w:r>
      <w:r w:rsidR="00EC70BE">
        <w:rPr>
          <w:lang w:eastAsia="en-US"/>
        </w:rPr>
        <w:t>ir</w:t>
      </w:r>
      <w:r w:rsidR="00BC054A">
        <w:rPr>
          <w:lang w:eastAsia="en-US"/>
        </w:rPr>
        <w:t xml:space="preserve"> inability to satisfactorily resolve </w:t>
      </w:r>
      <w:r>
        <w:rPr>
          <w:lang w:eastAsia="en-US"/>
        </w:rPr>
        <w:t>complaint</w:t>
      </w:r>
      <w:r w:rsidR="0088188F">
        <w:rPr>
          <w:lang w:eastAsia="en-US"/>
        </w:rPr>
        <w:t>s</w:t>
      </w:r>
      <w:r>
        <w:rPr>
          <w:lang w:eastAsia="en-US"/>
        </w:rPr>
        <w:t xml:space="preserve"> </w:t>
      </w:r>
      <w:r w:rsidR="00DF56D3">
        <w:rPr>
          <w:lang w:eastAsia="en-US"/>
        </w:rPr>
        <w:t xml:space="preserve">raised </w:t>
      </w:r>
      <w:r>
        <w:rPr>
          <w:lang w:eastAsia="en-US"/>
        </w:rPr>
        <w:t>directly with the</w:t>
      </w:r>
      <w:r w:rsidR="00A9726B">
        <w:rPr>
          <w:lang w:eastAsia="en-US"/>
        </w:rPr>
        <w:t xml:space="preserve">ir </w:t>
      </w:r>
      <w:r w:rsidR="00D84D2E">
        <w:rPr>
          <w:lang w:eastAsia="en-US"/>
        </w:rPr>
        <w:t>service provider</w:t>
      </w:r>
      <w:r w:rsidR="00BC054A">
        <w:rPr>
          <w:lang w:eastAsia="en-US"/>
        </w:rPr>
        <w:t>.</w:t>
      </w:r>
      <w:r w:rsidR="00070D1E">
        <w:rPr>
          <w:lang w:eastAsia="en-US"/>
        </w:rPr>
        <w:t xml:space="preserve"> </w:t>
      </w:r>
      <w:r w:rsidR="00582E19">
        <w:rPr>
          <w:lang w:eastAsia="en-US"/>
        </w:rPr>
        <w:t xml:space="preserve">By the time a </w:t>
      </w:r>
      <w:r w:rsidR="00DF56D3">
        <w:rPr>
          <w:lang w:eastAsia="en-US"/>
        </w:rPr>
        <w:t>consumer escalate</w:t>
      </w:r>
      <w:r w:rsidR="00582E19">
        <w:rPr>
          <w:lang w:eastAsia="en-US"/>
        </w:rPr>
        <w:t>s</w:t>
      </w:r>
      <w:r w:rsidR="00DF56D3">
        <w:rPr>
          <w:lang w:eastAsia="en-US"/>
        </w:rPr>
        <w:t xml:space="preserve"> a complaint to the</w:t>
      </w:r>
      <w:r w:rsidR="00BC054A">
        <w:rPr>
          <w:lang w:eastAsia="en-US"/>
        </w:rPr>
        <w:t xml:space="preserve"> </w:t>
      </w:r>
      <w:r w:rsidR="00A03FD6">
        <w:rPr>
          <w:lang w:eastAsia="en-US"/>
        </w:rPr>
        <w:t>TIO</w:t>
      </w:r>
      <w:r w:rsidR="00BC054A">
        <w:rPr>
          <w:lang w:eastAsia="en-US"/>
        </w:rPr>
        <w:t xml:space="preserve">, </w:t>
      </w:r>
      <w:r w:rsidR="00582E19">
        <w:rPr>
          <w:lang w:eastAsia="en-US"/>
        </w:rPr>
        <w:t xml:space="preserve">they have already spent some time trying to resolve </w:t>
      </w:r>
      <w:r w:rsidR="00A05F6B">
        <w:rPr>
          <w:lang w:eastAsia="en-US"/>
        </w:rPr>
        <w:t>the matter</w:t>
      </w:r>
      <w:r w:rsidR="00582E19">
        <w:rPr>
          <w:lang w:eastAsia="en-US"/>
        </w:rPr>
        <w:t xml:space="preserve"> </w:t>
      </w:r>
      <w:r w:rsidR="00A7324D" w:rsidRPr="00A7324D">
        <w:rPr>
          <w:lang w:eastAsia="en-US"/>
        </w:rPr>
        <w:t xml:space="preserve">directly </w:t>
      </w:r>
      <w:r w:rsidR="00582E19">
        <w:rPr>
          <w:lang w:eastAsia="en-US"/>
        </w:rPr>
        <w:t xml:space="preserve">with their provider and </w:t>
      </w:r>
      <w:r w:rsidR="00EC70BE">
        <w:rPr>
          <w:lang w:eastAsia="en-US"/>
        </w:rPr>
        <w:t xml:space="preserve">may </w:t>
      </w:r>
      <w:r w:rsidR="00BC054A">
        <w:rPr>
          <w:lang w:eastAsia="en-US"/>
        </w:rPr>
        <w:t>experienc</w:t>
      </w:r>
      <w:r w:rsidR="00DF56D3">
        <w:rPr>
          <w:lang w:eastAsia="en-US"/>
        </w:rPr>
        <w:t>e</w:t>
      </w:r>
      <w:r w:rsidR="00D84D2E">
        <w:rPr>
          <w:lang w:eastAsia="en-US"/>
        </w:rPr>
        <w:t xml:space="preserve"> </w:t>
      </w:r>
      <w:r w:rsidR="00582E19">
        <w:rPr>
          <w:lang w:eastAsia="en-US"/>
        </w:rPr>
        <w:t xml:space="preserve">further </w:t>
      </w:r>
      <w:r w:rsidR="00BC054A">
        <w:rPr>
          <w:lang w:eastAsia="en-US"/>
        </w:rPr>
        <w:t xml:space="preserve">frustration </w:t>
      </w:r>
      <w:r w:rsidR="000546FC">
        <w:rPr>
          <w:lang w:eastAsia="en-US"/>
        </w:rPr>
        <w:t xml:space="preserve">with </w:t>
      </w:r>
      <w:r>
        <w:rPr>
          <w:lang w:eastAsia="en-US"/>
        </w:rPr>
        <w:t xml:space="preserve">the time taken to reach an outcome through </w:t>
      </w:r>
      <w:r w:rsidR="00D84D2E">
        <w:rPr>
          <w:lang w:eastAsia="en-US"/>
        </w:rPr>
        <w:t xml:space="preserve">the </w:t>
      </w:r>
      <w:r w:rsidR="00A9726B">
        <w:rPr>
          <w:lang w:eastAsia="en-US"/>
        </w:rPr>
        <w:t>TIO</w:t>
      </w:r>
      <w:r w:rsidR="00D84D2E">
        <w:rPr>
          <w:lang w:eastAsia="en-US"/>
        </w:rPr>
        <w:t xml:space="preserve">’s </w:t>
      </w:r>
      <w:r w:rsidR="00A05F6B">
        <w:rPr>
          <w:lang w:eastAsia="en-US"/>
        </w:rPr>
        <w:t xml:space="preserve">complaint handling </w:t>
      </w:r>
      <w:r w:rsidR="00D84D2E">
        <w:rPr>
          <w:lang w:eastAsia="en-US"/>
        </w:rPr>
        <w:t>process</w:t>
      </w:r>
      <w:r w:rsidR="00582E19">
        <w:rPr>
          <w:lang w:eastAsia="en-US"/>
        </w:rPr>
        <w:t>. This</w:t>
      </w:r>
      <w:r w:rsidR="00A05F6B">
        <w:rPr>
          <w:lang w:eastAsia="en-US"/>
        </w:rPr>
        <w:t xml:space="preserve"> consumer experience</w:t>
      </w:r>
      <w:r w:rsidR="00582E19">
        <w:rPr>
          <w:lang w:eastAsia="en-US"/>
        </w:rPr>
        <w:t xml:space="preserve"> is </w:t>
      </w:r>
      <w:r w:rsidR="00A05F6B">
        <w:rPr>
          <w:lang w:eastAsia="en-US"/>
        </w:rPr>
        <w:t xml:space="preserve">further </w:t>
      </w:r>
      <w:r w:rsidR="00582E19">
        <w:rPr>
          <w:lang w:eastAsia="en-US"/>
        </w:rPr>
        <w:t>compounded as</w:t>
      </w:r>
      <w:r w:rsidR="00A05F6B">
        <w:rPr>
          <w:lang w:eastAsia="en-US"/>
        </w:rPr>
        <w:t>, after the complaint is accepted by the TIO,</w:t>
      </w:r>
      <w:r w:rsidR="00070D1E">
        <w:rPr>
          <w:lang w:eastAsia="en-US"/>
        </w:rPr>
        <w:t xml:space="preserve"> </w:t>
      </w:r>
      <w:r w:rsidR="00582E19">
        <w:rPr>
          <w:lang w:eastAsia="en-US"/>
        </w:rPr>
        <w:t xml:space="preserve">the TIO typically asks the </w:t>
      </w:r>
      <w:r w:rsidR="00A9726B">
        <w:rPr>
          <w:lang w:eastAsia="en-US"/>
        </w:rPr>
        <w:t xml:space="preserve">customer and </w:t>
      </w:r>
      <w:r>
        <w:rPr>
          <w:lang w:eastAsia="en-US"/>
        </w:rPr>
        <w:t xml:space="preserve">their </w:t>
      </w:r>
      <w:r w:rsidR="00D84D2E">
        <w:rPr>
          <w:lang w:eastAsia="en-US"/>
        </w:rPr>
        <w:t>service</w:t>
      </w:r>
      <w:r>
        <w:rPr>
          <w:lang w:eastAsia="en-US"/>
        </w:rPr>
        <w:t xml:space="preserve"> provider</w:t>
      </w:r>
      <w:r w:rsidR="00D84D2E">
        <w:rPr>
          <w:lang w:eastAsia="en-US"/>
        </w:rPr>
        <w:t xml:space="preserve"> </w:t>
      </w:r>
      <w:r w:rsidR="00582E19">
        <w:rPr>
          <w:lang w:eastAsia="en-US"/>
        </w:rPr>
        <w:t xml:space="preserve">to have a </w:t>
      </w:r>
      <w:r w:rsidR="00A05F6B">
        <w:rPr>
          <w:lang w:eastAsia="en-US"/>
        </w:rPr>
        <w:t xml:space="preserve">further </w:t>
      </w:r>
      <w:r w:rsidR="00582E19">
        <w:rPr>
          <w:lang w:eastAsia="en-US"/>
        </w:rPr>
        <w:t>final attempt to</w:t>
      </w:r>
      <w:r w:rsidR="00D84D2E">
        <w:rPr>
          <w:lang w:eastAsia="en-US"/>
        </w:rPr>
        <w:t xml:space="preserve"> resolve the complaint</w:t>
      </w:r>
      <w:r w:rsidR="00582E19">
        <w:rPr>
          <w:lang w:eastAsia="en-US"/>
        </w:rPr>
        <w:t xml:space="preserve"> before any </w:t>
      </w:r>
      <w:r w:rsidR="00A05F6B">
        <w:rPr>
          <w:lang w:eastAsia="en-US"/>
        </w:rPr>
        <w:t xml:space="preserve">conciliation, </w:t>
      </w:r>
      <w:r w:rsidR="00582E19">
        <w:rPr>
          <w:lang w:eastAsia="en-US"/>
        </w:rPr>
        <w:t xml:space="preserve">investigation or </w:t>
      </w:r>
      <w:r w:rsidR="00A05F6B">
        <w:rPr>
          <w:lang w:eastAsia="en-US"/>
        </w:rPr>
        <w:t xml:space="preserve">other </w:t>
      </w:r>
      <w:r w:rsidR="00582E19">
        <w:rPr>
          <w:lang w:eastAsia="en-US"/>
        </w:rPr>
        <w:t xml:space="preserve">formal dispute resolution </w:t>
      </w:r>
      <w:r w:rsidR="00A05F6B">
        <w:rPr>
          <w:lang w:eastAsia="en-US"/>
        </w:rPr>
        <w:t xml:space="preserve">action </w:t>
      </w:r>
      <w:r w:rsidR="00582E19">
        <w:rPr>
          <w:lang w:eastAsia="en-US"/>
        </w:rPr>
        <w:t xml:space="preserve">by the TIO </w:t>
      </w:r>
      <w:r w:rsidR="00A05F6B">
        <w:rPr>
          <w:lang w:eastAsia="en-US"/>
        </w:rPr>
        <w:t>can commence</w:t>
      </w:r>
      <w:r>
        <w:rPr>
          <w:lang w:eastAsia="en-US"/>
        </w:rPr>
        <w:t>.</w:t>
      </w:r>
    </w:p>
    <w:p w14:paraId="5D06D487" w14:textId="10B9417B" w:rsidR="00EC6C0D" w:rsidRPr="00B35720" w:rsidRDefault="00EC6C0D" w:rsidP="00503BC9">
      <w:pPr>
        <w:pStyle w:val="Heading3"/>
      </w:pPr>
      <w:bookmarkStart w:id="21" w:name="_Toc515980271"/>
      <w:bookmarkStart w:id="22" w:name="_Toc517104228"/>
      <w:bookmarkStart w:id="23" w:name="_Toc518483535"/>
      <w:r w:rsidRPr="00B35720">
        <w:lastRenderedPageBreak/>
        <w:t>Regulatory setting</w:t>
      </w:r>
      <w:bookmarkEnd w:id="21"/>
      <w:r w:rsidR="00A7324D">
        <w:t>s</w:t>
      </w:r>
      <w:bookmarkEnd w:id="22"/>
      <w:bookmarkEnd w:id="23"/>
    </w:p>
    <w:p w14:paraId="6A1438F3" w14:textId="269C68CD" w:rsidR="008A018D" w:rsidRDefault="00582E19" w:rsidP="00483E38">
      <w:r>
        <w:t>T</w:t>
      </w:r>
      <w:r w:rsidR="000B7F2F">
        <w:t>he</w:t>
      </w:r>
      <w:r w:rsidR="00BC054A">
        <w:t xml:space="preserve"> primary responsibility for</w:t>
      </w:r>
      <w:r w:rsidR="000B7F2F">
        <w:t xml:space="preserve"> address</w:t>
      </w:r>
      <w:r w:rsidR="00D84D2E">
        <w:t xml:space="preserve">ing </w:t>
      </w:r>
      <w:r w:rsidR="00DF56D3">
        <w:t>complaints</w:t>
      </w:r>
      <w:r w:rsidR="00D84D2E">
        <w:t xml:space="preserve"> </w:t>
      </w:r>
      <w:r>
        <w:t xml:space="preserve">has largely </w:t>
      </w:r>
      <w:r w:rsidR="00726FFE">
        <w:t>rested</w:t>
      </w:r>
      <w:r>
        <w:t xml:space="preserve"> </w:t>
      </w:r>
      <w:r w:rsidR="000B7F2F">
        <w:t>with industry</w:t>
      </w:r>
      <w:r w:rsidR="00774C14">
        <w:t xml:space="preserve">. </w:t>
      </w:r>
      <w:r w:rsidR="000B7F2F">
        <w:t>Industry is responsible for developing rules of conduct through codes</w:t>
      </w:r>
      <w:r w:rsidR="00D84D2E">
        <w:t xml:space="preserve"> </w:t>
      </w:r>
      <w:r w:rsidR="00A7324D">
        <w:t xml:space="preserve">which are </w:t>
      </w:r>
      <w:r w:rsidR="00E23A52">
        <w:t xml:space="preserve">registered and </w:t>
      </w:r>
      <w:r w:rsidR="00A7324D">
        <w:t>monitored by the ACMA</w:t>
      </w:r>
      <w:r w:rsidR="00A377DC">
        <w:t xml:space="preserve">. </w:t>
      </w:r>
      <w:r w:rsidR="008A018D">
        <w:t>The ACMA also has the power to make an industry standard</w:t>
      </w:r>
      <w:r w:rsidR="00270574">
        <w:t xml:space="preserve"> in the event that </w:t>
      </w:r>
      <w:r w:rsidR="008A018D">
        <w:t>there is no industry code made following a request</w:t>
      </w:r>
      <w:r w:rsidR="00A7324D">
        <w:t>,</w:t>
      </w:r>
      <w:r w:rsidR="008A018D">
        <w:t xml:space="preserve"> or </w:t>
      </w:r>
      <w:r w:rsidR="00270574">
        <w:t xml:space="preserve">if </w:t>
      </w:r>
      <w:r w:rsidR="008A018D">
        <w:t xml:space="preserve">the code </w:t>
      </w:r>
      <w:r w:rsidR="00270574">
        <w:t xml:space="preserve">in force </w:t>
      </w:r>
      <w:r w:rsidR="008A018D">
        <w:t>is found to be inadequate.</w:t>
      </w:r>
      <w:r w:rsidR="00070D1E">
        <w:t xml:space="preserve"> </w:t>
      </w:r>
      <w:r w:rsidR="008A018D">
        <w:t>Compliance with standards is mandatory.</w:t>
      </w:r>
    </w:p>
    <w:p w14:paraId="5F3185BD" w14:textId="0EF5EAAB" w:rsidR="002F6077" w:rsidRDefault="00483E38" w:rsidP="00247912">
      <w:pPr>
        <w:rPr>
          <w:lang w:eastAsia="en-US"/>
        </w:rPr>
      </w:pPr>
      <w:r>
        <w:rPr>
          <w:lang w:eastAsia="en-US"/>
        </w:rPr>
        <w:t xml:space="preserve">There are a number of problems inherent in the current Australian </w:t>
      </w:r>
      <w:r w:rsidR="00774C14">
        <w:rPr>
          <w:lang w:eastAsia="en-US"/>
        </w:rPr>
        <w:t xml:space="preserve">telecommunications complaints resolution </w:t>
      </w:r>
      <w:r w:rsidR="00270574">
        <w:rPr>
          <w:lang w:eastAsia="en-US"/>
        </w:rPr>
        <w:t>regime</w:t>
      </w:r>
      <w:r>
        <w:rPr>
          <w:lang w:eastAsia="en-US"/>
        </w:rPr>
        <w:t xml:space="preserve">, which are not present in other </w:t>
      </w:r>
      <w:r w:rsidR="003A6DD4">
        <w:rPr>
          <w:lang w:eastAsia="en-US"/>
        </w:rPr>
        <w:t xml:space="preserve">countries’ and sectors’ </w:t>
      </w:r>
      <w:r>
        <w:rPr>
          <w:lang w:eastAsia="en-US"/>
        </w:rPr>
        <w:t>models</w:t>
      </w:r>
      <w:r w:rsidR="003A6DD4">
        <w:rPr>
          <w:lang w:eastAsia="en-US"/>
        </w:rPr>
        <w:t xml:space="preserve"> </w:t>
      </w:r>
      <w:r w:rsidR="00D376BB">
        <w:rPr>
          <w:lang w:eastAsia="en-US"/>
        </w:rPr>
        <w:t xml:space="preserve">(further detail on other jurisdictions can be found </w:t>
      </w:r>
      <w:r w:rsidR="00C90A86">
        <w:rPr>
          <w:lang w:eastAsia="en-US"/>
        </w:rPr>
        <w:t xml:space="preserve">in the companion paper </w:t>
      </w:r>
      <w:r w:rsidR="003D4E43">
        <w:rPr>
          <w:i/>
          <w:lang w:eastAsia="en-US"/>
        </w:rPr>
        <w:t xml:space="preserve">International and Sectoral Comparisons of </w:t>
      </w:r>
      <w:r w:rsidR="00C90A86" w:rsidRPr="00C90A86">
        <w:rPr>
          <w:i/>
          <w:lang w:eastAsia="en-US"/>
        </w:rPr>
        <w:t xml:space="preserve">Redress and Complaints Handling </w:t>
      </w:r>
      <w:r w:rsidR="003D4E43">
        <w:rPr>
          <w:i/>
          <w:lang w:eastAsia="en-US"/>
        </w:rPr>
        <w:t xml:space="preserve">Models </w:t>
      </w:r>
      <w:r w:rsidR="00C90A86" w:rsidRPr="00C90A86">
        <w:rPr>
          <w:i/>
          <w:lang w:eastAsia="en-US"/>
        </w:rPr>
        <w:t>for Consumers and Small Businesses</w:t>
      </w:r>
      <w:r w:rsidR="00CA4FCB">
        <w:rPr>
          <w:lang w:eastAsia="en-US"/>
        </w:rPr>
        <w:t>, at</w:t>
      </w:r>
      <w:r w:rsidR="002F6077">
        <w:rPr>
          <w:lang w:eastAsia="en-US"/>
        </w:rPr>
        <w:t xml:space="preserve"> </w:t>
      </w:r>
      <w:r w:rsidR="002F6077">
        <w:t>www.communications.gov.au/consumer-safeguards-review</w:t>
      </w:r>
      <w:r w:rsidR="00D376BB">
        <w:rPr>
          <w:lang w:eastAsia="en-US"/>
        </w:rPr>
        <w:t>)</w:t>
      </w:r>
      <w:r>
        <w:rPr>
          <w:lang w:eastAsia="en-US"/>
        </w:rPr>
        <w:t>.</w:t>
      </w:r>
    </w:p>
    <w:p w14:paraId="4E51F986" w14:textId="3B80044C" w:rsidR="00D376BB" w:rsidRDefault="00483E38" w:rsidP="00180B0D">
      <w:r>
        <w:t xml:space="preserve">The Australian system is almost totally reliant on industry accountability and self-regulation in an environment where there is little or no restraint on </w:t>
      </w:r>
      <w:r w:rsidR="00FA36EC">
        <w:t xml:space="preserve">market </w:t>
      </w:r>
      <w:r>
        <w:t>entry and exit.</w:t>
      </w:r>
    </w:p>
    <w:p w14:paraId="39DE5ECD" w14:textId="4FAC1882" w:rsidR="00D376BB" w:rsidRDefault="00483E38" w:rsidP="004F5B27">
      <w:pPr>
        <w:pStyle w:val="Bulletlevel1"/>
      </w:pPr>
      <w:r>
        <w:t>The controls on industry behaviour are largely contained within industry codes</w:t>
      </w:r>
      <w:r w:rsidR="00A7324D">
        <w:t xml:space="preserve">, monitored </w:t>
      </w:r>
      <w:r>
        <w:t>by a regulator required to give industry every opportunity to remedy its own behaviour.</w:t>
      </w:r>
    </w:p>
    <w:p w14:paraId="22E79F23" w14:textId="0E993A6F" w:rsidR="00D376BB" w:rsidRDefault="00BB40EA" w:rsidP="004F5B27">
      <w:pPr>
        <w:pStyle w:val="Bulletlevel1"/>
      </w:pPr>
      <w:r>
        <w:t>T</w:t>
      </w:r>
      <w:r w:rsidR="00483E38">
        <w:t>he in</w:t>
      </w:r>
      <w:r w:rsidR="00270574">
        <w:t xml:space="preserve">dependent </w:t>
      </w:r>
      <w:r>
        <w:t>T</w:t>
      </w:r>
      <w:r w:rsidR="00270574">
        <w:t xml:space="preserve">elecommunications </w:t>
      </w:r>
      <w:r>
        <w:t>Industry O</w:t>
      </w:r>
      <w:r w:rsidR="00483E38">
        <w:t>mbudsman is owned and funded by industry.</w:t>
      </w:r>
    </w:p>
    <w:p w14:paraId="2AD0D230" w14:textId="037B75C1" w:rsidR="00483E38" w:rsidRDefault="00774C14" w:rsidP="00503BC9">
      <w:pPr>
        <w:keepLines/>
        <w:rPr>
          <w:lang w:eastAsia="en-US"/>
        </w:rPr>
      </w:pPr>
      <w:r>
        <w:rPr>
          <w:lang w:eastAsia="en-US"/>
        </w:rPr>
        <w:t>I</w:t>
      </w:r>
      <w:r w:rsidR="00483E38">
        <w:rPr>
          <w:lang w:eastAsia="en-US"/>
        </w:rPr>
        <w:t xml:space="preserve">ndustry self-regulation has been </w:t>
      </w:r>
      <w:r w:rsidR="00EC70BE">
        <w:rPr>
          <w:lang w:eastAsia="en-US"/>
        </w:rPr>
        <w:t xml:space="preserve">generally </w:t>
      </w:r>
      <w:r w:rsidR="00483E38">
        <w:rPr>
          <w:lang w:eastAsia="en-US"/>
        </w:rPr>
        <w:t xml:space="preserve">successful in governing technical matters </w:t>
      </w:r>
      <w:r w:rsidR="00EC70BE">
        <w:rPr>
          <w:lang w:eastAsia="en-US"/>
        </w:rPr>
        <w:t>(such as number portability)</w:t>
      </w:r>
      <w:r w:rsidR="00483E38">
        <w:rPr>
          <w:lang w:eastAsia="en-US"/>
        </w:rPr>
        <w:t>.</w:t>
      </w:r>
      <w:r w:rsidR="00070D1E">
        <w:rPr>
          <w:lang w:eastAsia="en-US"/>
        </w:rPr>
        <w:t xml:space="preserve"> </w:t>
      </w:r>
      <w:r w:rsidR="00483E38">
        <w:rPr>
          <w:lang w:eastAsia="en-US"/>
        </w:rPr>
        <w:t>However, in an environment where consumers are faced with multiple choices of networks, services and devices</w:t>
      </w:r>
      <w:r w:rsidR="00A377DC">
        <w:rPr>
          <w:lang w:eastAsia="en-US"/>
        </w:rPr>
        <w:t>,</w:t>
      </w:r>
      <w:r w:rsidR="00483E38">
        <w:rPr>
          <w:lang w:eastAsia="en-US"/>
        </w:rPr>
        <w:t xml:space="preserve"> </w:t>
      </w:r>
      <w:r w:rsidR="00270574">
        <w:rPr>
          <w:lang w:eastAsia="en-US"/>
        </w:rPr>
        <w:t>together with</w:t>
      </w:r>
      <w:r w:rsidR="00483E38">
        <w:rPr>
          <w:lang w:eastAsia="en-US"/>
        </w:rPr>
        <w:t xml:space="preserve"> industry supply chains </w:t>
      </w:r>
      <w:r w:rsidR="00270574">
        <w:rPr>
          <w:lang w:eastAsia="en-US"/>
        </w:rPr>
        <w:t xml:space="preserve">that </w:t>
      </w:r>
      <w:r w:rsidR="00483E38">
        <w:rPr>
          <w:lang w:eastAsia="en-US"/>
        </w:rPr>
        <w:t xml:space="preserve">are becoming increasingly complex, </w:t>
      </w:r>
      <w:r w:rsidR="00FA36EC">
        <w:rPr>
          <w:lang w:eastAsia="en-US"/>
        </w:rPr>
        <w:t>it has proven problematic for self-regulation to deliver adequate outcomes for consumers seeking redress or alternative complaints handling arrangements</w:t>
      </w:r>
      <w:r w:rsidR="00483E38">
        <w:rPr>
          <w:lang w:eastAsia="en-US"/>
        </w:rPr>
        <w:t>.</w:t>
      </w:r>
    </w:p>
    <w:p w14:paraId="281C586D" w14:textId="3E05CD99" w:rsidR="00F03354" w:rsidRPr="00E15915" w:rsidRDefault="0058385F" w:rsidP="00503BC9">
      <w:pPr>
        <w:pStyle w:val="Heading3"/>
      </w:pPr>
      <w:bookmarkStart w:id="24" w:name="_Toc515980272"/>
      <w:bookmarkStart w:id="25" w:name="_Toc517104229"/>
      <w:bookmarkStart w:id="26" w:name="_Toc518483536"/>
      <w:r>
        <w:t xml:space="preserve">Dispute resolution </w:t>
      </w:r>
      <w:r w:rsidR="00F03354" w:rsidRPr="00E15915">
        <w:t>processes</w:t>
      </w:r>
      <w:bookmarkEnd w:id="24"/>
      <w:bookmarkEnd w:id="25"/>
      <w:bookmarkEnd w:id="26"/>
    </w:p>
    <w:p w14:paraId="77669064" w14:textId="690D2714" w:rsidR="002D18D1" w:rsidRDefault="00932E86" w:rsidP="00F03354">
      <w:r>
        <w:t xml:space="preserve">The vast majority of </w:t>
      </w:r>
      <w:r w:rsidR="0058385F">
        <w:t xml:space="preserve">consumer </w:t>
      </w:r>
      <w:r w:rsidR="00F03354">
        <w:t xml:space="preserve">complaints received by the TIO are </w:t>
      </w:r>
      <w:r w:rsidR="0058385F">
        <w:t xml:space="preserve">currently </w:t>
      </w:r>
      <w:r w:rsidR="00F03354">
        <w:t>referred back to t</w:t>
      </w:r>
      <w:r w:rsidR="00E15915">
        <w:t>he service provider</w:t>
      </w:r>
      <w:r w:rsidR="002D18D1">
        <w:t xml:space="preserve"> </w:t>
      </w:r>
      <w:r w:rsidR="0058385F">
        <w:t>to encourage</w:t>
      </w:r>
      <w:r w:rsidR="00F03354">
        <w:t xml:space="preserve"> resolution directly between the provider and the c</w:t>
      </w:r>
      <w:r w:rsidR="0058385F">
        <w:t>onsumer</w:t>
      </w:r>
      <w:r w:rsidR="002D18D1">
        <w:t xml:space="preserve"> </w:t>
      </w:r>
      <w:r w:rsidR="009F750E">
        <w:t xml:space="preserve">– </w:t>
      </w:r>
      <w:r w:rsidR="002D18D1">
        <w:t xml:space="preserve">either as an </w:t>
      </w:r>
      <w:r w:rsidR="00161FDE">
        <w:t>E</w:t>
      </w:r>
      <w:r w:rsidR="002D18D1">
        <w:t>n</w:t>
      </w:r>
      <w:r w:rsidR="00161FDE">
        <w:t>quiry R</w:t>
      </w:r>
      <w:r w:rsidR="002D18D1">
        <w:t xml:space="preserve">eferral </w:t>
      </w:r>
      <w:r w:rsidR="002D18D1" w:rsidRPr="001A588E">
        <w:t>if the consumer has not previously contacted the provider about the complaint, or a</w:t>
      </w:r>
      <w:r w:rsidR="00161FDE">
        <w:t xml:space="preserve"> R</w:t>
      </w:r>
      <w:r w:rsidR="002D18D1" w:rsidRPr="001A588E">
        <w:t>eferral</w:t>
      </w:r>
      <w:r w:rsidR="002D18D1">
        <w:t xml:space="preserve"> if the consumer has previously contacted the provider and given </w:t>
      </w:r>
      <w:r w:rsidR="00161FDE">
        <w:t xml:space="preserve">it </w:t>
      </w:r>
      <w:r w:rsidR="002D18D1">
        <w:t>an opportunity to resolve the complaint</w:t>
      </w:r>
      <w:r w:rsidR="00F03354">
        <w:t>. If</w:t>
      </w:r>
      <w:r w:rsidR="003C549F">
        <w:t>, in the consumer’s view, the</w:t>
      </w:r>
      <w:r w:rsidR="00F03354">
        <w:t xml:space="preserve"> issue remains unresolved</w:t>
      </w:r>
      <w:r w:rsidR="00161FDE">
        <w:t xml:space="preserve"> after being referred from the TIO</w:t>
      </w:r>
      <w:r w:rsidR="00F03354">
        <w:t xml:space="preserve">, the </w:t>
      </w:r>
      <w:r w:rsidR="003C549F">
        <w:t xml:space="preserve">consumer can </w:t>
      </w:r>
      <w:r w:rsidR="00E15915">
        <w:t xml:space="preserve">then </w:t>
      </w:r>
      <w:r w:rsidR="003C549F">
        <w:t>re</w:t>
      </w:r>
      <w:r w:rsidR="00F03354">
        <w:t xml:space="preserve">turn to the TIO </w:t>
      </w:r>
      <w:r w:rsidR="003C549F">
        <w:t>to escalate the complaint through the TIO’s further</w:t>
      </w:r>
      <w:r w:rsidR="00F03354">
        <w:t xml:space="preserve"> complaint </w:t>
      </w:r>
      <w:r w:rsidR="0058385F">
        <w:t xml:space="preserve">handling </w:t>
      </w:r>
      <w:r w:rsidR="00F03354">
        <w:t>leve</w:t>
      </w:r>
      <w:r w:rsidR="004F5B27">
        <w:t>ls.</w:t>
      </w:r>
      <w:r w:rsidR="00DB7331">
        <w:t xml:space="preserve"> </w:t>
      </w:r>
      <w:r w:rsidR="003C2A60">
        <w:t xml:space="preserve">In </w:t>
      </w:r>
      <w:r w:rsidR="00DB7331">
        <w:t xml:space="preserve">July 2018, the TIO </w:t>
      </w:r>
      <w:r w:rsidR="002D18D1">
        <w:t>instituted</w:t>
      </w:r>
      <w:r w:rsidR="00DB7331">
        <w:t xml:space="preserve"> a new approach</w:t>
      </w:r>
      <w:r w:rsidR="002D18D1">
        <w:rPr>
          <w:rStyle w:val="FootnoteReference"/>
        </w:rPr>
        <w:footnoteReference w:id="7"/>
      </w:r>
      <w:r w:rsidR="00DB7331">
        <w:t xml:space="preserve"> to how it handles complaints at these further levels.</w:t>
      </w:r>
    </w:p>
    <w:p w14:paraId="598F4C07" w14:textId="38A11796" w:rsidR="00932E86" w:rsidRDefault="00FA36EC" w:rsidP="00F03354">
      <w:r>
        <w:t>Fewer</w:t>
      </w:r>
      <w:r w:rsidR="00932E86">
        <w:t xml:space="preserve"> than 10% </w:t>
      </w:r>
      <w:r w:rsidR="003C549F">
        <w:t xml:space="preserve">of complaints referred back to the service provider </w:t>
      </w:r>
      <w:r w:rsidR="0058385F">
        <w:t xml:space="preserve">as </w:t>
      </w:r>
      <w:r w:rsidR="00161FDE">
        <w:t>Enquiry R</w:t>
      </w:r>
      <w:r w:rsidR="0098655E">
        <w:t>eferrals</w:t>
      </w:r>
      <w:r w:rsidR="0058385F">
        <w:t xml:space="preserve"> </w:t>
      </w:r>
      <w:r w:rsidR="00161FDE">
        <w:t xml:space="preserve">or Referrals </w:t>
      </w:r>
      <w:r w:rsidR="00932E86">
        <w:t xml:space="preserve">are returned </w:t>
      </w:r>
      <w:r w:rsidR="004A2D77">
        <w:t xml:space="preserve">by the consumer </w:t>
      </w:r>
      <w:r w:rsidR="00932E86">
        <w:t>to the TIO</w:t>
      </w:r>
      <w:r w:rsidR="0058385F">
        <w:t xml:space="preserve"> for escalation</w:t>
      </w:r>
      <w:r w:rsidR="004A2D77">
        <w:t>.</w:t>
      </w:r>
      <w:r w:rsidR="00070D1E">
        <w:t xml:space="preserve"> </w:t>
      </w:r>
      <w:r w:rsidR="00932E86">
        <w:t xml:space="preserve">It is generally assumed that these matters </w:t>
      </w:r>
      <w:r w:rsidR="004A2D77">
        <w:t xml:space="preserve">that do not return to the </w:t>
      </w:r>
      <w:r w:rsidR="004A2D77">
        <w:lastRenderedPageBreak/>
        <w:t xml:space="preserve">TIO </w:t>
      </w:r>
      <w:r w:rsidR="00932E86">
        <w:t>(</w:t>
      </w:r>
      <w:r w:rsidR="004A2D77">
        <w:t xml:space="preserve">that is </w:t>
      </w:r>
      <w:r w:rsidR="00932E86">
        <w:t xml:space="preserve">90% </w:t>
      </w:r>
      <w:r w:rsidR="004A2D77">
        <w:t xml:space="preserve">of all complaints that are referred back to the service provider) </w:t>
      </w:r>
      <w:r w:rsidR="00932E86">
        <w:t>are resolved but</w:t>
      </w:r>
      <w:r w:rsidR="004A2D77">
        <w:t xml:space="preserve"> there is not a process in place to confirm this.</w:t>
      </w:r>
      <w:r w:rsidR="00070D1E">
        <w:t xml:space="preserve"> </w:t>
      </w:r>
      <w:r w:rsidR="00932E86">
        <w:t xml:space="preserve">It is </w:t>
      </w:r>
      <w:r w:rsidR="004A2D77">
        <w:t xml:space="preserve">therefore </w:t>
      </w:r>
      <w:r w:rsidR="00932E86">
        <w:t xml:space="preserve">likely that </w:t>
      </w:r>
      <w:r w:rsidR="0058385F">
        <w:t>some</w:t>
      </w:r>
      <w:r w:rsidR="00932E86">
        <w:t xml:space="preserve"> proportion of these complainants </w:t>
      </w:r>
      <w:r w:rsidR="0058385F">
        <w:t xml:space="preserve">may </w:t>
      </w:r>
      <w:r w:rsidR="00932E86">
        <w:t>either give up or take the matter elsewhere.</w:t>
      </w:r>
    </w:p>
    <w:p w14:paraId="69648680" w14:textId="1712AFDC" w:rsidR="004A2D77" w:rsidRDefault="00F03354" w:rsidP="00F03354">
      <w:r>
        <w:t xml:space="preserve">The significant volumes of complaints </w:t>
      </w:r>
      <w:r w:rsidR="00A9726B">
        <w:t>assumed to be</w:t>
      </w:r>
      <w:r>
        <w:t xml:space="preserve"> resolved at </w:t>
      </w:r>
      <w:r w:rsidR="005A1D35">
        <w:t xml:space="preserve">Enquiry Referral and </w:t>
      </w:r>
      <w:r w:rsidR="00161FDE">
        <w:t>R</w:t>
      </w:r>
      <w:r w:rsidR="0098655E">
        <w:t>eferral level</w:t>
      </w:r>
      <w:r>
        <w:t xml:space="preserve"> raises an important question</w:t>
      </w:r>
      <w:r w:rsidR="00150826">
        <w:t>—</w:t>
      </w:r>
      <w:r w:rsidR="004A2D77">
        <w:t>w</w:t>
      </w:r>
      <w:r w:rsidRPr="00FA0420">
        <w:t xml:space="preserve">hy are </w:t>
      </w:r>
      <w:r w:rsidR="004A2D77">
        <w:t xml:space="preserve">service providers </w:t>
      </w:r>
      <w:r>
        <w:t xml:space="preserve">not </w:t>
      </w:r>
      <w:r w:rsidR="0058385F">
        <w:t xml:space="preserve">directly </w:t>
      </w:r>
      <w:r>
        <w:t xml:space="preserve">resolving </w:t>
      </w:r>
      <w:r w:rsidR="0058385F">
        <w:t xml:space="preserve">the consumer’s </w:t>
      </w:r>
      <w:r>
        <w:t xml:space="preserve">issues when they are first </w:t>
      </w:r>
      <w:r w:rsidR="00BC054A">
        <w:t>raised by the customer</w:t>
      </w:r>
      <w:r>
        <w:t>?</w:t>
      </w:r>
      <w:r w:rsidRPr="00FA0420">
        <w:t xml:space="preserve"> </w:t>
      </w:r>
      <w:r w:rsidR="00A57D8B">
        <w:t xml:space="preserve">One explanation could be </w:t>
      </w:r>
      <w:r w:rsidR="00386CB1">
        <w:t xml:space="preserve">that it </w:t>
      </w:r>
      <w:r w:rsidR="004A2D77">
        <w:t xml:space="preserve">is </w:t>
      </w:r>
      <w:r w:rsidR="00386CB1">
        <w:t xml:space="preserve">easier, and perhaps </w:t>
      </w:r>
      <w:r w:rsidR="00A57D8B">
        <w:t>more cost-effective</w:t>
      </w:r>
      <w:r w:rsidR="00386CB1">
        <w:t xml:space="preserve">, for </w:t>
      </w:r>
      <w:r w:rsidR="004A2D77">
        <w:t xml:space="preserve">providers </w:t>
      </w:r>
      <w:r w:rsidR="00386CB1">
        <w:t xml:space="preserve">to </w:t>
      </w:r>
      <w:r w:rsidR="00A57D8B">
        <w:t xml:space="preserve">allow some issues </w:t>
      </w:r>
      <w:r w:rsidR="00DC41E0">
        <w:t xml:space="preserve">to </w:t>
      </w:r>
      <w:r w:rsidR="00A57D8B">
        <w:t xml:space="preserve">go </w:t>
      </w:r>
      <w:r w:rsidR="0058385F">
        <w:t>to</w:t>
      </w:r>
      <w:r w:rsidR="00386CB1">
        <w:t xml:space="preserve"> the Ombudsman in the first instance rather than be addressed by the</w:t>
      </w:r>
      <w:r w:rsidR="00774EAC">
        <w:t xml:space="preserve"> provider</w:t>
      </w:r>
      <w:r w:rsidR="00386CB1">
        <w:t xml:space="preserve">. </w:t>
      </w:r>
      <w:r>
        <w:t xml:space="preserve">The </w:t>
      </w:r>
      <w:r w:rsidR="00BC054A">
        <w:t>Ombudsman has</w:t>
      </w:r>
      <w:r>
        <w:t xml:space="preserve"> noted</w:t>
      </w:r>
      <w:r>
        <w:rPr>
          <w:rStyle w:val="FootnoteReference"/>
        </w:rPr>
        <w:footnoteReference w:id="8"/>
      </w:r>
      <w:r>
        <w:t xml:space="preserve"> that a key question for industry </w:t>
      </w:r>
      <w:r w:rsidR="00932E86">
        <w:t>(and in practice this is for every individual p</w:t>
      </w:r>
      <w:r w:rsidR="004A2D77">
        <w:t>rovider</w:t>
      </w:r>
      <w:r w:rsidR="00932E86">
        <w:t xml:space="preserve">) </w:t>
      </w:r>
      <w:r>
        <w:t>is wh</w:t>
      </w:r>
      <w:r w:rsidR="004A2D77">
        <w:t xml:space="preserve">ether </w:t>
      </w:r>
      <w:r w:rsidR="00774EAC">
        <w:t>industry</w:t>
      </w:r>
      <w:r w:rsidR="004A2D77">
        <w:t xml:space="preserve"> invests in paying </w:t>
      </w:r>
      <w:r w:rsidR="00BC054A">
        <w:t>the</w:t>
      </w:r>
      <w:r>
        <w:t xml:space="preserve"> TIO </w:t>
      </w:r>
      <w:r w:rsidR="009C5704">
        <w:t>to</w:t>
      </w:r>
      <w:r w:rsidR="00BC054A">
        <w:t xml:space="preserve"> </w:t>
      </w:r>
      <w:r>
        <w:t xml:space="preserve">handle </w:t>
      </w:r>
      <w:r w:rsidR="00774EAC">
        <w:t xml:space="preserve">and manage consumer </w:t>
      </w:r>
      <w:r>
        <w:t>complaints, or</w:t>
      </w:r>
      <w:r w:rsidR="00774EAC">
        <w:t xml:space="preserve">, alternately, </w:t>
      </w:r>
      <w:r>
        <w:t>invests th</w:t>
      </w:r>
      <w:r w:rsidR="004A2D77">
        <w:t xml:space="preserve">ose same funds </w:t>
      </w:r>
      <w:r>
        <w:t xml:space="preserve">in improving </w:t>
      </w:r>
      <w:r w:rsidR="00774EAC">
        <w:t>industry’s</w:t>
      </w:r>
      <w:r>
        <w:t xml:space="preserve"> own service delivery and</w:t>
      </w:r>
      <w:r w:rsidR="004F5B27">
        <w:t xml:space="preserve"> internal complaints processes.</w:t>
      </w:r>
    </w:p>
    <w:p w14:paraId="5088D429" w14:textId="77777777" w:rsidR="00F03354" w:rsidRPr="00E15915" w:rsidRDefault="00807EC5" w:rsidP="00503BC9">
      <w:pPr>
        <w:pStyle w:val="Heading3"/>
      </w:pPr>
      <w:bookmarkStart w:id="27" w:name="_Toc515980273"/>
      <w:bookmarkStart w:id="28" w:name="_Toc517104230"/>
      <w:bookmarkStart w:id="29" w:name="_Toc518483537"/>
      <w:r w:rsidRPr="00E15915">
        <w:t xml:space="preserve">Accountability </w:t>
      </w:r>
      <w:r w:rsidR="0038272F" w:rsidRPr="00E15915">
        <w:t>and</w:t>
      </w:r>
      <w:r w:rsidR="00D81E53" w:rsidRPr="00E15915">
        <w:t xml:space="preserve"> responsibility </w:t>
      </w:r>
      <w:r w:rsidRPr="00E15915">
        <w:t xml:space="preserve">of </w:t>
      </w:r>
      <w:r w:rsidR="00F03354" w:rsidRPr="00E15915">
        <w:t>providers</w:t>
      </w:r>
      <w:bookmarkEnd w:id="27"/>
      <w:bookmarkEnd w:id="28"/>
      <w:bookmarkEnd w:id="29"/>
    </w:p>
    <w:p w14:paraId="2C4005CF" w14:textId="7572EFDA" w:rsidR="00F03354" w:rsidRDefault="00394155" w:rsidP="00F03354">
      <w:r>
        <w:t xml:space="preserve">Increasing complexity of industry structures </w:t>
      </w:r>
      <w:r w:rsidR="00774EAC">
        <w:t xml:space="preserve">and telecommunications products </w:t>
      </w:r>
      <w:r w:rsidR="00386CB1">
        <w:t xml:space="preserve">can </w:t>
      </w:r>
      <w:r>
        <w:t>make it difficult for consumers t</w:t>
      </w:r>
      <w:r w:rsidR="00F03354">
        <w:t xml:space="preserve">o determine the cause of the problem </w:t>
      </w:r>
      <w:r>
        <w:t xml:space="preserve">they are </w:t>
      </w:r>
      <w:r w:rsidR="00F03354">
        <w:t>experienc</w:t>
      </w:r>
      <w:r>
        <w:t>ing.</w:t>
      </w:r>
      <w:r w:rsidR="00070D1E">
        <w:t xml:space="preserve"> </w:t>
      </w:r>
      <w:r w:rsidR="00F72845">
        <w:t>Consumers</w:t>
      </w:r>
      <w:r>
        <w:t xml:space="preserve"> </w:t>
      </w:r>
      <w:r w:rsidR="00F03354">
        <w:t xml:space="preserve">are </w:t>
      </w:r>
      <w:r>
        <w:t xml:space="preserve">often </w:t>
      </w:r>
      <w:r w:rsidR="00F03354">
        <w:t>given conflictin</w:t>
      </w:r>
      <w:r>
        <w:t xml:space="preserve">g or incorrect advice from providers </w:t>
      </w:r>
      <w:r w:rsidR="00F03354">
        <w:t xml:space="preserve">about which party </w:t>
      </w:r>
      <w:r>
        <w:t xml:space="preserve">in the supply chain </w:t>
      </w:r>
      <w:r w:rsidR="00F03354">
        <w:t>is responsible</w:t>
      </w:r>
      <w:r w:rsidR="00A57D8B">
        <w:t>,</w:t>
      </w:r>
      <w:r w:rsidR="00F72845">
        <w:t xml:space="preserve"> or an incorrect diagnosis of the root cause of the issue</w:t>
      </w:r>
      <w:r w:rsidR="00F03354">
        <w:t>.</w:t>
      </w:r>
      <w:r w:rsidR="00F03354" w:rsidRPr="00001D36">
        <w:t xml:space="preserve"> </w:t>
      </w:r>
      <w:r w:rsidR="00F03354">
        <w:t>Impasses in resol</w:t>
      </w:r>
      <w:r w:rsidR="00D376BB">
        <w:t>ving</w:t>
      </w:r>
      <w:r w:rsidR="00F03354">
        <w:t xml:space="preserve"> issues can </w:t>
      </w:r>
      <w:r w:rsidR="00F72845">
        <w:t>therefore</w:t>
      </w:r>
      <w:r w:rsidR="00F03354">
        <w:t xml:space="preserve"> arise </w:t>
      </w:r>
      <w:r>
        <w:t xml:space="preserve">because of </w:t>
      </w:r>
      <w:r w:rsidR="00F03354">
        <w:t xml:space="preserve">disagreements </w:t>
      </w:r>
      <w:r w:rsidR="00386CB1">
        <w:t xml:space="preserve">about which party is responsible. This can result in </w:t>
      </w:r>
      <w:r w:rsidR="00F03354">
        <w:t xml:space="preserve">the ‘handballing’ of complaints between industry </w:t>
      </w:r>
      <w:r w:rsidR="00386CB1">
        <w:t>participants</w:t>
      </w:r>
      <w:r w:rsidR="00A57D8B">
        <w:t>,</w:t>
      </w:r>
      <w:r w:rsidR="00F03354">
        <w:t xml:space="preserve"> </w:t>
      </w:r>
      <w:r w:rsidR="00A57D8B">
        <w:t xml:space="preserve">as well as </w:t>
      </w:r>
      <w:r w:rsidR="00F72845">
        <w:t xml:space="preserve">frustration and </w:t>
      </w:r>
      <w:r w:rsidR="00D376BB">
        <w:t>delays for consumers</w:t>
      </w:r>
      <w:r w:rsidR="00F72845">
        <w:t xml:space="preserve"> seeking resolution</w:t>
      </w:r>
      <w:r w:rsidR="00F03354">
        <w:t>.</w:t>
      </w:r>
    </w:p>
    <w:p w14:paraId="2F2B92AB" w14:textId="326131D3" w:rsidR="00D376BB" w:rsidRDefault="00F03354" w:rsidP="00F03354">
      <w:r>
        <w:t>The independent review of the TIO undertaken in 2017 recommended that the TIO amend its Terms of Reference to enable the joining of a telecommunications provider as a party to a complaint agai</w:t>
      </w:r>
      <w:r w:rsidR="000546FC">
        <w:t>nst another service provider</w:t>
      </w:r>
      <w:r w:rsidR="00394155">
        <w:t>.</w:t>
      </w:r>
      <w:r w:rsidR="00070D1E">
        <w:t xml:space="preserve"> </w:t>
      </w:r>
      <w:r w:rsidR="00386CB1">
        <w:t xml:space="preserve">The </w:t>
      </w:r>
      <w:r>
        <w:t xml:space="preserve">TIO </w:t>
      </w:r>
      <w:r w:rsidR="00386CB1">
        <w:t xml:space="preserve">is taking </w:t>
      </w:r>
      <w:r>
        <w:t xml:space="preserve">steps to </w:t>
      </w:r>
      <w:r w:rsidR="00386CB1">
        <w:t xml:space="preserve">address this recommendation and </w:t>
      </w:r>
      <w:r>
        <w:t xml:space="preserve">make the necessary adjustments </w:t>
      </w:r>
      <w:r w:rsidR="00386CB1">
        <w:t>to</w:t>
      </w:r>
      <w:r>
        <w:t xml:space="preserve"> enable it to </w:t>
      </w:r>
      <w:r w:rsidR="00394155">
        <w:t xml:space="preserve">fully </w:t>
      </w:r>
      <w:r>
        <w:t xml:space="preserve">investigate </w:t>
      </w:r>
      <w:r w:rsidR="00394155">
        <w:t xml:space="preserve">issues </w:t>
      </w:r>
      <w:r w:rsidR="004A2D77">
        <w:t>that may involve multiple providers</w:t>
      </w:r>
      <w:r w:rsidR="00150826">
        <w:t>—</w:t>
      </w:r>
      <w:r w:rsidR="00D259D0">
        <w:t xml:space="preserve">such as issues that arise for consumers as a result of complications </w:t>
      </w:r>
      <w:r>
        <w:t>between wholesale and retail providers.</w:t>
      </w:r>
    </w:p>
    <w:p w14:paraId="35A67400" w14:textId="77777777" w:rsidR="00F03354" w:rsidRDefault="00C15844" w:rsidP="00F03354">
      <w:r>
        <w:t xml:space="preserve">Further consideration </w:t>
      </w:r>
      <w:r w:rsidR="00D376BB">
        <w:t>needs to be</w:t>
      </w:r>
      <w:r>
        <w:t xml:space="preserve"> given to how industry complaints-handling and redress measures apply across the supply chain binding all parties to the responsibility to address consumer complaints.</w:t>
      </w:r>
    </w:p>
    <w:p w14:paraId="4DBD0196" w14:textId="77777777" w:rsidR="00F03354" w:rsidRPr="00B35720" w:rsidRDefault="00394155" w:rsidP="00503BC9">
      <w:pPr>
        <w:pStyle w:val="Heading3"/>
      </w:pPr>
      <w:bookmarkStart w:id="30" w:name="_Toc515980274"/>
      <w:bookmarkStart w:id="31" w:name="_Toc517104231"/>
      <w:bookmarkStart w:id="32" w:name="_Toc518483538"/>
      <w:r w:rsidRPr="00B35720">
        <w:t>TIO</w:t>
      </w:r>
      <w:r w:rsidR="000807C0" w:rsidRPr="00B35720">
        <w:t xml:space="preserve"> </w:t>
      </w:r>
      <w:r w:rsidR="0038272F" w:rsidRPr="00B35720">
        <w:t>structure and</w:t>
      </w:r>
      <w:r w:rsidR="00D81E53" w:rsidRPr="00B35720">
        <w:t xml:space="preserve"> f</w:t>
      </w:r>
      <w:r w:rsidR="000807C0" w:rsidRPr="00B35720">
        <w:t>unding</w:t>
      </w:r>
      <w:bookmarkEnd w:id="30"/>
      <w:bookmarkEnd w:id="31"/>
      <w:bookmarkEnd w:id="32"/>
    </w:p>
    <w:p w14:paraId="66F2AC4F" w14:textId="0C7FF425" w:rsidR="00D376BB" w:rsidRDefault="00F03354" w:rsidP="00503BC9">
      <w:pPr>
        <w:keepNext/>
      </w:pPr>
      <w:r>
        <w:t>The TIO is an industry-based ombudsman scheme funded solely by</w:t>
      </w:r>
      <w:r w:rsidR="00D259D0">
        <w:t xml:space="preserve"> </w:t>
      </w:r>
      <w:r>
        <w:t>fees levied on its members</w:t>
      </w:r>
      <w:r w:rsidR="00D376BB">
        <w:t>.</w:t>
      </w:r>
    </w:p>
    <w:p w14:paraId="06C94438" w14:textId="55A7FF01" w:rsidR="00D259D0" w:rsidRDefault="00774C14" w:rsidP="00D259D0">
      <w:r>
        <w:t xml:space="preserve">Telecommunications providers </w:t>
      </w:r>
      <w:r w:rsidR="00F03354">
        <w:t xml:space="preserve">pay </w:t>
      </w:r>
      <w:r>
        <w:t xml:space="preserve">a </w:t>
      </w:r>
      <w:r w:rsidR="00F03354">
        <w:t>fee to the TIO when</w:t>
      </w:r>
      <w:r w:rsidR="00F03354" w:rsidRPr="00DD7E30">
        <w:t xml:space="preserve"> a complaint is </w:t>
      </w:r>
      <w:r w:rsidR="00EC70BE">
        <w:t>escalated</w:t>
      </w:r>
      <w:r>
        <w:t xml:space="preserve"> to the TIO</w:t>
      </w:r>
      <w:r w:rsidRPr="00DD7E30">
        <w:t xml:space="preserve"> </w:t>
      </w:r>
      <w:r w:rsidR="00F03354" w:rsidRPr="00DD7E30">
        <w:t>from one of</w:t>
      </w:r>
      <w:r w:rsidR="00F03354">
        <w:t xml:space="preserve"> its </w:t>
      </w:r>
      <w:r w:rsidR="00F03354" w:rsidRPr="00DD7E30">
        <w:t>customers</w:t>
      </w:r>
      <w:r w:rsidR="00D259D0">
        <w:t>. T</w:t>
      </w:r>
      <w:r w:rsidR="00F03354">
        <w:t>he</w:t>
      </w:r>
      <w:r w:rsidR="00F03354" w:rsidRPr="00DD7E30">
        <w:t xml:space="preserve"> funding system </w:t>
      </w:r>
      <w:r w:rsidR="00D259D0">
        <w:t>was</w:t>
      </w:r>
      <w:r w:rsidR="00F03354">
        <w:t xml:space="preserve"> intended to </w:t>
      </w:r>
      <w:r w:rsidR="00F03354" w:rsidRPr="00DD7E30">
        <w:t xml:space="preserve">act as an incentive for service providers to keep complaints made </w:t>
      </w:r>
      <w:r w:rsidR="00F03354" w:rsidRPr="00DD7E30">
        <w:lastRenderedPageBreak/>
        <w:t>to the TIO to a minimum</w:t>
      </w:r>
      <w:r w:rsidR="00F03354">
        <w:t xml:space="preserve">. </w:t>
      </w:r>
      <w:r w:rsidR="00D259D0">
        <w:t xml:space="preserve">However, </w:t>
      </w:r>
      <w:r w:rsidR="00D376BB">
        <w:t xml:space="preserve">the high number of complaints </w:t>
      </w:r>
      <w:r w:rsidR="00F72845">
        <w:t xml:space="preserve">being </w:t>
      </w:r>
      <w:r w:rsidR="00D376BB">
        <w:t xml:space="preserve">escalated to the TIO, rather than </w:t>
      </w:r>
      <w:r w:rsidR="00F72845">
        <w:t xml:space="preserve">being </w:t>
      </w:r>
      <w:r w:rsidR="00D376BB">
        <w:t>resolved by service providers, suggests that</w:t>
      </w:r>
      <w:r w:rsidR="00D259D0">
        <w:t xml:space="preserve"> </w:t>
      </w:r>
      <w:r>
        <w:t>the existing approach to</w:t>
      </w:r>
      <w:r w:rsidR="00D259D0">
        <w:t xml:space="preserve"> fee</w:t>
      </w:r>
      <w:r w:rsidR="00D376BB">
        <w:t>s</w:t>
      </w:r>
      <w:r w:rsidR="00D259D0">
        <w:t xml:space="preserve"> </w:t>
      </w:r>
      <w:r>
        <w:t xml:space="preserve">may not </w:t>
      </w:r>
      <w:r w:rsidR="00D259D0">
        <w:t xml:space="preserve">provide </w:t>
      </w:r>
      <w:r w:rsidR="00F72845">
        <w:t xml:space="preserve">the desired </w:t>
      </w:r>
      <w:r w:rsidR="00D259D0">
        <w:t>incentive</w:t>
      </w:r>
      <w:r w:rsidR="004F5B27">
        <w:t>.</w:t>
      </w:r>
    </w:p>
    <w:p w14:paraId="7D2982FE" w14:textId="0FB56926" w:rsidR="00DB7331" w:rsidRDefault="00986EF5" w:rsidP="00D259D0">
      <w:r>
        <w:t>From 1</w:t>
      </w:r>
      <w:r w:rsidR="00DB7331">
        <w:t xml:space="preserve"> July 2018, </w:t>
      </w:r>
      <w:r w:rsidR="00681C94">
        <w:t xml:space="preserve">the TIO implemented a new fee structure comprising an annual membership fee as well as case based fees. The membership fee is based on a provider’s relative share of complaints referred to all providers in the previous calendar year. </w:t>
      </w:r>
      <w:r>
        <w:t>The case based fee</w:t>
      </w:r>
      <w:r w:rsidRPr="00986EF5">
        <w:t xml:space="preserve"> </w:t>
      </w:r>
      <w:r>
        <w:t xml:space="preserve">for each complaint is determined by the stage at which the complaint is closed. </w:t>
      </w:r>
    </w:p>
    <w:p w14:paraId="724AD2EF" w14:textId="3D9BF3E4" w:rsidR="00F03354" w:rsidRPr="00B35720" w:rsidRDefault="00BE2415" w:rsidP="00503BC9">
      <w:pPr>
        <w:pStyle w:val="Heading3"/>
      </w:pPr>
      <w:bookmarkStart w:id="33" w:name="_Toc515980275"/>
      <w:bookmarkStart w:id="34" w:name="_Toc517104232"/>
      <w:bookmarkStart w:id="35" w:name="_Toc518483539"/>
      <w:r w:rsidRPr="00B35720">
        <w:t>D</w:t>
      </w:r>
      <w:r w:rsidR="00F03354" w:rsidRPr="00B35720">
        <w:t>ata collection, analysis and reporting</w:t>
      </w:r>
      <w:bookmarkEnd w:id="33"/>
      <w:bookmarkEnd w:id="34"/>
      <w:bookmarkEnd w:id="35"/>
    </w:p>
    <w:p w14:paraId="3B8B1CAD" w14:textId="0CA0735D" w:rsidR="000D0BFA" w:rsidRDefault="000546FC" w:rsidP="00F03354">
      <w:r>
        <w:t>C</w:t>
      </w:r>
      <w:r w:rsidR="000807C0">
        <w:t xml:space="preserve">omplaints data </w:t>
      </w:r>
      <w:r w:rsidR="00774C14">
        <w:t>helps</w:t>
      </w:r>
      <w:r w:rsidR="000807C0">
        <w:t xml:space="preserve"> assess industry performance</w:t>
      </w:r>
      <w:r w:rsidR="00D259D0">
        <w:t xml:space="preserve"> and identify systemic issues and root causes</w:t>
      </w:r>
      <w:r w:rsidR="000807C0">
        <w:t>.</w:t>
      </w:r>
      <w:r w:rsidR="00F03354">
        <w:t xml:space="preserve"> </w:t>
      </w:r>
      <w:r w:rsidR="00D259D0">
        <w:t xml:space="preserve">The data can </w:t>
      </w:r>
      <w:r w:rsidR="000807C0">
        <w:t>also provide</w:t>
      </w:r>
      <w:r w:rsidR="00D259D0">
        <w:t xml:space="preserve"> insights and</w:t>
      </w:r>
      <w:r w:rsidR="000807C0">
        <w:t xml:space="preserve"> guidance to policy makers and regulators about the need for interventions</w:t>
      </w:r>
      <w:r w:rsidR="00A03FD6">
        <w:t xml:space="preserve"> and where</w:t>
      </w:r>
      <w:r w:rsidR="00774C14">
        <w:t xml:space="preserve"> </w:t>
      </w:r>
      <w:r w:rsidR="00A03FD6">
        <w:t>these would best be targeted</w:t>
      </w:r>
      <w:r w:rsidR="004F5B27">
        <w:t>.</w:t>
      </w:r>
    </w:p>
    <w:p w14:paraId="62D7EA71" w14:textId="3FE1189A" w:rsidR="000D0BFA" w:rsidRDefault="00F03354" w:rsidP="00F03354">
      <w:r>
        <w:t xml:space="preserve">There are </w:t>
      </w:r>
      <w:r w:rsidR="000D0BFA">
        <w:t xml:space="preserve">mixed </w:t>
      </w:r>
      <w:r>
        <w:t xml:space="preserve">views as to whether the TIO </w:t>
      </w:r>
      <w:r w:rsidR="004F208A">
        <w:t xml:space="preserve">is best placed to perform the data collection and analysis </w:t>
      </w:r>
      <w:r>
        <w:t>function effectiv</w:t>
      </w:r>
      <w:r w:rsidR="004F5B27">
        <w:t>ely.</w:t>
      </w:r>
    </w:p>
    <w:p w14:paraId="1049E9D7" w14:textId="3622EA9E" w:rsidR="00F03354" w:rsidRDefault="004F208A" w:rsidP="00F03354">
      <w:r>
        <w:t>The collection of data</w:t>
      </w:r>
      <w:r w:rsidR="000D0BFA">
        <w:t xml:space="preserve"> and analysis of root causes of complaints</w:t>
      </w:r>
      <w:r>
        <w:t xml:space="preserve"> is </w:t>
      </w:r>
      <w:r w:rsidR="000D0BFA">
        <w:t>currently</w:t>
      </w:r>
      <w:r>
        <w:t xml:space="preserve"> secondary to</w:t>
      </w:r>
      <w:r w:rsidR="00E15915">
        <w:t xml:space="preserve"> the TIO’s</w:t>
      </w:r>
      <w:r>
        <w:t xml:space="preserve"> core purpose of resolving </w:t>
      </w:r>
      <w:r w:rsidR="00774C14">
        <w:t xml:space="preserve">individual </w:t>
      </w:r>
      <w:r>
        <w:t>complaints.</w:t>
      </w:r>
    </w:p>
    <w:p w14:paraId="7E9C8916" w14:textId="19C49F53" w:rsidR="008A018D" w:rsidRPr="008A018D" w:rsidRDefault="008A018D" w:rsidP="00F03354">
      <w:r w:rsidRPr="008A018D">
        <w:t>The complaints data collected by the TIO is only a partial set of overall complaint data.</w:t>
      </w:r>
      <w:r w:rsidR="00070D1E">
        <w:t xml:space="preserve"> </w:t>
      </w:r>
      <w:r w:rsidRPr="008A018D">
        <w:t xml:space="preserve">It represents only those complaints </w:t>
      </w:r>
      <w:r w:rsidR="00774C14">
        <w:t>escalated</w:t>
      </w:r>
      <w:r w:rsidR="00774C14" w:rsidRPr="008A018D">
        <w:t xml:space="preserve"> </w:t>
      </w:r>
      <w:r w:rsidRPr="008A018D">
        <w:t xml:space="preserve">to the TIO, and not </w:t>
      </w:r>
      <w:r w:rsidR="00774C14">
        <w:t>all</w:t>
      </w:r>
      <w:r w:rsidRPr="008A018D">
        <w:t xml:space="preserve"> complaints made about telecommunications services</w:t>
      </w:r>
      <w:r w:rsidR="004F5B27">
        <w:t xml:space="preserve"> directly to service providers.</w:t>
      </w:r>
    </w:p>
    <w:p w14:paraId="1D83CE2F" w14:textId="42F140A5" w:rsidR="001C1EEC" w:rsidRDefault="00774C14" w:rsidP="00F03354">
      <w:r>
        <w:t xml:space="preserve">An </w:t>
      </w:r>
      <w:r w:rsidR="00AF6A3B">
        <w:t xml:space="preserve">ACMA information gathering exercise in December 2017 highlighted </w:t>
      </w:r>
      <w:r w:rsidR="000D0BFA">
        <w:t>the</w:t>
      </w:r>
      <w:r w:rsidR="00AF6A3B">
        <w:t xml:space="preserve"> lack of transparency across industry</w:t>
      </w:r>
      <w:r w:rsidR="000D0BFA">
        <w:t xml:space="preserve"> about</w:t>
      </w:r>
      <w:r w:rsidR="00AF6A3B">
        <w:t xml:space="preserve"> the numbers of complaints received by individual providers.</w:t>
      </w:r>
      <w:r w:rsidR="00070D1E">
        <w:t xml:space="preserve"> </w:t>
      </w:r>
      <w:r w:rsidR="00AF6A3B">
        <w:t>This lack of</w:t>
      </w:r>
      <w:r w:rsidR="00571AE1">
        <w:t xml:space="preserve"> availability of data</w:t>
      </w:r>
      <w:r w:rsidR="00D73460">
        <w:t xml:space="preserve"> increases</w:t>
      </w:r>
      <w:r w:rsidR="00AF6A3B">
        <w:t xml:space="preserve"> reliance on the TIO data, as </w:t>
      </w:r>
      <w:r w:rsidR="00571AE1">
        <w:t xml:space="preserve">this is </w:t>
      </w:r>
      <w:r w:rsidR="00AF6A3B">
        <w:t>the only publicly available information about</w:t>
      </w:r>
      <w:r w:rsidR="00932E86">
        <w:t xml:space="preserve"> overall</w:t>
      </w:r>
      <w:r w:rsidR="00AF6A3B">
        <w:t xml:space="preserve"> industry performance</w:t>
      </w:r>
      <w:r w:rsidR="00932E86">
        <w:t xml:space="preserve"> and trends</w:t>
      </w:r>
      <w:r w:rsidR="00AF6A3B">
        <w:t xml:space="preserve"> in meeting the needs of its customers.</w:t>
      </w:r>
      <w:r w:rsidR="001C1EEC">
        <w:t xml:space="preserve"> The ACMA’s</w:t>
      </w:r>
      <w:r w:rsidR="005B0097">
        <w:t xml:space="preserve"> </w:t>
      </w:r>
      <w:r w:rsidR="005B0097" w:rsidRPr="005B0097">
        <w:rPr>
          <w:i/>
        </w:rPr>
        <w:t>Telecommunications</w:t>
      </w:r>
      <w:r w:rsidR="005B0097">
        <w:rPr>
          <w:i/>
        </w:rPr>
        <w:t xml:space="preserve"> </w:t>
      </w:r>
      <w:r w:rsidR="001C1EEC" w:rsidRPr="00A377DC">
        <w:rPr>
          <w:i/>
        </w:rPr>
        <w:t>(Consumer Complaints) Record-Keeping Rules</w:t>
      </w:r>
      <w:r w:rsidR="001C1EEC" w:rsidRPr="00341701">
        <w:t xml:space="preserve"> (R</w:t>
      </w:r>
      <w:r w:rsidR="0023514D">
        <w:t>ecord Keeping Rule</w:t>
      </w:r>
      <w:r w:rsidR="001C1EEC" w:rsidRPr="00341701">
        <w:t>s)</w:t>
      </w:r>
      <w:r w:rsidR="005B0097">
        <w:t xml:space="preserve"> will assist in this regard, as providers </w:t>
      </w:r>
      <w:r w:rsidR="009F750E">
        <w:t>are now</w:t>
      </w:r>
      <w:r w:rsidR="005B0097">
        <w:t xml:space="preserve"> required </w:t>
      </w:r>
      <w:r w:rsidR="001C1EEC" w:rsidRPr="00341701">
        <w:t>to report complaints data t</w:t>
      </w:r>
      <w:r w:rsidR="005B0097">
        <w:t>o the ACMA on a quarterly basis and the ACMA has noted its intention to publish this data on its website.</w:t>
      </w:r>
    </w:p>
    <w:p w14:paraId="0A29B5F3" w14:textId="54CEB871" w:rsidR="00AF6A3B" w:rsidRDefault="000D0BFA" w:rsidP="00F03354">
      <w:r>
        <w:t>As the TIO is an industry</w:t>
      </w:r>
      <w:r w:rsidR="005156FA">
        <w:t>-</w:t>
      </w:r>
      <w:r w:rsidR="00F72845">
        <w:t>owned entity</w:t>
      </w:r>
      <w:r>
        <w:t>, there are also protocol and legal issues hindering its ability to share information with policy makers and regulators.</w:t>
      </w:r>
    </w:p>
    <w:p w14:paraId="7D35E1F9" w14:textId="1C5CEBDF" w:rsidR="000D0BFA" w:rsidRDefault="008A018D" w:rsidP="00F03354">
      <w:r w:rsidRPr="00A33E82">
        <w:t>In other jurisdictions</w:t>
      </w:r>
      <w:r w:rsidR="00150826">
        <w:t>—</w:t>
      </w:r>
      <w:r w:rsidR="00C903AB">
        <w:t>for example New Zealand</w:t>
      </w:r>
      <w:r w:rsidR="00150826">
        <w:t>—</w:t>
      </w:r>
      <w:r w:rsidRPr="00A33E82">
        <w:t xml:space="preserve">data collection and analysis is not considered a core </w:t>
      </w:r>
      <w:r w:rsidR="00B02A52">
        <w:t>f</w:t>
      </w:r>
      <w:r w:rsidRPr="00A33E82">
        <w:t xml:space="preserve">unction of the </w:t>
      </w:r>
      <w:r w:rsidR="00774C14">
        <w:t>external dispute resolution (EDR)</w:t>
      </w:r>
      <w:r w:rsidR="00774C14" w:rsidRPr="00A33E82">
        <w:t xml:space="preserve"> </w:t>
      </w:r>
      <w:r w:rsidRPr="00A33E82">
        <w:t>body and is more often seen as a regulatory function which enables centralised data collection from a number of sources, including the EDR body.</w:t>
      </w:r>
      <w:r w:rsidR="00070D1E">
        <w:t xml:space="preserve"> </w:t>
      </w:r>
      <w:r w:rsidRPr="00A33E82">
        <w:t xml:space="preserve">This allows more comprehensive </w:t>
      </w:r>
      <w:r w:rsidR="00A33E82" w:rsidRPr="00A33E82">
        <w:t>root cause analysis of complaints and bro</w:t>
      </w:r>
      <w:r w:rsidR="004F5B27">
        <w:t>ader industry performance data.</w:t>
      </w:r>
    </w:p>
    <w:p w14:paraId="172AFE3A" w14:textId="77777777" w:rsidR="00807EC5" w:rsidRDefault="00807EC5" w:rsidP="0038272F">
      <w:pPr>
        <w:pStyle w:val="Heading2"/>
      </w:pPr>
      <w:bookmarkStart w:id="36" w:name="_Toc515980276"/>
      <w:bookmarkStart w:id="37" w:name="_Toc517104233"/>
      <w:bookmarkStart w:id="38" w:name="_Toc518483540"/>
      <w:r>
        <w:lastRenderedPageBreak/>
        <w:t xml:space="preserve">The </w:t>
      </w:r>
      <w:r w:rsidR="00D259D0">
        <w:t xml:space="preserve">new </w:t>
      </w:r>
      <w:r>
        <w:t>rules</w:t>
      </w:r>
      <w:r w:rsidR="00D259D0">
        <w:t xml:space="preserve"> and standards</w:t>
      </w:r>
      <w:bookmarkEnd w:id="36"/>
      <w:bookmarkEnd w:id="37"/>
      <w:bookmarkEnd w:id="38"/>
    </w:p>
    <w:p w14:paraId="6767B8C8" w14:textId="77777777" w:rsidR="005970A6" w:rsidRDefault="00774C14" w:rsidP="005970A6">
      <w:r>
        <w:t>I</w:t>
      </w:r>
      <w:r w:rsidR="005970A6">
        <w:t xml:space="preserve">ndustry complaint handling rules </w:t>
      </w:r>
      <w:r>
        <w:t>form part of a broader industry code</w:t>
      </w:r>
      <w:r w:rsidR="005970A6">
        <w:t xml:space="preserve">. Under these rules, suppliers are required to document their complaints handling process and make it available to staff, consumers, former customers, and other stakeholders in a summary form that is concise and free of charge. The </w:t>
      </w:r>
      <w:r w:rsidR="00AD1F3F">
        <w:t>ACMA</w:t>
      </w:r>
      <w:r w:rsidR="005970A6">
        <w:t xml:space="preserve"> is responsible for enforcing compliance with these rules.</w:t>
      </w:r>
    </w:p>
    <w:p w14:paraId="1128B5F6" w14:textId="2DFC8731" w:rsidR="00AC7868" w:rsidRDefault="00571AE1" w:rsidP="00E11BE5">
      <w:r>
        <w:t xml:space="preserve">From </w:t>
      </w:r>
      <w:r w:rsidR="00336EB8">
        <w:t>July 2018, new</w:t>
      </w:r>
      <w:r w:rsidR="00AC7868" w:rsidRPr="00E11BE5">
        <w:t xml:space="preserve"> complaints-handling rules </w:t>
      </w:r>
      <w:r w:rsidR="00774C14">
        <w:t>start</w:t>
      </w:r>
      <w:r w:rsidR="00986EF5">
        <w:t>ed</w:t>
      </w:r>
      <w:r w:rsidR="00774C14">
        <w:t xml:space="preserve"> </w:t>
      </w:r>
      <w:r w:rsidR="00AC7868" w:rsidRPr="00E11BE5">
        <w:t>to better protect telecommunications consumers</w:t>
      </w:r>
      <w:r w:rsidR="000D0BFA">
        <w:t xml:space="preserve">. These </w:t>
      </w:r>
      <w:r w:rsidR="00AC7868" w:rsidRPr="00E11BE5">
        <w:t>include:</w:t>
      </w:r>
      <w:r w:rsidR="00E11BE5">
        <w:t xml:space="preserve"> </w:t>
      </w:r>
      <w:r w:rsidR="000D0BFA">
        <w:t>t</w:t>
      </w:r>
      <w:r w:rsidR="00AC7868" w:rsidRPr="00E11BE5">
        <w:t xml:space="preserve">he </w:t>
      </w:r>
      <w:r w:rsidR="00AC7868" w:rsidRPr="00C03A17">
        <w:rPr>
          <w:i/>
        </w:rPr>
        <w:t>Telecommunications (Consumer Complaints Handling) Industry Standard 2018</w:t>
      </w:r>
      <w:r w:rsidR="00AC7868" w:rsidRPr="00E11BE5">
        <w:t xml:space="preserve"> (Complaints-</w:t>
      </w:r>
      <w:r w:rsidR="006129D6">
        <w:t>H</w:t>
      </w:r>
      <w:r w:rsidR="00AC7868" w:rsidRPr="00E11BE5">
        <w:t>andling Standard)</w:t>
      </w:r>
      <w:r w:rsidR="00150826">
        <w:t>—</w:t>
      </w:r>
      <w:r w:rsidR="00F72845">
        <w:t>w</w:t>
      </w:r>
      <w:r w:rsidR="00AC7868" w:rsidRPr="00E11BE5">
        <w:t>hich</w:t>
      </w:r>
      <w:r w:rsidR="00774C14">
        <w:t xml:space="preserve"> </w:t>
      </w:r>
      <w:r w:rsidR="00AC7868" w:rsidRPr="00E11BE5">
        <w:t xml:space="preserve">require </w:t>
      </w:r>
      <w:r w:rsidR="00E11BE5" w:rsidRPr="00E11BE5">
        <w:t xml:space="preserve">service </w:t>
      </w:r>
      <w:r w:rsidR="00AC7868" w:rsidRPr="00E11BE5">
        <w:t xml:space="preserve">providers </w:t>
      </w:r>
      <w:r w:rsidR="00E11BE5" w:rsidRPr="00E11BE5">
        <w:t xml:space="preserve">to </w:t>
      </w:r>
      <w:r w:rsidR="00AC7868" w:rsidRPr="00E11BE5">
        <w:t>comply with rules specifying how complaints must be managed, including time fram</w:t>
      </w:r>
      <w:r w:rsidR="00E11BE5">
        <w:t xml:space="preserve">es for response and resolution; and the </w:t>
      </w:r>
      <w:r w:rsidR="00397624">
        <w:t xml:space="preserve">Record Keeping </w:t>
      </w:r>
      <w:r w:rsidR="00397624" w:rsidRPr="005B0097">
        <w:t>Rules</w:t>
      </w:r>
      <w:r w:rsidR="0023514D">
        <w:t xml:space="preserve"> </w:t>
      </w:r>
      <w:r w:rsidR="005B0097" w:rsidRPr="00A377DC">
        <w:t>noted above</w:t>
      </w:r>
      <w:r w:rsidR="00E11BE5" w:rsidRPr="005B0097">
        <w:t>,</w:t>
      </w:r>
      <w:r w:rsidR="00E11BE5">
        <w:t xml:space="preserve"> which </w:t>
      </w:r>
      <w:r w:rsidR="00AC7868" w:rsidRPr="00E11BE5">
        <w:t xml:space="preserve">require </w:t>
      </w:r>
      <w:r w:rsidR="00E11BE5">
        <w:t>s</w:t>
      </w:r>
      <w:r w:rsidR="00336EB8">
        <w:t>ervice provider</w:t>
      </w:r>
      <w:r w:rsidR="00E11BE5">
        <w:t>s</w:t>
      </w:r>
      <w:r w:rsidR="00AC7868" w:rsidRPr="00E11BE5">
        <w:t xml:space="preserve"> to report </w:t>
      </w:r>
      <w:r w:rsidR="00774C14">
        <w:t xml:space="preserve">overall </w:t>
      </w:r>
      <w:r w:rsidR="00AC7868" w:rsidRPr="00E11BE5">
        <w:t>complaints data to the ACM</w:t>
      </w:r>
      <w:r w:rsidR="004F5B27">
        <w:t>A on a quarterly basis.</w:t>
      </w:r>
    </w:p>
    <w:p w14:paraId="61D96805" w14:textId="4BDB385E" w:rsidR="00627566" w:rsidRDefault="00AF6A3B" w:rsidP="00AF6A3B">
      <w:r>
        <w:t>The</w:t>
      </w:r>
      <w:r w:rsidR="00774C14">
        <w:t xml:space="preserve">se new rules </w:t>
      </w:r>
      <w:r>
        <w:t>require industry to take greater responsibility for the management of complaint handling processes</w:t>
      </w:r>
      <w:r w:rsidR="00774C14">
        <w:t>, and provide greater accountability and transparency in how complaints are managed across industry.</w:t>
      </w:r>
      <w:r w:rsidR="00070D1E">
        <w:t xml:space="preserve"> </w:t>
      </w:r>
      <w:r w:rsidR="005970A6">
        <w:t xml:space="preserve">The proposed reform model outlined in this paper </w:t>
      </w:r>
      <w:r w:rsidR="000D0BFA">
        <w:t>builds on</w:t>
      </w:r>
      <w:r>
        <w:t xml:space="preserve"> th</w:t>
      </w:r>
      <w:r w:rsidR="00774C14">
        <w:t>ese new rules</w:t>
      </w:r>
      <w:r w:rsidR="00F54842">
        <w:t>.</w:t>
      </w:r>
    </w:p>
    <w:p w14:paraId="6474B71A" w14:textId="5967F982" w:rsidR="00081DB0" w:rsidRDefault="00081DB0" w:rsidP="00081DB0">
      <w:pPr>
        <w:pStyle w:val="Heading2"/>
      </w:pPr>
      <w:bookmarkStart w:id="39" w:name="_Toc513445579"/>
      <w:bookmarkStart w:id="40" w:name="_Toc513446377"/>
      <w:bookmarkStart w:id="41" w:name="_Toc513447758"/>
      <w:bookmarkStart w:id="42" w:name="_Toc515980285"/>
      <w:bookmarkStart w:id="43" w:name="_Toc517104234"/>
      <w:bookmarkStart w:id="44" w:name="_Toc518483541"/>
      <w:r>
        <w:t>Proposals for reform</w:t>
      </w:r>
      <w:bookmarkEnd w:id="39"/>
      <w:bookmarkEnd w:id="40"/>
      <w:bookmarkEnd w:id="41"/>
      <w:bookmarkEnd w:id="42"/>
      <w:bookmarkEnd w:id="43"/>
      <w:bookmarkEnd w:id="44"/>
    </w:p>
    <w:p w14:paraId="6CA150E9" w14:textId="31574B1C" w:rsidR="005353C7" w:rsidRDefault="005353C7" w:rsidP="00503BC9">
      <w:pPr>
        <w:pStyle w:val="Tickedboxbulletpoint"/>
        <w:numPr>
          <w:ilvl w:val="0"/>
          <w:numId w:val="7"/>
        </w:numPr>
        <w:ind w:left="567" w:hanging="567"/>
      </w:pPr>
      <w:r>
        <w:t xml:space="preserve">1. Telecommunications Providers must have </w:t>
      </w:r>
      <w:r w:rsidR="00F72845">
        <w:t xml:space="preserve">and maintain </w:t>
      </w:r>
      <w:r>
        <w:t>complaint handling p</w:t>
      </w:r>
      <w:r w:rsidR="00F72845">
        <w:t>olicies</w:t>
      </w:r>
      <w:r>
        <w:t xml:space="preserve"> which detail their processes and procedures for handling customer complaints in compl</w:t>
      </w:r>
      <w:r w:rsidR="004F5B27">
        <w:t>iance with the governing rules.</w:t>
      </w:r>
    </w:p>
    <w:p w14:paraId="03A9ED24" w14:textId="0803AF40" w:rsidR="00C04057" w:rsidRPr="004F5B27" w:rsidRDefault="005353C7" w:rsidP="004F5B27">
      <w:pPr>
        <w:pStyle w:val="Bulletlevel1"/>
        <w:tabs>
          <w:tab w:val="clear" w:pos="567"/>
        </w:tabs>
        <w:ind w:left="1134"/>
      </w:pPr>
      <w:r w:rsidRPr="004F5B27">
        <w:t>The new ACMA Complaints-Handling Standard establi</w:t>
      </w:r>
      <w:r w:rsidR="00EF1A89" w:rsidRPr="004F5B27">
        <w:t>sh</w:t>
      </w:r>
      <w:r w:rsidR="00B15753">
        <w:t>es</w:t>
      </w:r>
      <w:r w:rsidR="00EF1A89" w:rsidRPr="004F5B27">
        <w:t xml:space="preserve"> binding rules </w:t>
      </w:r>
      <w:r w:rsidR="00C04057" w:rsidRPr="004F5B27">
        <w:t xml:space="preserve">for </w:t>
      </w:r>
      <w:r w:rsidR="00EF1A89" w:rsidRPr="004F5B27">
        <w:t>provider</w:t>
      </w:r>
      <w:r w:rsidRPr="004F5B27">
        <w:t>s</w:t>
      </w:r>
      <w:r w:rsidR="00EF1A89" w:rsidRPr="004F5B27">
        <w:t>’</w:t>
      </w:r>
      <w:r w:rsidRPr="004F5B27">
        <w:t xml:space="preserve"> complaint handling</w:t>
      </w:r>
      <w:r w:rsidR="00AF47A5" w:rsidRPr="004F5B27">
        <w:t>.</w:t>
      </w:r>
      <w:r w:rsidR="00070D1E" w:rsidRPr="004F5B27">
        <w:t xml:space="preserve"> </w:t>
      </w:r>
      <w:r w:rsidR="00A3003D" w:rsidRPr="004F5B27">
        <w:t>The Standard specif</w:t>
      </w:r>
      <w:r w:rsidR="00B15753">
        <w:t>ies</w:t>
      </w:r>
      <w:r w:rsidR="00A3003D" w:rsidRPr="004F5B27">
        <w:t xml:space="preserve"> </w:t>
      </w:r>
      <w:r w:rsidR="00AF47A5" w:rsidRPr="004F5B27">
        <w:t>that providers must have a complaints-handling process and sets out minimum requirements</w:t>
      </w:r>
      <w:r w:rsidR="00C15844" w:rsidRPr="004F5B27">
        <w:t xml:space="preserve"> for </w:t>
      </w:r>
      <w:r w:rsidR="00AF47A5" w:rsidRPr="004F5B27">
        <w:t>how it is accessed, timeliness, and transparency.</w:t>
      </w:r>
      <w:r w:rsidR="00070D1E" w:rsidRPr="004F5B27">
        <w:t xml:space="preserve"> </w:t>
      </w:r>
      <w:r w:rsidR="00AF47A5" w:rsidRPr="004F5B27">
        <w:t>The Standard also details how the providers’</w:t>
      </w:r>
      <w:r w:rsidR="00C15844" w:rsidRPr="004F5B27">
        <w:t xml:space="preserve"> processes </w:t>
      </w:r>
      <w:r w:rsidR="00AF47A5" w:rsidRPr="004F5B27">
        <w:t xml:space="preserve">should be managed, </w:t>
      </w:r>
      <w:r w:rsidR="007178DB" w:rsidRPr="004F5B27">
        <w:t xml:space="preserve">including an </w:t>
      </w:r>
      <w:r w:rsidR="00AF47A5" w:rsidRPr="004F5B27">
        <w:t xml:space="preserve">approach </w:t>
      </w:r>
      <w:r w:rsidR="007178DB" w:rsidRPr="004F5B27">
        <w:t xml:space="preserve">to </w:t>
      </w:r>
      <w:r w:rsidR="00AF47A5" w:rsidRPr="004F5B27">
        <w:t>resolution, prioritis</w:t>
      </w:r>
      <w:r w:rsidR="007178DB" w:rsidRPr="004F5B27">
        <w:t>ation</w:t>
      </w:r>
      <w:r w:rsidR="00AF47A5" w:rsidRPr="004F5B27">
        <w:t xml:space="preserve"> and escalat</w:t>
      </w:r>
      <w:r w:rsidR="007178DB" w:rsidRPr="004F5B27">
        <w:t>ion</w:t>
      </w:r>
      <w:r w:rsidR="00AF47A5" w:rsidRPr="004F5B27">
        <w:t xml:space="preserve">, including </w:t>
      </w:r>
      <w:r w:rsidR="00C04057" w:rsidRPr="004F5B27">
        <w:t xml:space="preserve">to </w:t>
      </w:r>
      <w:r w:rsidR="00AF47A5" w:rsidRPr="004F5B27">
        <w:t>external dispute resolution</w:t>
      </w:r>
      <w:r w:rsidR="007178DB" w:rsidRPr="004F5B27">
        <w:t xml:space="preserve"> (if needed)</w:t>
      </w:r>
      <w:r w:rsidR="00AF47A5" w:rsidRPr="004F5B27">
        <w:t>.</w:t>
      </w:r>
    </w:p>
    <w:p w14:paraId="28FB202C" w14:textId="300802F8" w:rsidR="001F4C2C" w:rsidRPr="004F5B27" w:rsidRDefault="00265CC8" w:rsidP="004F5B27">
      <w:pPr>
        <w:pStyle w:val="Bulletlevel1"/>
        <w:tabs>
          <w:tab w:val="clear" w:pos="567"/>
        </w:tabs>
        <w:ind w:left="1134"/>
      </w:pPr>
      <w:r w:rsidRPr="004F5B27">
        <w:t>The</w:t>
      </w:r>
      <w:r w:rsidR="009D705B" w:rsidRPr="004F5B27">
        <w:t xml:space="preserve"> ACMA</w:t>
      </w:r>
      <w:r w:rsidRPr="004F5B27">
        <w:t xml:space="preserve"> </w:t>
      </w:r>
      <w:r w:rsidR="007178DB" w:rsidRPr="004F5B27">
        <w:t xml:space="preserve">has </w:t>
      </w:r>
      <w:r w:rsidRPr="004F5B27">
        <w:t>enforcement powers to compel compliance wi</w:t>
      </w:r>
      <w:r w:rsidR="00226C8F" w:rsidRPr="004F5B27">
        <w:t>th the regulated requirements.</w:t>
      </w:r>
    </w:p>
    <w:p w14:paraId="450E0443" w14:textId="2B3BBBD5" w:rsidR="00265CC8" w:rsidRPr="004F5B27" w:rsidRDefault="009D705B" w:rsidP="004F5B27">
      <w:pPr>
        <w:pStyle w:val="Bulletlevel1"/>
        <w:tabs>
          <w:tab w:val="clear" w:pos="567"/>
        </w:tabs>
        <w:ind w:left="1134"/>
      </w:pPr>
      <w:r w:rsidRPr="004F5B27">
        <w:t>It is proposed that i</w:t>
      </w:r>
      <w:r w:rsidR="005353C7" w:rsidRPr="004F5B27">
        <w:t xml:space="preserve">n </w:t>
      </w:r>
      <w:r w:rsidR="00265CC8" w:rsidRPr="004F5B27">
        <w:t>order</w:t>
      </w:r>
      <w:r w:rsidR="005353C7" w:rsidRPr="004F5B27">
        <w:t xml:space="preserve"> to demonstrate </w:t>
      </w:r>
      <w:r w:rsidR="00265CC8" w:rsidRPr="004F5B27">
        <w:t xml:space="preserve">the </w:t>
      </w:r>
      <w:r w:rsidR="005353C7" w:rsidRPr="004F5B27">
        <w:t xml:space="preserve">ability to comply, providers must have </w:t>
      </w:r>
      <w:r w:rsidR="006129D6" w:rsidRPr="004F5B27">
        <w:t>c</w:t>
      </w:r>
      <w:r w:rsidR="005353C7" w:rsidRPr="004F5B27">
        <w:t>omplaint</w:t>
      </w:r>
      <w:r w:rsidR="00EF1A89" w:rsidRPr="004F5B27">
        <w:t>s</w:t>
      </w:r>
      <w:r w:rsidR="005353C7" w:rsidRPr="004F5B27">
        <w:t xml:space="preserve"> </w:t>
      </w:r>
      <w:r w:rsidR="006129D6" w:rsidRPr="004F5B27">
        <w:t>h</w:t>
      </w:r>
      <w:r w:rsidR="005353C7" w:rsidRPr="004F5B27">
        <w:t>andling p</w:t>
      </w:r>
      <w:r w:rsidR="00F72845" w:rsidRPr="004F5B27">
        <w:t>olicies, and associated processes and procedures</w:t>
      </w:r>
      <w:r w:rsidR="00C07762" w:rsidRPr="004F5B27">
        <w:t>,</w:t>
      </w:r>
      <w:r w:rsidR="005353C7" w:rsidRPr="004F5B27">
        <w:t xml:space="preserve"> </w:t>
      </w:r>
      <w:r w:rsidRPr="004F5B27">
        <w:t>which the ACMA</w:t>
      </w:r>
      <w:r w:rsidR="005353C7" w:rsidRPr="004F5B27">
        <w:t xml:space="preserve"> may</w:t>
      </w:r>
      <w:r w:rsidR="004F5B27">
        <w:t xml:space="preserve"> audit for compliance purposes.</w:t>
      </w:r>
    </w:p>
    <w:p w14:paraId="45C654BB" w14:textId="45D048C5" w:rsidR="00265CC8" w:rsidRPr="004F5B27" w:rsidRDefault="005353C7" w:rsidP="004F5B27">
      <w:pPr>
        <w:pStyle w:val="Bulletlevel1"/>
        <w:tabs>
          <w:tab w:val="clear" w:pos="567"/>
        </w:tabs>
        <w:ind w:left="1134"/>
      </w:pPr>
      <w:r w:rsidRPr="004F5B27">
        <w:t>Assessment of the</w:t>
      </w:r>
      <w:r w:rsidR="00C07762" w:rsidRPr="004F5B27">
        <w:t xml:space="preserve">se policies </w:t>
      </w:r>
      <w:r w:rsidRPr="004F5B27">
        <w:t xml:space="preserve">will assist </w:t>
      </w:r>
      <w:r w:rsidR="00265CC8" w:rsidRPr="004F5B27">
        <w:t xml:space="preserve">the ACMA </w:t>
      </w:r>
      <w:r w:rsidRPr="004F5B27">
        <w:t xml:space="preserve">in determining whether the provider’s processes </w:t>
      </w:r>
      <w:r w:rsidR="00C07762" w:rsidRPr="004F5B27">
        <w:t xml:space="preserve">and procedures </w:t>
      </w:r>
      <w:r w:rsidRPr="004F5B27">
        <w:t xml:space="preserve">meet the </w:t>
      </w:r>
      <w:r w:rsidR="00C07762" w:rsidRPr="004F5B27">
        <w:t>core</w:t>
      </w:r>
      <w:r w:rsidRPr="004F5B27">
        <w:t xml:space="preserve"> regulated requirements, and ensure providers are working to an adequate level of </w:t>
      </w:r>
      <w:r w:rsidR="00C07762" w:rsidRPr="004F5B27">
        <w:t xml:space="preserve">complaint handling </w:t>
      </w:r>
      <w:r w:rsidR="004F5B27">
        <w:t>performance.</w:t>
      </w:r>
    </w:p>
    <w:p w14:paraId="64AD7454" w14:textId="7E16E4C9" w:rsidR="00265CC8" w:rsidRPr="004F5B27" w:rsidRDefault="009D705B" w:rsidP="004F5B27">
      <w:pPr>
        <w:pStyle w:val="Bulletlevel1"/>
        <w:tabs>
          <w:tab w:val="clear" w:pos="567"/>
        </w:tabs>
        <w:ind w:left="1134"/>
      </w:pPr>
      <w:r w:rsidRPr="004F5B27">
        <w:t>Providers will be required to make the</w:t>
      </w:r>
      <w:r w:rsidR="00C07762" w:rsidRPr="004F5B27">
        <w:t>ir policies</w:t>
      </w:r>
      <w:r w:rsidR="00265CC8" w:rsidRPr="004F5B27">
        <w:t xml:space="preserve"> </w:t>
      </w:r>
      <w:r w:rsidR="00C07762" w:rsidRPr="004F5B27">
        <w:t xml:space="preserve">transparent and </w:t>
      </w:r>
      <w:r w:rsidR="00265CC8" w:rsidRPr="004F5B27">
        <w:t xml:space="preserve">publicly available so that consumers have a clear understanding of how their provider will manage </w:t>
      </w:r>
      <w:r w:rsidR="00C07762" w:rsidRPr="004F5B27">
        <w:t>their</w:t>
      </w:r>
      <w:r w:rsidR="00265CC8" w:rsidRPr="004F5B27">
        <w:t xml:space="preserve"> complaint</w:t>
      </w:r>
      <w:r w:rsidRPr="004F5B27">
        <w:t xml:space="preserve"> and</w:t>
      </w:r>
      <w:r w:rsidR="00265CC8" w:rsidRPr="004F5B27">
        <w:t xml:space="preserve"> </w:t>
      </w:r>
      <w:r w:rsidRPr="004F5B27">
        <w:t xml:space="preserve">are </w:t>
      </w:r>
      <w:r w:rsidRPr="004F5B27">
        <w:lastRenderedPageBreak/>
        <w:t>better able to</w:t>
      </w:r>
      <w:r w:rsidR="00265CC8" w:rsidRPr="004F5B27">
        <w:t xml:space="preserve"> navigate the complaints handling and escalation process.</w:t>
      </w:r>
    </w:p>
    <w:p w14:paraId="6D54B805" w14:textId="1545B44D" w:rsidR="005353C7" w:rsidRPr="004F5B27" w:rsidRDefault="005353C7" w:rsidP="004F5B27">
      <w:pPr>
        <w:pStyle w:val="Bulletlevel1"/>
        <w:tabs>
          <w:tab w:val="clear" w:pos="567"/>
        </w:tabs>
        <w:ind w:left="1134"/>
      </w:pPr>
      <w:r w:rsidRPr="004F5B27">
        <w:t xml:space="preserve">It </w:t>
      </w:r>
      <w:r w:rsidR="00C04057" w:rsidRPr="004F5B27">
        <w:t>w</w:t>
      </w:r>
      <w:r w:rsidR="009D705B" w:rsidRPr="004F5B27">
        <w:t>ill</w:t>
      </w:r>
      <w:r w:rsidR="00C04057" w:rsidRPr="004F5B27">
        <w:t xml:space="preserve"> be </w:t>
      </w:r>
      <w:r w:rsidRPr="004F5B27">
        <w:t>open to industry to be innovative</w:t>
      </w:r>
      <w:r w:rsidR="00C07762" w:rsidRPr="004F5B27">
        <w:t xml:space="preserve">, over and above </w:t>
      </w:r>
      <w:r w:rsidR="009D705B" w:rsidRPr="004F5B27">
        <w:t xml:space="preserve">the baseline requirements, </w:t>
      </w:r>
      <w:r w:rsidRPr="004F5B27">
        <w:t>as a point of differentiation in a competitive landscape.</w:t>
      </w:r>
    </w:p>
    <w:p w14:paraId="7D2F14BF" w14:textId="77777777" w:rsidR="004F5B27" w:rsidRDefault="004F5B27" w:rsidP="00503BC9">
      <w:pPr>
        <w:pStyle w:val="Heading3"/>
        <w:pBdr>
          <w:top w:val="single" w:sz="4" w:space="1" w:color="auto"/>
          <w:left w:val="single" w:sz="4" w:space="1" w:color="auto"/>
          <w:bottom w:val="single" w:sz="4" w:space="1" w:color="auto"/>
          <w:right w:val="single" w:sz="4" w:space="1" w:color="auto"/>
        </w:pBdr>
        <w:ind w:left="567"/>
      </w:pPr>
      <w:bookmarkStart w:id="45" w:name="_Toc517104235"/>
      <w:bookmarkStart w:id="46" w:name="_Toc517173816"/>
      <w:bookmarkStart w:id="47" w:name="_Toc518483542"/>
      <w:r w:rsidRPr="007F3B74">
        <w:t>These proposals are based on the following principles:</w:t>
      </w:r>
      <w:bookmarkEnd w:id="45"/>
      <w:bookmarkEnd w:id="46"/>
      <w:bookmarkEnd w:id="47"/>
    </w:p>
    <w:p w14:paraId="123BD5BB" w14:textId="77777777" w:rsidR="004F5B27" w:rsidRDefault="004F5B27" w:rsidP="00503BC9">
      <w:pPr>
        <w:pStyle w:val="Heading4"/>
        <w:pBdr>
          <w:top w:val="single" w:sz="4" w:space="1" w:color="auto"/>
          <w:left w:val="single" w:sz="4" w:space="1" w:color="auto"/>
          <w:bottom w:val="single" w:sz="4" w:space="1" w:color="auto"/>
          <w:right w:val="single" w:sz="4" w:space="1" w:color="auto"/>
        </w:pBdr>
        <w:ind w:left="567"/>
      </w:pPr>
      <w:bookmarkStart w:id="48" w:name="_Toc517104236"/>
      <w:bookmarkStart w:id="49" w:name="_Toc517173817"/>
      <w:bookmarkStart w:id="50" w:name="_Toc518483543"/>
      <w:r>
        <w:t>Principle 1: Industry should have responsibility for taking care of its customers</w:t>
      </w:r>
      <w:bookmarkEnd w:id="48"/>
      <w:bookmarkEnd w:id="49"/>
      <w:bookmarkEnd w:id="50"/>
    </w:p>
    <w:p w14:paraId="1C83219B" w14:textId="77777777" w:rsidR="004F5B27" w:rsidRDefault="004F5B27" w:rsidP="00503BC9">
      <w:pPr>
        <w:pBdr>
          <w:top w:val="single" w:sz="4" w:space="1" w:color="auto"/>
          <w:left w:val="single" w:sz="4" w:space="1" w:color="auto"/>
          <w:bottom w:val="single" w:sz="4" w:space="1" w:color="auto"/>
          <w:right w:val="single" w:sz="4" w:space="1" w:color="auto"/>
        </w:pBdr>
        <w:ind w:left="567"/>
      </w:pPr>
      <w:r w:rsidRPr="001B1D90">
        <w:t>Consumer complaints should, as far as possible, be resolved at the point of first contact with their telecommunications provider. To support this, providers should implement quality assured complaint handling systems and processes to manage complaints raised by consumers.</w:t>
      </w:r>
      <w:r>
        <w:t xml:space="preserve"> These processes should be compliant with the ACMA’s Complaints-Handling Standard and should include transparent and accessible internal escalation processes.</w:t>
      </w:r>
    </w:p>
    <w:p w14:paraId="6DACF366" w14:textId="77777777" w:rsidR="004F5B27" w:rsidRDefault="004F5B27" w:rsidP="00503BC9">
      <w:pPr>
        <w:pStyle w:val="Heading4"/>
        <w:pBdr>
          <w:top w:val="single" w:sz="4" w:space="1" w:color="auto"/>
          <w:left w:val="single" w:sz="4" w:space="1" w:color="auto"/>
          <w:bottom w:val="single" w:sz="4" w:space="1" w:color="auto"/>
          <w:right w:val="single" w:sz="4" w:space="1" w:color="auto"/>
        </w:pBdr>
        <w:ind w:left="567"/>
      </w:pPr>
      <w:bookmarkStart w:id="51" w:name="_Toc517104237"/>
      <w:bookmarkStart w:id="52" w:name="_Toc517173818"/>
      <w:bookmarkStart w:id="53" w:name="_Toc518483544"/>
      <w:r>
        <w:t>Principle 2: Consumer safeguards are best delivered through direct regulation</w:t>
      </w:r>
      <w:bookmarkEnd w:id="51"/>
      <w:bookmarkEnd w:id="52"/>
      <w:bookmarkEnd w:id="53"/>
    </w:p>
    <w:p w14:paraId="1F0283D2" w14:textId="0E9886B1" w:rsidR="004F5B27" w:rsidRPr="009D705B" w:rsidRDefault="004F5B27" w:rsidP="00503BC9">
      <w:pPr>
        <w:pBdr>
          <w:top w:val="single" w:sz="4" w:space="1" w:color="auto"/>
          <w:left w:val="single" w:sz="4" w:space="1" w:color="auto"/>
          <w:bottom w:val="single" w:sz="4" w:space="1" w:color="auto"/>
          <w:right w:val="single" w:sz="4" w:space="1" w:color="auto"/>
        </w:pBdr>
        <w:ind w:left="567"/>
        <w:rPr>
          <w:b/>
          <w:bCs/>
        </w:rPr>
      </w:pPr>
      <w:r w:rsidRPr="009D705B">
        <w:t xml:space="preserve">Based on overseas and domestic experience, effective </w:t>
      </w:r>
      <w:r>
        <w:t xml:space="preserve">baseline </w:t>
      </w:r>
      <w:r w:rsidRPr="009D705B">
        <w:t>consumer safeguards are best delivered through clear and direct regulatory arrangements which require industry to deliver services and customer support in l</w:t>
      </w:r>
      <w:r>
        <w:rPr>
          <w:b/>
          <w:bCs/>
        </w:rPr>
        <w:t>ine with consumer expectations.</w:t>
      </w:r>
    </w:p>
    <w:p w14:paraId="3461CFAE" w14:textId="3E87DB31" w:rsidR="005353C7" w:rsidRDefault="004F5B27" w:rsidP="00503BC9">
      <w:pPr>
        <w:pBdr>
          <w:top w:val="single" w:sz="4" w:space="1" w:color="auto"/>
          <w:left w:val="single" w:sz="4" w:space="1" w:color="auto"/>
          <w:bottom w:val="single" w:sz="4" w:space="1" w:color="auto"/>
          <w:right w:val="single" w:sz="4" w:space="1" w:color="auto"/>
        </w:pBdr>
        <w:ind w:left="567"/>
      </w:pPr>
      <w:r>
        <w:t>These direct regulatory arrangements involve the appropriate rules and standards being developed, owned and enforced by the regulator. The ACMA’s current work to make an industry standard for complaints-handling is an example of a direct regulatory arrangement.</w:t>
      </w:r>
    </w:p>
    <w:p w14:paraId="72C72077" w14:textId="7565AA5E" w:rsidR="00E03631" w:rsidRDefault="004F5B27" w:rsidP="00503BC9">
      <w:pPr>
        <w:pStyle w:val="Heading3"/>
        <w:ind w:left="567"/>
      </w:pPr>
      <w:bookmarkStart w:id="54" w:name="_Toc517104238"/>
      <w:bookmarkStart w:id="55" w:name="_Toc517173819"/>
      <w:bookmarkStart w:id="56" w:name="_Toc518483545"/>
      <w:r>
        <w:t>Issues for comment</w:t>
      </w:r>
      <w:bookmarkEnd w:id="54"/>
      <w:bookmarkEnd w:id="55"/>
      <w:bookmarkEnd w:id="56"/>
    </w:p>
    <w:p w14:paraId="50D51B85" w14:textId="77777777" w:rsidR="00B20478" w:rsidRDefault="00B20478" w:rsidP="00503BC9">
      <w:pPr>
        <w:pStyle w:val="ListParagraph"/>
        <w:numPr>
          <w:ilvl w:val="0"/>
          <w:numId w:val="13"/>
        </w:numPr>
        <w:ind w:left="1134" w:hanging="567"/>
      </w:pPr>
      <w:r>
        <w:t>How can telecommunications service providers be encouraged to deal with and resolve their customer complaints without the need for recourse to external escalation?</w:t>
      </w:r>
    </w:p>
    <w:p w14:paraId="1A8DAE89" w14:textId="48BB1305" w:rsidR="00B20478" w:rsidRDefault="00B20478" w:rsidP="00503BC9">
      <w:pPr>
        <w:pStyle w:val="ListParagraph"/>
        <w:ind w:left="1134" w:hanging="567"/>
      </w:pPr>
      <w:r>
        <w:t xml:space="preserve">What barriers currently exist that prevent providers from addressing consumer complaints at the first point of contact or </w:t>
      </w:r>
      <w:r w:rsidR="00B02A52">
        <w:t xml:space="preserve">through </w:t>
      </w:r>
      <w:r>
        <w:t xml:space="preserve">an </w:t>
      </w:r>
      <w:r w:rsidR="00B02A52">
        <w:t xml:space="preserve">internal </w:t>
      </w:r>
      <w:r>
        <w:t xml:space="preserve">escalated </w:t>
      </w:r>
      <w:r w:rsidR="00B02A52">
        <w:t>process</w:t>
      </w:r>
      <w:r>
        <w:t>?</w:t>
      </w:r>
    </w:p>
    <w:p w14:paraId="486D82DA" w14:textId="7CD6C1E2" w:rsidR="00B20478" w:rsidRDefault="00B20478" w:rsidP="00503BC9">
      <w:pPr>
        <w:pStyle w:val="ListParagraph"/>
        <w:ind w:left="1134" w:hanging="567"/>
      </w:pPr>
      <w:r>
        <w:t>How should responsibility for resolving consumer complaints involving multiple parties in the suppl</w:t>
      </w:r>
      <w:r w:rsidR="004F5B27">
        <w:t>y chain be achieved or enacted?</w:t>
      </w:r>
    </w:p>
    <w:p w14:paraId="2C41D12B" w14:textId="77777777" w:rsidR="00B20478" w:rsidRDefault="00B20478" w:rsidP="00503BC9">
      <w:pPr>
        <w:pStyle w:val="ListParagraph"/>
        <w:ind w:left="1134" w:hanging="567"/>
      </w:pPr>
      <w:r>
        <w:t>Should there be additional rules in the ACMA’s Complaints-Handling Standard compelling providers to make every effort to resolve customer complaints before the consumer escalates the matter to an external dispute resolution body?</w:t>
      </w:r>
    </w:p>
    <w:p w14:paraId="74022EA4" w14:textId="618F7A94" w:rsidR="00B20478" w:rsidRDefault="00B20478" w:rsidP="00503BC9">
      <w:pPr>
        <w:pStyle w:val="ListParagraph"/>
        <w:ind w:left="1134" w:hanging="567"/>
      </w:pPr>
      <w:r>
        <w:t>What do consumers need to know about their provider’s complaint ha</w:t>
      </w:r>
      <w:r w:rsidR="004F5B27">
        <w:t>ndling policies and procedures?</w:t>
      </w:r>
    </w:p>
    <w:p w14:paraId="12C4497C" w14:textId="0D700D37" w:rsidR="00B20478" w:rsidRDefault="00B20478" w:rsidP="00503BC9">
      <w:pPr>
        <w:pStyle w:val="ListParagraph"/>
        <w:ind w:left="1134" w:hanging="567"/>
      </w:pPr>
      <w:r>
        <w:t>When and how should consumers be made aware of a provider’s complaint ha</w:t>
      </w:r>
      <w:r w:rsidR="004F5B27">
        <w:t>ndling policies and procedures?</w:t>
      </w:r>
    </w:p>
    <w:p w14:paraId="0F43CFEC" w14:textId="77777777" w:rsidR="00B20478" w:rsidRDefault="00B20478" w:rsidP="00503BC9">
      <w:pPr>
        <w:pStyle w:val="ListParagraph"/>
        <w:ind w:left="1134" w:hanging="567"/>
      </w:pPr>
      <w:r>
        <w:lastRenderedPageBreak/>
        <w:t>How will providers ensure their own staff are trained in the complaint handling policies and procedures and will be supported by appropriate complaint handling systems?</w:t>
      </w:r>
    </w:p>
    <w:p w14:paraId="08322713" w14:textId="77777777" w:rsidR="00643A1F" w:rsidRDefault="00643A1F" w:rsidP="00643A1F">
      <w:pPr>
        <w:pStyle w:val="Tickedboxbulletpoint"/>
        <w:numPr>
          <w:ilvl w:val="0"/>
          <w:numId w:val="0"/>
        </w:numPr>
        <w:tabs>
          <w:tab w:val="clear" w:pos="567"/>
        </w:tabs>
        <w:ind w:left="567"/>
      </w:pPr>
    </w:p>
    <w:p w14:paraId="2769218D" w14:textId="1DFE13B8" w:rsidR="005353C7" w:rsidRDefault="005353C7" w:rsidP="00503BC9">
      <w:pPr>
        <w:pStyle w:val="Tickedboxbulletpoint"/>
        <w:numPr>
          <w:ilvl w:val="0"/>
          <w:numId w:val="7"/>
        </w:numPr>
        <w:tabs>
          <w:tab w:val="clear" w:pos="567"/>
        </w:tabs>
        <w:ind w:left="567" w:hanging="567"/>
      </w:pPr>
      <w:r>
        <w:t xml:space="preserve">2. An External Dispute Resolution </w:t>
      </w:r>
      <w:r w:rsidR="00EB55CC">
        <w:t>body</w:t>
      </w:r>
      <w:r>
        <w:t xml:space="preserve">, independent of industry, should be established to deal with </w:t>
      </w:r>
      <w:r w:rsidR="00BD7F76">
        <w:t xml:space="preserve">complex </w:t>
      </w:r>
      <w:r>
        <w:t xml:space="preserve">complaints </w:t>
      </w:r>
      <w:r w:rsidR="00BD7F76">
        <w:t xml:space="preserve">that are </w:t>
      </w:r>
      <w:r>
        <w:t xml:space="preserve">unable to be resolved </w:t>
      </w:r>
      <w:r w:rsidR="00EB55CC">
        <w:t xml:space="preserve">directly </w:t>
      </w:r>
      <w:r>
        <w:t xml:space="preserve">between customers and </w:t>
      </w:r>
      <w:r w:rsidR="00EB55CC">
        <w:t xml:space="preserve">their </w:t>
      </w:r>
      <w:r>
        <w:t>providers.</w:t>
      </w:r>
      <w:r w:rsidR="00070D1E">
        <w:t xml:space="preserve"> </w:t>
      </w:r>
      <w:r>
        <w:t>Consideration will need to be given to the appropriate governance arrangements to support the body, with its independence being a guiding principle.</w:t>
      </w:r>
    </w:p>
    <w:p w14:paraId="556A04FF" w14:textId="370A2CC3" w:rsidR="00E03631" w:rsidRDefault="00226C8F" w:rsidP="004F5B27">
      <w:pPr>
        <w:pStyle w:val="Bulletlevel1"/>
        <w:tabs>
          <w:tab w:val="clear" w:pos="567"/>
        </w:tabs>
        <w:ind w:left="1134"/>
      </w:pPr>
      <w:r>
        <w:t xml:space="preserve">The External Dispute Resolution </w:t>
      </w:r>
      <w:r w:rsidR="00B617E2">
        <w:t xml:space="preserve">(EDR) </w:t>
      </w:r>
      <w:r>
        <w:t xml:space="preserve">body </w:t>
      </w:r>
      <w:r w:rsidR="00E03631" w:rsidRPr="00E03631">
        <w:t xml:space="preserve">should only accept a complaint once it is satisfied that the </w:t>
      </w:r>
      <w:r>
        <w:t>matter</w:t>
      </w:r>
      <w:r w:rsidR="00E03631">
        <w:t xml:space="preserve"> was </w:t>
      </w:r>
      <w:r>
        <w:t xml:space="preserve">unable to be adequately addressed by the service provider’s </w:t>
      </w:r>
      <w:r w:rsidR="00E03631">
        <w:t>complaint-handling</w:t>
      </w:r>
      <w:r>
        <w:t xml:space="preserve"> processes</w:t>
      </w:r>
      <w:r w:rsidR="00E03631">
        <w:t xml:space="preserve">, and has gone through the provider’s required </w:t>
      </w:r>
      <w:r w:rsidR="00E03631" w:rsidRPr="00E03631">
        <w:t>internal escalation</w:t>
      </w:r>
      <w:r w:rsidR="00E03631">
        <w:t xml:space="preserve"> processes</w:t>
      </w:r>
      <w:r>
        <w:t>.</w:t>
      </w:r>
    </w:p>
    <w:p w14:paraId="41858CDE" w14:textId="10921F7E" w:rsidR="00B617E2" w:rsidRDefault="001F4C2C" w:rsidP="004F5B27">
      <w:pPr>
        <w:pStyle w:val="Bulletlevel1"/>
        <w:tabs>
          <w:tab w:val="clear" w:pos="567"/>
        </w:tabs>
        <w:ind w:left="1134"/>
      </w:pPr>
      <w:r>
        <w:t>When</w:t>
      </w:r>
      <w:r w:rsidR="00226C8F" w:rsidRPr="00CA50F2">
        <w:t xml:space="preserve"> complaint</w:t>
      </w:r>
      <w:r w:rsidR="00E03631">
        <w:t xml:space="preserve">s </w:t>
      </w:r>
      <w:r w:rsidR="00226C8F" w:rsidRPr="00CA50F2">
        <w:t xml:space="preserve">are brought to it, the body should </w:t>
      </w:r>
      <w:r w:rsidR="00927246">
        <w:t xml:space="preserve">therefore </w:t>
      </w:r>
      <w:r w:rsidR="00226C8F" w:rsidRPr="00CA50F2">
        <w:t>ensure it has clear line of sight over the provider’s internal dispute resolution and complaint handling processes, including the reasons why the referred complaint has been unable</w:t>
      </w:r>
      <w:r w:rsidR="00DF43A4">
        <w:t xml:space="preserve"> to be resolved by the provider</w:t>
      </w:r>
      <w:r w:rsidR="00226C8F" w:rsidRPr="00CA50F2">
        <w:t>.</w:t>
      </w:r>
    </w:p>
    <w:p w14:paraId="04F247EA" w14:textId="622A0C4B" w:rsidR="001F4C2C" w:rsidRDefault="00DF43A4" w:rsidP="004F5B27">
      <w:pPr>
        <w:pStyle w:val="Bulletlevel1"/>
        <w:tabs>
          <w:tab w:val="clear" w:pos="567"/>
        </w:tabs>
        <w:ind w:left="1134"/>
      </w:pPr>
      <w:r w:rsidRPr="00226C8F">
        <w:t xml:space="preserve">The </w:t>
      </w:r>
      <w:r w:rsidR="00B617E2">
        <w:t xml:space="preserve">EDR </w:t>
      </w:r>
      <w:r>
        <w:t xml:space="preserve">body’s </w:t>
      </w:r>
      <w:r w:rsidRPr="00226C8F">
        <w:t xml:space="preserve">remit should enable it to deal with complaints across the </w:t>
      </w:r>
      <w:r w:rsidR="00BD7F76">
        <w:t>end</w:t>
      </w:r>
      <w:r w:rsidR="00E03631">
        <w:t>-</w:t>
      </w:r>
      <w:r w:rsidR="00BD7F76">
        <w:t>to</w:t>
      </w:r>
      <w:r w:rsidR="00E03631">
        <w:t>-</w:t>
      </w:r>
      <w:r w:rsidR="00BD7F76">
        <w:t xml:space="preserve">end </w:t>
      </w:r>
      <w:r w:rsidRPr="00226C8F">
        <w:t>supply chain</w:t>
      </w:r>
      <w:r w:rsidR="00150826">
        <w:t>—</w:t>
      </w:r>
      <w:r w:rsidR="00BD7F76">
        <w:t>e.g.</w:t>
      </w:r>
      <w:r w:rsidRPr="00226C8F">
        <w:t> wholesale and retail</w:t>
      </w:r>
      <w:r w:rsidR="00BD7F76">
        <w:t xml:space="preserve"> providers</w:t>
      </w:r>
      <w:r w:rsidRPr="00226C8F">
        <w:t>, as appropriate</w:t>
      </w:r>
      <w:r w:rsidR="00E03631">
        <w:t>,</w:t>
      </w:r>
      <w:r w:rsidR="00BD7F76">
        <w:t xml:space="preserve"> to resolve the matter</w:t>
      </w:r>
      <w:r w:rsidRPr="00226C8F">
        <w:t xml:space="preserve">. </w:t>
      </w:r>
    </w:p>
    <w:p w14:paraId="5DBD87B1" w14:textId="2D96EA5D" w:rsidR="00DF43A4" w:rsidRPr="00DF43A4" w:rsidRDefault="00DF43A4" w:rsidP="004F5B27">
      <w:pPr>
        <w:pStyle w:val="Bulletlevel1"/>
        <w:tabs>
          <w:tab w:val="clear" w:pos="567"/>
        </w:tabs>
        <w:ind w:left="1134"/>
      </w:pPr>
      <w:r w:rsidRPr="00226C8F">
        <w:t xml:space="preserve">It should also resolve disputes in a way that ensures the relevant retail or wholesale </w:t>
      </w:r>
      <w:r w:rsidR="00BD7F76">
        <w:t xml:space="preserve">provider </w:t>
      </w:r>
      <w:r w:rsidRPr="00226C8F">
        <w:t>is held accountable, including when third parties in the supply chain are involved.</w:t>
      </w:r>
    </w:p>
    <w:p w14:paraId="4B0B672B" w14:textId="50BDDA22" w:rsidR="005353C7" w:rsidRDefault="00F210EA" w:rsidP="004F5B27">
      <w:pPr>
        <w:pStyle w:val="Bulletlevel1"/>
        <w:tabs>
          <w:tab w:val="clear" w:pos="567"/>
        </w:tabs>
        <w:ind w:left="1134"/>
      </w:pPr>
      <w:r>
        <w:t xml:space="preserve">The </w:t>
      </w:r>
      <w:r w:rsidR="00E03631">
        <w:t>EDR</w:t>
      </w:r>
      <w:r w:rsidR="00EB55CC">
        <w:t xml:space="preserve"> b</w:t>
      </w:r>
      <w:r w:rsidR="005353C7">
        <w:t xml:space="preserve">ody </w:t>
      </w:r>
      <w:r>
        <w:t>will</w:t>
      </w:r>
      <w:r w:rsidR="0089660C">
        <w:t xml:space="preserve"> </w:t>
      </w:r>
      <w:r w:rsidR="00BD7F76">
        <w:t xml:space="preserve">be </w:t>
      </w:r>
      <w:r w:rsidR="00E03631">
        <w:t>established with</w:t>
      </w:r>
      <w:r w:rsidR="00BD7F76">
        <w:t xml:space="preserve"> independent reporting and funding mechanisms,</w:t>
      </w:r>
      <w:r w:rsidR="0089660C">
        <w:t xml:space="preserve"> providing it </w:t>
      </w:r>
      <w:r w:rsidR="00EB55CC">
        <w:t>with</w:t>
      </w:r>
      <w:r w:rsidR="005353C7">
        <w:t xml:space="preserve"> the independence needed to be an adjudicator on disputes between providers and customers.</w:t>
      </w:r>
      <w:r>
        <w:t xml:space="preserve"> </w:t>
      </w:r>
      <w:r w:rsidR="00DF43A4" w:rsidRPr="00CA50F2">
        <w:t xml:space="preserve">The </w:t>
      </w:r>
      <w:r w:rsidR="00E03631">
        <w:t>body</w:t>
      </w:r>
      <w:r w:rsidR="00DF43A4" w:rsidRPr="00CA50F2">
        <w:t xml:space="preserve"> should report transparently on its own performance and effectiveness</w:t>
      </w:r>
      <w:r w:rsidR="00DF43A4">
        <w:t>.</w:t>
      </w:r>
    </w:p>
    <w:p w14:paraId="0F81BC9C" w14:textId="5E3BFE04" w:rsidR="00226C8F" w:rsidRPr="00226C8F" w:rsidRDefault="005353C7" w:rsidP="004F5B27">
      <w:pPr>
        <w:pStyle w:val="Bulletlevel1"/>
        <w:tabs>
          <w:tab w:val="clear" w:pos="567"/>
        </w:tabs>
        <w:ind w:left="1134"/>
      </w:pPr>
      <w:r>
        <w:t xml:space="preserve">As the </w:t>
      </w:r>
      <w:r w:rsidR="00BD7F76">
        <w:t xml:space="preserve">final </w:t>
      </w:r>
      <w:r>
        <w:t>arbiter of a dispute</w:t>
      </w:r>
      <w:r w:rsidR="00BD7F76">
        <w:t xml:space="preserve"> in a no</w:t>
      </w:r>
      <w:r w:rsidR="00E03631">
        <w:t>-</w:t>
      </w:r>
      <w:r w:rsidR="00BD7F76">
        <w:t>cost forum for the consumer</w:t>
      </w:r>
      <w:r>
        <w:t xml:space="preserve">, the independent </w:t>
      </w:r>
      <w:r w:rsidR="00E03631">
        <w:t xml:space="preserve">EDR </w:t>
      </w:r>
      <w:r w:rsidR="00EB55CC">
        <w:t>b</w:t>
      </w:r>
      <w:r>
        <w:t xml:space="preserve">ody should also have the power to compel providers to </w:t>
      </w:r>
      <w:r w:rsidR="007178DB">
        <w:t xml:space="preserve">take </w:t>
      </w:r>
      <w:r>
        <w:t>remedial</w:t>
      </w:r>
      <w:r w:rsidR="0081315F">
        <w:t xml:space="preserve"> or redress </w:t>
      </w:r>
      <w:r w:rsidR="007178DB">
        <w:t>action</w:t>
      </w:r>
      <w:r w:rsidR="0081315F">
        <w:t>s</w:t>
      </w:r>
      <w:r w:rsidR="007178DB">
        <w:t xml:space="preserve"> </w:t>
      </w:r>
      <w:r>
        <w:t xml:space="preserve">to </w:t>
      </w:r>
      <w:r w:rsidR="007178DB">
        <w:t>resolve complaints</w:t>
      </w:r>
      <w:r w:rsidR="0081315F">
        <w:t xml:space="preserve"> where</w:t>
      </w:r>
      <w:r>
        <w:t xml:space="preserve"> appropriate</w:t>
      </w:r>
      <w:r w:rsidR="00E03631">
        <w:t xml:space="preserve">, which could include financial compensation to consumers </w:t>
      </w:r>
      <w:r w:rsidR="00D239C4">
        <w:t xml:space="preserve">or </w:t>
      </w:r>
      <w:r w:rsidR="00E03631">
        <w:t xml:space="preserve">the </w:t>
      </w:r>
      <w:r w:rsidR="00D239C4" w:rsidDel="00A370D5">
        <w:t>ability to issue fines or other forms o</w:t>
      </w:r>
      <w:r w:rsidR="00D239C4">
        <w:t>f</w:t>
      </w:r>
      <w:r w:rsidR="00D239C4" w:rsidDel="00A370D5">
        <w:t xml:space="preserve"> remedy </w:t>
      </w:r>
      <w:r w:rsidR="00E03631">
        <w:t xml:space="preserve">depending on the case. </w:t>
      </w:r>
    </w:p>
    <w:p w14:paraId="08F9D88F" w14:textId="462C4AB6" w:rsidR="00184AF0" w:rsidRDefault="00927246" w:rsidP="004F5B27">
      <w:pPr>
        <w:pStyle w:val="Bulletlevel1"/>
        <w:tabs>
          <w:tab w:val="clear" w:pos="567"/>
        </w:tabs>
        <w:ind w:left="1134"/>
      </w:pPr>
      <w:bookmarkStart w:id="57" w:name="_Toc513445576"/>
      <w:bookmarkStart w:id="58" w:name="_Toc513446374"/>
      <w:bookmarkStart w:id="59" w:name="_Toc513447755"/>
      <w:bookmarkStart w:id="60" w:name="_Toc515980282"/>
      <w:bookmarkEnd w:id="57"/>
      <w:bookmarkEnd w:id="58"/>
      <w:bookmarkEnd w:id="59"/>
      <w:bookmarkEnd w:id="60"/>
      <w:r>
        <w:t xml:space="preserve">In concert with the above, the </w:t>
      </w:r>
      <w:r w:rsidR="00E03631">
        <w:t xml:space="preserve">EDR </w:t>
      </w:r>
      <w:r w:rsidR="00FE095B">
        <w:t xml:space="preserve">body will </w:t>
      </w:r>
      <w:r w:rsidR="007178DB">
        <w:t xml:space="preserve">be expected to provide advice to </w:t>
      </w:r>
      <w:r w:rsidR="00FE095B">
        <w:t xml:space="preserve">the </w:t>
      </w:r>
      <w:r w:rsidR="00E03631">
        <w:t>r</w:t>
      </w:r>
      <w:r w:rsidR="00FE095B">
        <w:t xml:space="preserve">egulator </w:t>
      </w:r>
      <w:r w:rsidR="0081315F">
        <w:t>when</w:t>
      </w:r>
      <w:r w:rsidR="007178DB">
        <w:t xml:space="preserve"> it identifies areas of</w:t>
      </w:r>
      <w:r w:rsidR="00DF43A4">
        <w:t xml:space="preserve"> </w:t>
      </w:r>
      <w:r w:rsidR="007178DB">
        <w:t xml:space="preserve">potential </w:t>
      </w:r>
      <w:r w:rsidR="00DF43A4">
        <w:t>industry non-compliance</w:t>
      </w:r>
      <w:r>
        <w:t>. The</w:t>
      </w:r>
      <w:r w:rsidR="00DF43A4">
        <w:t xml:space="preserve"> </w:t>
      </w:r>
      <w:r w:rsidR="00DF43A4" w:rsidRPr="00CA50F2">
        <w:t xml:space="preserve">operational and institutional arrangements </w:t>
      </w:r>
      <w:r w:rsidR="001F4C2C">
        <w:t>should</w:t>
      </w:r>
      <w:r>
        <w:t xml:space="preserve"> ensure </w:t>
      </w:r>
      <w:r w:rsidR="00DF43A4" w:rsidRPr="00CA50F2">
        <w:t>the body</w:t>
      </w:r>
      <w:r>
        <w:t xml:space="preserve"> can</w:t>
      </w:r>
      <w:r w:rsidR="00DF43A4" w:rsidRPr="00CA50F2">
        <w:t xml:space="preserve"> work closely with the regulator in regard to transfer of information and referral of issues.</w:t>
      </w:r>
    </w:p>
    <w:p w14:paraId="6946AE27" w14:textId="66A8E432" w:rsidR="005156FA" w:rsidRPr="00CA50F2" w:rsidRDefault="005156FA" w:rsidP="004F5B27">
      <w:pPr>
        <w:pStyle w:val="Bulletlevel1"/>
        <w:tabs>
          <w:tab w:val="clear" w:pos="567"/>
        </w:tabs>
        <w:ind w:left="1134"/>
      </w:pPr>
      <w:r>
        <w:t>The EDR body</w:t>
      </w:r>
      <w:r w:rsidR="0023514D">
        <w:t>’s operations</w:t>
      </w:r>
      <w:r>
        <w:t xml:space="preserve"> should be funded by providers, with the level of funding apportioned </w:t>
      </w:r>
      <w:r w:rsidR="000B7685">
        <w:t>based on</w:t>
      </w:r>
      <w:r>
        <w:t xml:space="preserve"> the number of complaints received about each provider.</w:t>
      </w:r>
    </w:p>
    <w:p w14:paraId="5783F029" w14:textId="77777777" w:rsidR="004F5B27" w:rsidRPr="007F3B74" w:rsidRDefault="004F5B27" w:rsidP="001975B5">
      <w:pPr>
        <w:pStyle w:val="Heading3"/>
        <w:pBdr>
          <w:top w:val="single" w:sz="4" w:space="1" w:color="auto"/>
          <w:left w:val="single" w:sz="4" w:space="1" w:color="auto"/>
          <w:bottom w:val="single" w:sz="4" w:space="1" w:color="auto"/>
          <w:right w:val="single" w:sz="4" w:space="1" w:color="auto"/>
        </w:pBdr>
        <w:ind w:left="567"/>
      </w:pPr>
      <w:bookmarkStart w:id="61" w:name="_Toc517104239"/>
      <w:bookmarkStart w:id="62" w:name="_Toc517173820"/>
      <w:bookmarkStart w:id="63" w:name="_Toc518483546"/>
      <w:r w:rsidRPr="007F3B74">
        <w:lastRenderedPageBreak/>
        <w:t>These proposals are based on the following principles:</w:t>
      </w:r>
      <w:bookmarkEnd w:id="61"/>
      <w:bookmarkEnd w:id="62"/>
      <w:bookmarkEnd w:id="63"/>
    </w:p>
    <w:p w14:paraId="7BA146A2" w14:textId="502DBCCE" w:rsidR="004F5B27" w:rsidRPr="00E026E3" w:rsidRDefault="004F5B27" w:rsidP="001975B5">
      <w:pPr>
        <w:pStyle w:val="Heading4"/>
        <w:pBdr>
          <w:top w:val="single" w:sz="4" w:space="1" w:color="auto"/>
          <w:left w:val="single" w:sz="4" w:space="1" w:color="auto"/>
          <w:bottom w:val="single" w:sz="4" w:space="1" w:color="auto"/>
          <w:right w:val="single" w:sz="4" w:space="1" w:color="auto"/>
        </w:pBdr>
        <w:ind w:left="567"/>
      </w:pPr>
      <w:bookmarkStart w:id="64" w:name="_Toc515980281"/>
      <w:bookmarkStart w:id="65" w:name="_Toc517104240"/>
      <w:bookmarkStart w:id="66" w:name="_Toc517173821"/>
      <w:bookmarkStart w:id="67" w:name="_Toc518483547"/>
      <w:r w:rsidRPr="00E026E3">
        <w:t xml:space="preserve">Principle 3: </w:t>
      </w:r>
      <w:bookmarkEnd w:id="64"/>
      <w:r>
        <w:t xml:space="preserve">Consumers have an independent avenue for </w:t>
      </w:r>
      <w:r w:rsidR="00180B0D">
        <w:t xml:space="preserve">resolution and/or </w:t>
      </w:r>
      <w:r>
        <w:t>redress</w:t>
      </w:r>
      <w:bookmarkEnd w:id="65"/>
      <w:bookmarkEnd w:id="66"/>
      <w:bookmarkEnd w:id="67"/>
    </w:p>
    <w:p w14:paraId="751FAAB6" w14:textId="77777777" w:rsidR="004F5B27" w:rsidRPr="00CA50F2" w:rsidRDefault="004F5B27" w:rsidP="001975B5">
      <w:pPr>
        <w:keepNext/>
        <w:pBdr>
          <w:top w:val="single" w:sz="4" w:space="1" w:color="auto"/>
          <w:left w:val="single" w:sz="4" w:space="1" w:color="auto"/>
          <w:bottom w:val="single" w:sz="4" w:space="1" w:color="auto"/>
          <w:right w:val="single" w:sz="4" w:space="1" w:color="auto"/>
        </w:pBdr>
        <w:ind w:left="567"/>
      </w:pPr>
      <w:r w:rsidRPr="00CA50F2">
        <w:t>Where matters cannot be resolved between consumers and providers, there should be a third party body, independent of industry</w:t>
      </w:r>
      <w:r>
        <w:t xml:space="preserve"> that</w:t>
      </w:r>
      <w:r w:rsidRPr="00CA50F2">
        <w:t xml:space="preserve"> is sufficiently empowered to resolve these disputes.</w:t>
      </w:r>
    </w:p>
    <w:p w14:paraId="5AE4FDAE" w14:textId="77777777" w:rsidR="004F5B27" w:rsidRPr="00E026E3" w:rsidRDefault="004F5B27" w:rsidP="001975B5">
      <w:pPr>
        <w:pStyle w:val="Heading4"/>
        <w:pBdr>
          <w:top w:val="single" w:sz="4" w:space="1" w:color="auto"/>
          <w:left w:val="single" w:sz="4" w:space="1" w:color="auto"/>
          <w:bottom w:val="single" w:sz="4" w:space="1" w:color="auto"/>
          <w:right w:val="single" w:sz="4" w:space="1" w:color="auto"/>
        </w:pBdr>
        <w:ind w:left="567"/>
      </w:pPr>
      <w:bookmarkStart w:id="68" w:name="_Toc517104241"/>
      <w:bookmarkStart w:id="69" w:name="_Toc517173822"/>
      <w:bookmarkStart w:id="70" w:name="_Toc518483548"/>
      <w:r w:rsidRPr="00E026E3">
        <w:t xml:space="preserve">Principle 4: Governance and </w:t>
      </w:r>
      <w:r>
        <w:t xml:space="preserve">public </w:t>
      </w:r>
      <w:r w:rsidRPr="00E026E3">
        <w:t>accountability</w:t>
      </w:r>
      <w:bookmarkEnd w:id="68"/>
      <w:bookmarkEnd w:id="69"/>
      <w:bookmarkEnd w:id="70"/>
    </w:p>
    <w:p w14:paraId="6EEEC2A7" w14:textId="3E8CD311" w:rsidR="004F5B27" w:rsidRPr="00DF43A4" w:rsidRDefault="004F5B27" w:rsidP="001975B5">
      <w:pPr>
        <w:pBdr>
          <w:top w:val="single" w:sz="4" w:space="1" w:color="auto"/>
          <w:left w:val="single" w:sz="4" w:space="1" w:color="auto"/>
          <w:bottom w:val="single" w:sz="4" w:space="1" w:color="auto"/>
          <w:right w:val="single" w:sz="4" w:space="1" w:color="auto"/>
        </w:pBdr>
        <w:ind w:left="567"/>
      </w:pPr>
      <w:r>
        <w:t>There should be public visibility and accountability for performance in resolving complaints</w:t>
      </w:r>
      <w:r w:rsidR="00547429">
        <w:t xml:space="preserve"> </w:t>
      </w:r>
      <w:r>
        <w:t xml:space="preserve">including fairness and transparency in the External Dispute Resolution </w:t>
      </w:r>
      <w:r w:rsidR="00953725">
        <w:t>b</w:t>
      </w:r>
      <w:r>
        <w:t>ody’s setting of</w:t>
      </w:r>
      <w:r w:rsidRPr="00CA50F2">
        <w:t xml:space="preserve"> </w:t>
      </w:r>
      <w:r>
        <w:t xml:space="preserve">its </w:t>
      </w:r>
      <w:r w:rsidRPr="00CA50F2">
        <w:t>priorities, decision making and governance arrangements.</w:t>
      </w:r>
      <w:r>
        <w:t xml:space="preserve"> </w:t>
      </w:r>
    </w:p>
    <w:p w14:paraId="58AE624C" w14:textId="77777777" w:rsidR="004F5B27" w:rsidRPr="00CA50F2" w:rsidRDefault="004F5B27" w:rsidP="001975B5">
      <w:pPr>
        <w:pStyle w:val="Heading4"/>
        <w:pBdr>
          <w:top w:val="single" w:sz="4" w:space="1" w:color="auto"/>
          <w:left w:val="single" w:sz="4" w:space="1" w:color="auto"/>
          <w:bottom w:val="single" w:sz="4" w:space="1" w:color="auto"/>
          <w:right w:val="single" w:sz="4" w:space="1" w:color="auto"/>
        </w:pBdr>
        <w:ind w:left="567"/>
      </w:pPr>
      <w:bookmarkStart w:id="71" w:name="_Toc513445577"/>
      <w:bookmarkStart w:id="72" w:name="_Toc513446375"/>
      <w:bookmarkStart w:id="73" w:name="_Toc513447756"/>
      <w:bookmarkStart w:id="74" w:name="_Toc515980283"/>
      <w:bookmarkStart w:id="75" w:name="_Toc517104242"/>
      <w:bookmarkStart w:id="76" w:name="_Toc517173823"/>
      <w:bookmarkStart w:id="77" w:name="_Toc518483549"/>
      <w:r>
        <w:t xml:space="preserve">Principle 5: </w:t>
      </w:r>
      <w:bookmarkEnd w:id="71"/>
      <w:bookmarkEnd w:id="72"/>
      <w:bookmarkEnd w:id="73"/>
      <w:bookmarkEnd w:id="74"/>
      <w:r>
        <w:t>Appropriate institutional arrangements</w:t>
      </w:r>
      <w:bookmarkEnd w:id="75"/>
      <w:bookmarkEnd w:id="76"/>
      <w:bookmarkEnd w:id="77"/>
    </w:p>
    <w:p w14:paraId="34FDF186" w14:textId="77777777" w:rsidR="004F5B27" w:rsidRPr="00CA50F2" w:rsidRDefault="004F5B27" w:rsidP="001975B5">
      <w:pPr>
        <w:pBdr>
          <w:top w:val="single" w:sz="4" w:space="1" w:color="auto"/>
          <w:left w:val="single" w:sz="4" w:space="1" w:color="auto"/>
          <w:bottom w:val="single" w:sz="4" w:space="1" w:color="auto"/>
          <w:right w:val="single" w:sz="4" w:space="1" w:color="auto"/>
        </w:pBdr>
        <w:ind w:left="567"/>
      </w:pPr>
      <w:r w:rsidRPr="00CA50F2">
        <w:t xml:space="preserve">The </w:t>
      </w:r>
      <w:r>
        <w:t xml:space="preserve">External Dispute Resolution </w:t>
      </w:r>
      <w:r w:rsidRPr="00CA50F2">
        <w:t>body</w:t>
      </w:r>
      <w:r>
        <w:t xml:space="preserve"> will need to</w:t>
      </w:r>
      <w:r w:rsidRPr="00CA50F2">
        <w:t xml:space="preserve"> work closely with the regulator in regard to transfer of information and referral of issues.</w:t>
      </w:r>
      <w:r>
        <w:t xml:space="preserve"> This should be done in a way that ensures </w:t>
      </w:r>
      <w:r w:rsidRPr="00CA50F2">
        <w:t>clear and distinct lines of responsibility between the regulator and the dispute resolution body</w:t>
      </w:r>
      <w:r>
        <w:t xml:space="preserve">. </w:t>
      </w:r>
    </w:p>
    <w:p w14:paraId="5E416C3D" w14:textId="7DC6D57C" w:rsidR="00B20478" w:rsidRDefault="00503BC9" w:rsidP="001975B5">
      <w:pPr>
        <w:pStyle w:val="Heading3"/>
        <w:ind w:left="567"/>
      </w:pPr>
      <w:bookmarkStart w:id="78" w:name="_Toc517104243"/>
      <w:bookmarkStart w:id="79" w:name="_Toc517173824"/>
      <w:bookmarkStart w:id="80" w:name="_Toc518483550"/>
      <w:r>
        <w:t>Issues for comment</w:t>
      </w:r>
      <w:bookmarkEnd w:id="78"/>
      <w:bookmarkEnd w:id="79"/>
      <w:bookmarkEnd w:id="80"/>
    </w:p>
    <w:p w14:paraId="5704418A" w14:textId="03C1A617" w:rsidR="00B20478" w:rsidRDefault="00B20478" w:rsidP="00503BC9">
      <w:pPr>
        <w:pStyle w:val="ListParagraph"/>
        <w:numPr>
          <w:ilvl w:val="0"/>
          <w:numId w:val="8"/>
        </w:numPr>
        <w:ind w:left="1134" w:hanging="567"/>
      </w:pPr>
      <w:r>
        <w:t>Should the current Telecommunications Industry Ombudsman (TIO) arrangements be transformed to an independent External Dispute Resolution (EDR) body for handling complex complaints?</w:t>
      </w:r>
    </w:p>
    <w:p w14:paraId="59531D07" w14:textId="77777777" w:rsidR="00B20478" w:rsidRDefault="00B20478" w:rsidP="00503BC9">
      <w:pPr>
        <w:pStyle w:val="ListParagraph"/>
        <w:ind w:left="1134" w:hanging="567"/>
      </w:pPr>
      <w:r>
        <w:t>In addition to resolving complex complaints, should the independent EDR body be proactively engaged in driving industry improvements, identifying systemic complaints and analysing root causes or recurring issues?</w:t>
      </w:r>
    </w:p>
    <w:p w14:paraId="240790F8" w14:textId="3B8A176E" w:rsidR="00B20478" w:rsidRDefault="00B20478" w:rsidP="00503BC9">
      <w:pPr>
        <w:pStyle w:val="ListParagraph"/>
        <w:ind w:left="1134" w:hanging="567"/>
      </w:pPr>
      <w:r>
        <w:t>Should the</w:t>
      </w:r>
      <w:r w:rsidR="00B02A52">
        <w:t xml:space="preserve"> </w:t>
      </w:r>
      <w:r>
        <w:t xml:space="preserve">charging structure for complaints lodged with the EDR body </w:t>
      </w:r>
      <w:r w:rsidR="00B02A52">
        <w:t xml:space="preserve">be structured to encourage </w:t>
      </w:r>
      <w:r>
        <w:t>provider</w:t>
      </w:r>
      <w:r w:rsidR="00B02A52">
        <w:t>s</w:t>
      </w:r>
      <w:r>
        <w:t xml:space="preserve"> to exhaust all practical steps to directly resolve the complaint with the consumer</w:t>
      </w:r>
      <w:r w:rsidR="00B02A52">
        <w:t xml:space="preserve"> before referring to the EDR</w:t>
      </w:r>
      <w:r w:rsidR="00276CE3">
        <w:t xml:space="preserve"> body</w:t>
      </w:r>
      <w:r>
        <w:t>?</w:t>
      </w:r>
      <w:r w:rsidR="00B02A52">
        <w:t xml:space="preserve"> How can this be achieved?</w:t>
      </w:r>
    </w:p>
    <w:p w14:paraId="515146F8" w14:textId="77777777" w:rsidR="00B20478" w:rsidRDefault="00B20478" w:rsidP="00503BC9">
      <w:pPr>
        <w:pStyle w:val="ListParagraph"/>
        <w:ind w:left="1134" w:hanging="567"/>
      </w:pPr>
      <w:r>
        <w:t xml:space="preserve">What process should be followed before a consumer lodges a complaint with the EDR body? </w:t>
      </w:r>
    </w:p>
    <w:p w14:paraId="361C7FDF" w14:textId="77777777" w:rsidR="00B20478" w:rsidRDefault="00B20478" w:rsidP="00503BC9">
      <w:pPr>
        <w:pStyle w:val="ListParagraph"/>
        <w:ind w:left="1134" w:hanging="567"/>
      </w:pPr>
      <w:r>
        <w:t>What process should the EDR body follow in the event it receives a complaint from a consumer where the consumer has not followed the provider’s complaint handling procedures?</w:t>
      </w:r>
    </w:p>
    <w:p w14:paraId="7E625770" w14:textId="77777777" w:rsidR="00B20478" w:rsidRDefault="00B20478" w:rsidP="00503BC9">
      <w:pPr>
        <w:pStyle w:val="ListParagraph"/>
        <w:ind w:left="1134" w:hanging="567"/>
      </w:pPr>
      <w:r>
        <w:t xml:space="preserve">What process should the EDR body follow in the event it receives a complaint from a consumer where the provider has not followed its own complaint handling procedures? </w:t>
      </w:r>
    </w:p>
    <w:p w14:paraId="5A9C826B" w14:textId="77777777" w:rsidR="00643A1F" w:rsidRDefault="00643A1F" w:rsidP="00643A1F">
      <w:pPr>
        <w:pStyle w:val="Tickedboxbulletpoint"/>
        <w:numPr>
          <w:ilvl w:val="0"/>
          <w:numId w:val="0"/>
        </w:numPr>
        <w:tabs>
          <w:tab w:val="clear" w:pos="567"/>
        </w:tabs>
        <w:ind w:left="567"/>
      </w:pPr>
    </w:p>
    <w:p w14:paraId="5B8C6BA4" w14:textId="7FE05948" w:rsidR="005353C7" w:rsidRDefault="005353C7" w:rsidP="00503BC9">
      <w:pPr>
        <w:pStyle w:val="Tickedboxbulletpoint"/>
        <w:numPr>
          <w:ilvl w:val="0"/>
          <w:numId w:val="7"/>
        </w:numPr>
        <w:tabs>
          <w:tab w:val="clear" w:pos="567"/>
        </w:tabs>
        <w:ind w:left="567" w:hanging="567"/>
      </w:pPr>
      <w:r>
        <w:t>3. Responsibility for collection of data relating to industry performance and complaints should be transferred to the ACMA. The ACMA will publish reports detailing analysis of this data</w:t>
      </w:r>
      <w:r w:rsidR="00850B00">
        <w:t>, as well as including complaints data in its annual communications report</w:t>
      </w:r>
      <w:r>
        <w:t>.</w:t>
      </w:r>
    </w:p>
    <w:p w14:paraId="68EB81FA" w14:textId="2509F32D" w:rsidR="0081315F" w:rsidRDefault="0081315F" w:rsidP="00E5754C">
      <w:pPr>
        <w:pStyle w:val="Bulletlevel1"/>
        <w:tabs>
          <w:tab w:val="clear" w:pos="567"/>
          <w:tab w:val="left" w:pos="1134"/>
        </w:tabs>
        <w:ind w:left="1134"/>
      </w:pPr>
      <w:r>
        <w:lastRenderedPageBreak/>
        <w:t xml:space="preserve">The ACMA will collect complaint and other relevant data from providers and the </w:t>
      </w:r>
      <w:r w:rsidR="00850B00">
        <w:t xml:space="preserve">EDR body </w:t>
      </w:r>
      <w:r>
        <w:t>in accordance with the propose</w:t>
      </w:r>
      <w:r w:rsidR="00850B00">
        <w:t>d</w:t>
      </w:r>
      <w:r>
        <w:t xml:space="preserve"> record keeping rules.</w:t>
      </w:r>
    </w:p>
    <w:p w14:paraId="2DE65081" w14:textId="0EE8A070" w:rsidR="005353C7" w:rsidRDefault="004014B1" w:rsidP="00E5754C">
      <w:pPr>
        <w:pStyle w:val="Bulletlevel1"/>
        <w:tabs>
          <w:tab w:val="clear" w:pos="567"/>
          <w:tab w:val="left" w:pos="1134"/>
        </w:tabs>
        <w:ind w:left="1134"/>
      </w:pPr>
      <w:r>
        <w:t xml:space="preserve">As the </w:t>
      </w:r>
      <w:r w:rsidR="00EB55CC">
        <w:t>i</w:t>
      </w:r>
      <w:r w:rsidR="005353C7">
        <w:t>ndependent</w:t>
      </w:r>
      <w:r w:rsidR="00EB55CC">
        <w:t xml:space="preserve"> </w:t>
      </w:r>
      <w:r w:rsidR="00850B00">
        <w:t>EDR</w:t>
      </w:r>
      <w:r w:rsidR="00EB55CC">
        <w:t xml:space="preserve"> b</w:t>
      </w:r>
      <w:r w:rsidR="005353C7">
        <w:t xml:space="preserve">ody’s focus </w:t>
      </w:r>
      <w:r w:rsidR="00F210EA">
        <w:t xml:space="preserve">will be </w:t>
      </w:r>
      <w:r w:rsidR="005353C7">
        <w:t>on resolving disputes between customers and their providers</w:t>
      </w:r>
      <w:r>
        <w:t>, the d</w:t>
      </w:r>
      <w:r w:rsidR="005353C7">
        <w:t xml:space="preserve">ata obtained as a by-product of this function would be </w:t>
      </w:r>
      <w:r w:rsidR="007178DB">
        <w:t xml:space="preserve">regularly </w:t>
      </w:r>
      <w:r w:rsidR="005353C7">
        <w:t>provided to the ACMA</w:t>
      </w:r>
      <w:r w:rsidR="00927246">
        <w:t xml:space="preserve"> for analysis and reporting</w:t>
      </w:r>
      <w:r w:rsidR="005353C7">
        <w:t>.</w:t>
      </w:r>
    </w:p>
    <w:p w14:paraId="77AB21ED" w14:textId="79F0CACA" w:rsidR="005353C7" w:rsidRDefault="007F3B74" w:rsidP="00E5754C">
      <w:pPr>
        <w:pStyle w:val="Bulletlevel1"/>
        <w:tabs>
          <w:tab w:val="clear" w:pos="567"/>
          <w:tab w:val="left" w:pos="1134"/>
        </w:tabs>
        <w:ind w:left="1134"/>
      </w:pPr>
      <w:r>
        <w:t xml:space="preserve">The ACMA, as the </w:t>
      </w:r>
      <w:r w:rsidR="00850B00">
        <w:t xml:space="preserve">communications </w:t>
      </w:r>
      <w:r>
        <w:t xml:space="preserve">sector regulator, has the power to enforce industry compliance with </w:t>
      </w:r>
      <w:r w:rsidR="00850B00">
        <w:t xml:space="preserve">the </w:t>
      </w:r>
      <w:r w:rsidR="006129D6">
        <w:t>Complaints-H</w:t>
      </w:r>
      <w:r w:rsidR="007178DB">
        <w:t xml:space="preserve">andling </w:t>
      </w:r>
      <w:r w:rsidR="006129D6">
        <w:t>S</w:t>
      </w:r>
      <w:r w:rsidR="007178DB">
        <w:t xml:space="preserve">tandard and associated </w:t>
      </w:r>
      <w:r>
        <w:t xml:space="preserve">Record Keeping Rules. </w:t>
      </w:r>
      <w:r w:rsidR="005353C7">
        <w:t>Th</w:t>
      </w:r>
      <w:r w:rsidR="004026C2">
        <w:t xml:space="preserve">rough the data collected </w:t>
      </w:r>
      <w:r>
        <w:t xml:space="preserve">directly from industry </w:t>
      </w:r>
      <w:r w:rsidR="004026C2">
        <w:t>via</w:t>
      </w:r>
      <w:r w:rsidR="005353C7">
        <w:t xml:space="preserve"> </w:t>
      </w:r>
      <w:r>
        <w:t xml:space="preserve">these new rules, as well data </w:t>
      </w:r>
      <w:r w:rsidR="007178DB">
        <w:t xml:space="preserve">and advice </w:t>
      </w:r>
      <w:r>
        <w:t xml:space="preserve">provided to it by the </w:t>
      </w:r>
      <w:r w:rsidR="00850B00">
        <w:t>EDR b</w:t>
      </w:r>
      <w:r>
        <w:t>ody</w:t>
      </w:r>
      <w:r w:rsidR="00850B00">
        <w:t>,</w:t>
      </w:r>
      <w:r w:rsidR="005353C7">
        <w:t xml:space="preserve"> </w:t>
      </w:r>
      <w:r w:rsidR="004026C2">
        <w:t xml:space="preserve">the </w:t>
      </w:r>
      <w:r w:rsidR="005353C7">
        <w:t xml:space="preserve">ACMA will </w:t>
      </w:r>
      <w:r w:rsidR="004026C2">
        <w:t>be able to assess</w:t>
      </w:r>
      <w:r w:rsidR="005353C7">
        <w:t xml:space="preserve"> the effectiveness of service providers’ </w:t>
      </w:r>
      <w:r w:rsidR="004026C2">
        <w:t>complaints-handling</w:t>
      </w:r>
      <w:r w:rsidR="005353C7">
        <w:t xml:space="preserve"> processes </w:t>
      </w:r>
      <w:r>
        <w:t xml:space="preserve">and </w:t>
      </w:r>
      <w:r w:rsidR="007178DB">
        <w:t>the overall regulatory settings</w:t>
      </w:r>
      <w:r w:rsidR="00927246">
        <w:t>.</w:t>
      </w:r>
      <w:r w:rsidR="005353C7">
        <w:t xml:space="preserve"> </w:t>
      </w:r>
    </w:p>
    <w:p w14:paraId="1B40D657" w14:textId="25A094B5" w:rsidR="00927246" w:rsidRDefault="007F3B74" w:rsidP="00E5754C">
      <w:pPr>
        <w:pStyle w:val="Bulletlevel1"/>
        <w:tabs>
          <w:tab w:val="clear" w:pos="567"/>
          <w:tab w:val="left" w:pos="1134"/>
        </w:tabs>
        <w:ind w:left="1134"/>
      </w:pPr>
      <w:r>
        <w:t>C</w:t>
      </w:r>
      <w:r w:rsidRPr="007F3B74">
        <w:t>o</w:t>
      </w:r>
      <w:r>
        <w:t>mplaints data sh</w:t>
      </w:r>
      <w:r w:rsidRPr="007F3B74">
        <w:t>ould be</w:t>
      </w:r>
      <w:r w:rsidR="00927246" w:rsidRPr="007F3B74">
        <w:t xml:space="preserve"> collected and reported in a way that helps industry participants to appropriately focus their business improvement and consumer experience strategies. </w:t>
      </w:r>
      <w:r>
        <w:t>The data collected will also form an important evidence base for the ACMA when considering actions to improve industry performance and the customer experience.</w:t>
      </w:r>
    </w:p>
    <w:p w14:paraId="0C2EBE7E" w14:textId="77777777" w:rsidR="00E5754C" w:rsidRDefault="00E5754C" w:rsidP="001975B5">
      <w:pPr>
        <w:pStyle w:val="Heading3"/>
        <w:pBdr>
          <w:top w:val="single" w:sz="4" w:space="1" w:color="auto"/>
          <w:left w:val="single" w:sz="4" w:space="1" w:color="auto"/>
          <w:bottom w:val="single" w:sz="4" w:space="1" w:color="auto"/>
          <w:right w:val="single" w:sz="4" w:space="1" w:color="auto"/>
        </w:pBdr>
        <w:ind w:left="567"/>
      </w:pPr>
      <w:bookmarkStart w:id="81" w:name="_Toc517104244"/>
      <w:bookmarkStart w:id="82" w:name="_Toc517173825"/>
      <w:bookmarkStart w:id="83" w:name="_Toc518483551"/>
      <w:r>
        <w:t>These proposals are based on the following principle:</w:t>
      </w:r>
      <w:bookmarkEnd w:id="81"/>
      <w:bookmarkEnd w:id="82"/>
      <w:bookmarkEnd w:id="83"/>
    </w:p>
    <w:p w14:paraId="784E9E51" w14:textId="77777777" w:rsidR="00E5754C" w:rsidRDefault="00E5754C" w:rsidP="001975B5">
      <w:pPr>
        <w:pStyle w:val="Heading4"/>
        <w:pBdr>
          <w:top w:val="single" w:sz="4" w:space="1" w:color="auto"/>
          <w:left w:val="single" w:sz="4" w:space="1" w:color="auto"/>
          <w:bottom w:val="single" w:sz="4" w:space="1" w:color="auto"/>
          <w:right w:val="single" w:sz="4" w:space="1" w:color="auto"/>
        </w:pBdr>
        <w:ind w:left="567"/>
      </w:pPr>
      <w:bookmarkStart w:id="84" w:name="_Toc517104245"/>
      <w:bookmarkStart w:id="85" w:name="_Toc517173826"/>
      <w:bookmarkStart w:id="86" w:name="_Toc518483552"/>
      <w:r w:rsidRPr="007F3B74">
        <w:t xml:space="preserve">Principle 6: </w:t>
      </w:r>
      <w:r>
        <w:t>Complaints data collection, analysis and reporting should drive improved outcomes</w:t>
      </w:r>
      <w:bookmarkEnd w:id="84"/>
      <w:bookmarkEnd w:id="85"/>
      <w:bookmarkEnd w:id="86"/>
    </w:p>
    <w:p w14:paraId="7B1C929E" w14:textId="2B0C37D1" w:rsidR="00E5754C" w:rsidRPr="007F3B74" w:rsidRDefault="00E5754C" w:rsidP="001975B5">
      <w:pPr>
        <w:keepNext/>
        <w:keepLines/>
        <w:pBdr>
          <w:top w:val="single" w:sz="4" w:space="1" w:color="auto"/>
          <w:left w:val="single" w:sz="4" w:space="1" w:color="auto"/>
          <w:bottom w:val="single" w:sz="4" w:space="1" w:color="auto"/>
          <w:right w:val="single" w:sz="4" w:space="1" w:color="auto"/>
        </w:pBdr>
        <w:ind w:left="567"/>
      </w:pPr>
      <w:r>
        <w:t xml:space="preserve">Collection, </w:t>
      </w:r>
      <w:r w:rsidRPr="007F3B74">
        <w:t xml:space="preserve">analysis </w:t>
      </w:r>
      <w:r>
        <w:t xml:space="preserve">and reporting </w:t>
      </w:r>
      <w:r w:rsidRPr="007F3B74">
        <w:t>of complaints data should be able to pinpoint where consumer safeguards are not working.</w:t>
      </w:r>
      <w:r>
        <w:t xml:space="preserve"> This </w:t>
      </w:r>
      <w:r w:rsidRPr="007F3B74">
        <w:t xml:space="preserve">should feed into improvements in complaint handing processes, drive better industry performance, and better allow industry and government </w:t>
      </w:r>
      <w:r>
        <w:t xml:space="preserve">to </w:t>
      </w:r>
      <w:r w:rsidRPr="007F3B74">
        <w:t xml:space="preserve">understand and </w:t>
      </w:r>
      <w:r>
        <w:t xml:space="preserve">resolve </w:t>
      </w:r>
      <w:r w:rsidRPr="007F3B74">
        <w:t>systemic issues.</w:t>
      </w:r>
    </w:p>
    <w:p w14:paraId="3ACB3E78" w14:textId="15FBFC1D" w:rsidR="00E5754C" w:rsidRDefault="00E5754C" w:rsidP="001975B5">
      <w:pPr>
        <w:keepLines/>
        <w:pBdr>
          <w:top w:val="single" w:sz="4" w:space="1" w:color="auto"/>
          <w:left w:val="single" w:sz="4" w:space="1" w:color="auto"/>
          <w:bottom w:val="single" w:sz="4" w:space="1" w:color="auto"/>
          <w:right w:val="single" w:sz="4" w:space="1" w:color="auto"/>
        </w:pBdr>
        <w:ind w:left="567"/>
      </w:pPr>
      <w:r w:rsidRPr="007F3B74">
        <w:t xml:space="preserve">Reporting of complaints data should </w:t>
      </w:r>
      <w:r>
        <w:t xml:space="preserve">also </w:t>
      </w:r>
      <w:r w:rsidRPr="007F3B74">
        <w:t>be properly contextualised and done in a way that is robust, consistent, and not open to misinterpretation.</w:t>
      </w:r>
      <w:r>
        <w:t xml:space="preserve"> The ACMA’s public reporting of this data will provide consumers and industry stakeholders with visibility of this valuable information.</w:t>
      </w:r>
    </w:p>
    <w:p w14:paraId="785201B3" w14:textId="3D935C52" w:rsidR="00B25E0B" w:rsidRPr="00E5754C" w:rsidRDefault="00B20478" w:rsidP="001975B5">
      <w:pPr>
        <w:pStyle w:val="Heading3"/>
        <w:ind w:left="567"/>
      </w:pPr>
      <w:bookmarkStart w:id="87" w:name="_Toc517104246"/>
      <w:bookmarkStart w:id="88" w:name="_Toc517173827"/>
      <w:bookmarkStart w:id="89" w:name="_Toc513447759"/>
      <w:bookmarkStart w:id="90" w:name="_Toc513446378"/>
      <w:bookmarkStart w:id="91" w:name="_Toc513445580"/>
      <w:bookmarkStart w:id="92" w:name="_Toc518483553"/>
      <w:r w:rsidRPr="00E5754C">
        <w:t>Issues for comment</w:t>
      </w:r>
      <w:bookmarkEnd w:id="87"/>
      <w:bookmarkEnd w:id="88"/>
      <w:bookmarkEnd w:id="92"/>
    </w:p>
    <w:p w14:paraId="1C8DC08C" w14:textId="4EB6FA1B" w:rsidR="00457AB3" w:rsidRDefault="00457AB3" w:rsidP="00503BC9">
      <w:pPr>
        <w:pStyle w:val="ListParagraph"/>
        <w:numPr>
          <w:ilvl w:val="0"/>
          <w:numId w:val="9"/>
        </w:numPr>
        <w:ind w:left="1134" w:hanging="567"/>
      </w:pPr>
      <w:r>
        <w:t>How often should the EDR body provide complaints data to the ACMA for analysis and reporting (e.g. monthly, quarterly)?</w:t>
      </w:r>
    </w:p>
    <w:p w14:paraId="4EB5A3C3" w14:textId="65C7603B" w:rsidR="00B20478" w:rsidRDefault="00B20478" w:rsidP="00503BC9">
      <w:pPr>
        <w:pStyle w:val="ListParagraph"/>
        <w:ind w:left="1134" w:hanging="567"/>
      </w:pPr>
      <w:r>
        <w:t xml:space="preserve">Are there any unforeseen issues or unintended consequences of the proposal for a centralised repository and reporting of industry complaint information? </w:t>
      </w:r>
    </w:p>
    <w:p w14:paraId="3E56C41F" w14:textId="2480229A" w:rsidR="00B20478" w:rsidRDefault="00B20478" w:rsidP="00503BC9">
      <w:pPr>
        <w:pStyle w:val="ListParagraph"/>
        <w:ind w:left="1134" w:hanging="567"/>
      </w:pPr>
      <w:r>
        <w:t xml:space="preserve">Do the proposals in this paper address the major issues of concern with the current arrangements regarding complaints and complaints handling? If not, what additional measures could be included? </w:t>
      </w:r>
    </w:p>
    <w:p w14:paraId="35AF770C" w14:textId="77777777" w:rsidR="00B20478" w:rsidRDefault="00B20478" w:rsidP="00503BC9">
      <w:pPr>
        <w:pStyle w:val="ListParagraph"/>
        <w:ind w:left="1134" w:hanging="567"/>
      </w:pPr>
      <w:r>
        <w:lastRenderedPageBreak/>
        <w:t xml:space="preserve">What considerations should be taken into account in implementing the proposals outlined in this paper, including practical timeframes for implementation? </w:t>
      </w:r>
    </w:p>
    <w:p w14:paraId="61C27D2B" w14:textId="4705CD2B" w:rsidR="005353C7" w:rsidRDefault="00B20478" w:rsidP="00503BC9">
      <w:pPr>
        <w:pStyle w:val="ListParagraph"/>
        <w:ind w:left="1134" w:hanging="567"/>
      </w:pPr>
      <w:r>
        <w:t>Are there any other issues that should be brought to the Government’s attention?</w:t>
      </w:r>
      <w:bookmarkEnd w:id="89"/>
      <w:bookmarkEnd w:id="90"/>
      <w:bookmarkEnd w:id="91"/>
    </w:p>
    <w:p w14:paraId="4683BD66" w14:textId="77777777" w:rsidR="00503BC9" w:rsidRDefault="00503BC9" w:rsidP="00503BC9"/>
    <w:p w14:paraId="6DC3708C" w14:textId="77777777" w:rsidR="00081DB0" w:rsidRDefault="00081DB0" w:rsidP="00E5754C">
      <w:pPr>
        <w:pStyle w:val="Heading2"/>
        <w:pageBreakBefore/>
      </w:pPr>
      <w:bookmarkStart w:id="93" w:name="_Toc513447760"/>
      <w:bookmarkStart w:id="94" w:name="_Toc515980291"/>
      <w:bookmarkStart w:id="95" w:name="_Toc517104247"/>
      <w:bookmarkStart w:id="96" w:name="_Toc518483554"/>
      <w:r>
        <w:lastRenderedPageBreak/>
        <w:t>Appendix A</w:t>
      </w:r>
      <w:bookmarkEnd w:id="93"/>
      <w:bookmarkEnd w:id="94"/>
      <w:bookmarkEnd w:id="95"/>
      <w:bookmarkEnd w:id="96"/>
    </w:p>
    <w:p w14:paraId="7DC1A391" w14:textId="691F4D98" w:rsidR="00CC1579" w:rsidRPr="00E42FDF" w:rsidRDefault="00E5754C" w:rsidP="00E5754C">
      <w:pPr>
        <w:pStyle w:val="Heading3"/>
      </w:pPr>
      <w:bookmarkStart w:id="97" w:name="_Toc517104248"/>
      <w:bookmarkStart w:id="98" w:name="_Toc517173829"/>
      <w:bookmarkStart w:id="99" w:name="_Toc518483555"/>
      <w:r>
        <w:t>Terms of Reference</w:t>
      </w:r>
      <w:bookmarkEnd w:id="97"/>
      <w:bookmarkEnd w:id="98"/>
      <w:bookmarkEnd w:id="99"/>
    </w:p>
    <w:p w14:paraId="08ACE37F" w14:textId="77777777" w:rsidR="00CC1579" w:rsidRPr="00E42FDF" w:rsidRDefault="00CC1579" w:rsidP="00E5754C">
      <w:pPr>
        <w:pStyle w:val="Heading4"/>
      </w:pPr>
      <w:bookmarkStart w:id="100" w:name="_Toc517104249"/>
      <w:bookmarkStart w:id="101" w:name="_Toc518483556"/>
      <w:r w:rsidRPr="00E42FDF">
        <w:t>Telecommunications Consumer Safeguards Review</w:t>
      </w:r>
      <w:bookmarkEnd w:id="100"/>
      <w:bookmarkEnd w:id="101"/>
    </w:p>
    <w:p w14:paraId="6BA02F50" w14:textId="09B481E1" w:rsidR="00CC1579" w:rsidRPr="00E42FDF" w:rsidRDefault="00CC1579" w:rsidP="00CC1579">
      <w:pPr>
        <w:spacing w:before="120"/>
        <w:rPr>
          <w:rFonts w:ascii="Calibri" w:eastAsia="PMingLiU" w:hAnsi="Calibri" w:cs="Mangal"/>
        </w:rPr>
      </w:pPr>
      <w:r w:rsidRPr="00E42FDF">
        <w:rPr>
          <w:rFonts w:ascii="Calibri" w:eastAsia="PMingLiU" w:hAnsi="Calibri" w:cs="Mangal"/>
        </w:rPr>
        <w:t>The Australian telecommunications industry has undergone extensive transformation over the last two decades, driven by new technologies, increased competition, rapidly changing consumer preferences and the rollout of the National Broadband Network (NBN). With the NBN due to be completed by 2020, it is timely to examine consumer safeguards and to ask what protections are required for consume</w:t>
      </w:r>
      <w:r w:rsidR="00E5754C">
        <w:rPr>
          <w:rFonts w:ascii="Calibri" w:eastAsia="PMingLiU" w:hAnsi="Calibri" w:cs="Mangal"/>
        </w:rPr>
        <w:t>rs within this new environment.</w:t>
      </w:r>
    </w:p>
    <w:p w14:paraId="7B440865" w14:textId="79DB0945" w:rsidR="00CC1579" w:rsidRPr="00E42FDF" w:rsidRDefault="00CC1579" w:rsidP="00CC1579">
      <w:pPr>
        <w:rPr>
          <w:rFonts w:ascii="Calibri" w:eastAsia="PMingLiU" w:hAnsi="Calibri" w:cs="Mangal"/>
        </w:rPr>
      </w:pPr>
      <w:r w:rsidRPr="00E42FDF">
        <w:rPr>
          <w:rFonts w:ascii="Calibri" w:eastAsia="PMingLiU" w:hAnsi="Calibri" w:cs="Mangal"/>
        </w:rPr>
        <w:t>The Consumer Safeguards Review (the ‘Review’) will develop the next generation of consumer safeguards. It will be conducted by the Department of Communications and the Arts in three stages and will report progressively to the Minister for Communications over the course of 2018. The full review will be completed by the end of 2018. The Review will make recommendations on the level of consumer safeguards required so that telecommunications (</w:t>
      </w:r>
      <w:r w:rsidR="00547429">
        <w:rPr>
          <w:rFonts w:ascii="Calibri" w:eastAsia="PMingLiU" w:hAnsi="Calibri" w:cs="Mangal"/>
        </w:rPr>
        <w:t>voice and broadband) customers:</w:t>
      </w:r>
    </w:p>
    <w:p w14:paraId="7C03001A" w14:textId="01BBF3AA" w:rsidR="00CC1579" w:rsidRPr="00E42FDF" w:rsidRDefault="00CC1579" w:rsidP="00503BC9">
      <w:pPr>
        <w:pStyle w:val="ListParagraph"/>
        <w:numPr>
          <w:ilvl w:val="0"/>
          <w:numId w:val="11"/>
        </w:numPr>
        <w:spacing w:after="0"/>
        <w:ind w:left="567" w:hanging="567"/>
      </w:pPr>
      <w:r w:rsidRPr="00F651E1">
        <w:rPr>
          <w:b/>
        </w:rPr>
        <w:t>Part A</w:t>
      </w:r>
      <w:r w:rsidR="00150826" w:rsidRPr="00F651E1">
        <w:rPr>
          <w:b/>
        </w:rPr>
        <w:t>—</w:t>
      </w:r>
      <w:r w:rsidRPr="00E42FDF">
        <w:t>Have access to effective consumer redress and complaint handling mechanisms, including:</w:t>
      </w:r>
    </w:p>
    <w:p w14:paraId="1A27D790" w14:textId="77777777" w:rsidR="00CC1579" w:rsidRPr="00E42FDF" w:rsidRDefault="00CC1579" w:rsidP="00503BC9">
      <w:pPr>
        <w:numPr>
          <w:ilvl w:val="1"/>
          <w:numId w:val="5"/>
        </w:numPr>
        <w:spacing w:after="0"/>
        <w:ind w:left="1134" w:hanging="567"/>
        <w:rPr>
          <w:rFonts w:ascii="Calibri" w:eastAsia="PMingLiU" w:hAnsi="Calibri" w:cs="Mangal"/>
        </w:rPr>
      </w:pPr>
      <w:r w:rsidRPr="00E42FDF">
        <w:rPr>
          <w:rFonts w:ascii="Calibri" w:eastAsia="PMingLiU" w:hAnsi="Calibri" w:cs="Mangal"/>
        </w:rPr>
        <w:t xml:space="preserve">The most appropriate complaints handling, resolution and redress model; and </w:t>
      </w:r>
    </w:p>
    <w:p w14:paraId="05857B5E" w14:textId="77777777" w:rsidR="00CC1579" w:rsidRPr="00CC1579" w:rsidRDefault="00CC1579" w:rsidP="00503BC9">
      <w:pPr>
        <w:numPr>
          <w:ilvl w:val="1"/>
          <w:numId w:val="5"/>
        </w:numPr>
        <w:spacing w:after="0"/>
        <w:ind w:left="1134" w:hanging="567"/>
        <w:rPr>
          <w:rFonts w:ascii="Calibri" w:eastAsia="PMingLiU" w:hAnsi="Calibri" w:cs="Mangal"/>
        </w:rPr>
      </w:pPr>
      <w:r w:rsidRPr="00E42FDF">
        <w:rPr>
          <w:rFonts w:ascii="Calibri" w:eastAsia="PMingLiU" w:hAnsi="Calibri" w:cs="Mangal"/>
        </w:rPr>
        <w:t>Whole of system complaints data collection, analysis and reporting that provides transparency and holds industry accountable for its performance.</w:t>
      </w:r>
    </w:p>
    <w:p w14:paraId="166BEB9E" w14:textId="0E8F73FE" w:rsidR="00CC1579" w:rsidRPr="00E42FDF" w:rsidRDefault="00CC1579" w:rsidP="00F651E1">
      <w:pPr>
        <w:pStyle w:val="ListParagraph"/>
        <w:spacing w:before="120" w:after="0"/>
        <w:ind w:left="567" w:hanging="567"/>
        <w:rPr>
          <w:b/>
        </w:rPr>
      </w:pPr>
      <w:r w:rsidRPr="00E42FDF">
        <w:rPr>
          <w:b/>
        </w:rPr>
        <w:t>Part B</w:t>
      </w:r>
      <w:r w:rsidR="00150826">
        <w:t>—</w:t>
      </w:r>
      <w:r w:rsidRPr="00E42FDF">
        <w:t>Have reliable telecommunications services that allow customers to carry out everyday activities, including:</w:t>
      </w:r>
    </w:p>
    <w:p w14:paraId="453ABC21" w14:textId="39FA0038" w:rsidR="00CC1579" w:rsidRDefault="00CC1579" w:rsidP="00503BC9">
      <w:pPr>
        <w:pStyle w:val="ListParagraph"/>
        <w:numPr>
          <w:ilvl w:val="2"/>
          <w:numId w:val="10"/>
        </w:numPr>
        <w:spacing w:after="0"/>
        <w:ind w:left="1134" w:hanging="567"/>
        <w:rPr>
          <w:rFonts w:ascii="Calibri" w:eastAsia="PMingLiU" w:hAnsi="Calibri" w:cs="Mangal"/>
        </w:rPr>
      </w:pPr>
      <w:r w:rsidRPr="00F651E1">
        <w:rPr>
          <w:rFonts w:ascii="Calibri" w:eastAsia="PMingLiU" w:hAnsi="Calibri" w:cs="Mangal"/>
        </w:rPr>
        <w:t>Effective co</w:t>
      </w:r>
      <w:r w:rsidR="00F651E1">
        <w:rPr>
          <w:rFonts w:ascii="Calibri" w:eastAsia="PMingLiU" w:hAnsi="Calibri" w:cs="Mangal"/>
        </w:rPr>
        <w:t>nsumer protections that ensure:</w:t>
      </w:r>
    </w:p>
    <w:p w14:paraId="3F5BA5F2" w14:textId="7A408CC5" w:rsidR="00F651E1" w:rsidRDefault="00F651E1" w:rsidP="00F651E1">
      <w:pPr>
        <w:spacing w:after="0"/>
        <w:ind w:left="1701" w:hanging="567"/>
        <w:rPr>
          <w:rFonts w:ascii="Calibri" w:eastAsia="PMingLiU" w:hAnsi="Calibri" w:cs="Mangal"/>
        </w:rPr>
      </w:pPr>
      <w:proofErr w:type="spellStart"/>
      <w:proofErr w:type="gramStart"/>
      <w:r>
        <w:t>i</w:t>
      </w:r>
      <w:proofErr w:type="spellEnd"/>
      <w:proofErr w:type="gramEnd"/>
      <w:r>
        <w:t>.</w:t>
      </w:r>
      <w:r>
        <w:tab/>
      </w:r>
      <w:r w:rsidRPr="00E42FDF">
        <w:rPr>
          <w:rFonts w:ascii="Calibri" w:eastAsia="PMingLiU" w:hAnsi="Calibri" w:cs="Mangal"/>
        </w:rPr>
        <w:t>reliability and performance of the underly</w:t>
      </w:r>
      <w:r>
        <w:rPr>
          <w:rFonts w:ascii="Calibri" w:eastAsia="PMingLiU" w:hAnsi="Calibri" w:cs="Mangal"/>
        </w:rPr>
        <w:t>ing telecommunications networks</w:t>
      </w:r>
    </w:p>
    <w:p w14:paraId="483A28EB" w14:textId="59B23A34" w:rsidR="00F651E1" w:rsidRDefault="00F651E1" w:rsidP="00F651E1">
      <w:pPr>
        <w:spacing w:after="0"/>
        <w:ind w:left="1701" w:hanging="567"/>
      </w:pPr>
      <w:r>
        <w:t>ii.</w:t>
      </w:r>
      <w:r>
        <w:tab/>
      </w:r>
      <w:proofErr w:type="gramStart"/>
      <w:r w:rsidRPr="00E42FDF">
        <w:rPr>
          <w:rFonts w:ascii="Calibri" w:eastAsia="PMingLiU" w:hAnsi="Calibri" w:cs="Mangal"/>
        </w:rPr>
        <w:t>connections</w:t>
      </w:r>
      <w:proofErr w:type="gramEnd"/>
      <w:r w:rsidRPr="00E42FDF">
        <w:rPr>
          <w:rFonts w:ascii="Calibri" w:eastAsia="PMingLiU" w:hAnsi="Calibri" w:cs="Mangal"/>
        </w:rPr>
        <w:t>, faults repairs and appointments are perform</w:t>
      </w:r>
      <w:r>
        <w:rPr>
          <w:rFonts w:ascii="Calibri" w:eastAsia="PMingLiU" w:hAnsi="Calibri" w:cs="Mangal"/>
        </w:rPr>
        <w:t>ed within reasonable timeframes.</w:t>
      </w:r>
    </w:p>
    <w:p w14:paraId="16F250EA" w14:textId="77777777" w:rsidR="00CC1579" w:rsidRPr="00F651E1" w:rsidRDefault="00CC1579" w:rsidP="00503BC9">
      <w:pPr>
        <w:pStyle w:val="ListParagraph"/>
        <w:numPr>
          <w:ilvl w:val="2"/>
          <w:numId w:val="10"/>
        </w:numPr>
        <w:spacing w:after="0"/>
        <w:ind w:left="1134" w:hanging="567"/>
        <w:rPr>
          <w:rFonts w:ascii="Calibri" w:eastAsia="PMingLiU" w:hAnsi="Calibri" w:cs="Mangal"/>
        </w:rPr>
      </w:pPr>
      <w:r w:rsidRPr="00F651E1">
        <w:rPr>
          <w:rFonts w:ascii="Calibri" w:eastAsia="PMingLiU" w:hAnsi="Calibri" w:cs="Mangal"/>
        </w:rPr>
        <w:t>The form these protections should take (e.g. service level standards) and the appropriateness of penalties, compensation or other recourse.</w:t>
      </w:r>
    </w:p>
    <w:p w14:paraId="2E356FF3" w14:textId="292E9842" w:rsidR="00CC1579" w:rsidRDefault="00CC1579" w:rsidP="00F651E1">
      <w:pPr>
        <w:pStyle w:val="ListParagraph"/>
        <w:spacing w:before="120" w:after="0"/>
        <w:ind w:left="567" w:hanging="567"/>
        <w:contextualSpacing w:val="0"/>
      </w:pPr>
      <w:r w:rsidRPr="00E42FDF">
        <w:rPr>
          <w:b/>
        </w:rPr>
        <w:t>Part C</w:t>
      </w:r>
      <w:r w:rsidR="00150826">
        <w:rPr>
          <w:b/>
        </w:rPr>
        <w:t>—</w:t>
      </w:r>
      <w:r w:rsidRPr="00E42FDF">
        <w:t>Are able to exercise informed choice in selecting services and are treated fairly, including with respect to sales and customer service; contracts, billing, credit and debt management; and switching providers.</w:t>
      </w:r>
    </w:p>
    <w:p w14:paraId="56891BFE" w14:textId="77777777" w:rsidR="00CC1579" w:rsidRPr="00E42FDF" w:rsidRDefault="00CC1579" w:rsidP="00F651E1">
      <w:pPr>
        <w:pStyle w:val="ListParagraph"/>
        <w:spacing w:before="120" w:after="0"/>
        <w:ind w:left="567" w:hanging="567"/>
        <w:contextualSpacing w:val="0"/>
      </w:pPr>
      <w:r w:rsidRPr="00E42FDF">
        <w:t>In formulating its advice and recommendations, the Review will have regard to:</w:t>
      </w:r>
    </w:p>
    <w:p w14:paraId="6503D150" w14:textId="5EF356C5" w:rsidR="00CC1579" w:rsidRPr="00E42FDF" w:rsidRDefault="00CC1579" w:rsidP="00503BC9">
      <w:pPr>
        <w:numPr>
          <w:ilvl w:val="0"/>
          <w:numId w:val="12"/>
        </w:numPr>
        <w:spacing w:after="0"/>
        <w:ind w:left="1134" w:hanging="567"/>
        <w:rPr>
          <w:rFonts w:ascii="Calibri" w:eastAsia="PMingLiU" w:hAnsi="Calibri" w:cs="Mangal"/>
        </w:rPr>
      </w:pPr>
      <w:r w:rsidRPr="00E42FDF">
        <w:rPr>
          <w:rFonts w:ascii="Calibri" w:eastAsia="PMingLiU" w:hAnsi="Calibri" w:cs="Mangal"/>
        </w:rPr>
        <w:t>the need for regulatory or insti</w:t>
      </w:r>
      <w:r w:rsidR="00547429">
        <w:rPr>
          <w:rFonts w:ascii="Calibri" w:eastAsia="PMingLiU" w:hAnsi="Calibri" w:cs="Mangal"/>
        </w:rPr>
        <w:t>tutional reform</w:t>
      </w:r>
    </w:p>
    <w:p w14:paraId="5E81D56F" w14:textId="20C1B591" w:rsidR="00CC1579" w:rsidRPr="00E42FDF" w:rsidRDefault="00CC1579" w:rsidP="00503BC9">
      <w:pPr>
        <w:numPr>
          <w:ilvl w:val="0"/>
          <w:numId w:val="12"/>
        </w:numPr>
        <w:spacing w:after="0"/>
        <w:ind w:left="1134" w:hanging="567"/>
        <w:rPr>
          <w:rFonts w:ascii="Calibri" w:eastAsia="PMingLiU" w:hAnsi="Calibri" w:cs="Mangal"/>
        </w:rPr>
      </w:pPr>
      <w:r w:rsidRPr="00E42FDF">
        <w:rPr>
          <w:rFonts w:ascii="Calibri" w:eastAsia="PMingLiU" w:hAnsi="Calibri" w:cs="Mangal"/>
        </w:rPr>
        <w:t>the types of service t</w:t>
      </w:r>
      <w:r w:rsidR="00547429">
        <w:rPr>
          <w:rFonts w:ascii="Calibri" w:eastAsia="PMingLiU" w:hAnsi="Calibri" w:cs="Mangal"/>
        </w:rPr>
        <w:t>o which safeguards should apply</w:t>
      </w:r>
    </w:p>
    <w:p w14:paraId="35E5E854" w14:textId="3D35E02C" w:rsidR="00CC1579" w:rsidRPr="00E42FDF" w:rsidRDefault="00CC1579" w:rsidP="00503BC9">
      <w:pPr>
        <w:numPr>
          <w:ilvl w:val="0"/>
          <w:numId w:val="12"/>
        </w:numPr>
        <w:spacing w:after="0"/>
        <w:ind w:left="1134" w:hanging="567"/>
        <w:rPr>
          <w:rFonts w:ascii="Calibri" w:eastAsia="PMingLiU" w:hAnsi="Calibri" w:cs="Mangal"/>
        </w:rPr>
      </w:pPr>
      <w:r w:rsidRPr="00E42FDF">
        <w:rPr>
          <w:rFonts w:ascii="Calibri" w:eastAsia="PMingLiU" w:hAnsi="Calibri" w:cs="Mangal"/>
        </w:rPr>
        <w:t>existing consumer protection frameworks (e.g. Customer Service Guarantee, the Telecommunications Consumer Protections Co</w:t>
      </w:r>
      <w:r w:rsidR="00547429">
        <w:rPr>
          <w:rFonts w:ascii="Calibri" w:eastAsia="PMingLiU" w:hAnsi="Calibri" w:cs="Mangal"/>
        </w:rPr>
        <w:t>de and Australian Consumer Law)</w:t>
      </w:r>
    </w:p>
    <w:p w14:paraId="500EB2A9" w14:textId="2A0AC84D" w:rsidR="00CC1579" w:rsidRPr="00E42FDF" w:rsidRDefault="00CC1579" w:rsidP="00503BC9">
      <w:pPr>
        <w:numPr>
          <w:ilvl w:val="0"/>
          <w:numId w:val="12"/>
        </w:numPr>
        <w:spacing w:after="0"/>
        <w:ind w:left="1134" w:hanging="567"/>
        <w:rPr>
          <w:rFonts w:ascii="Calibri" w:eastAsia="PMingLiU" w:hAnsi="Calibri" w:cs="Mangal"/>
        </w:rPr>
      </w:pPr>
      <w:r w:rsidRPr="00E42FDF">
        <w:rPr>
          <w:rFonts w:ascii="Calibri" w:eastAsia="PMingLiU" w:hAnsi="Calibri" w:cs="Mangal"/>
        </w:rPr>
        <w:lastRenderedPageBreak/>
        <w:t xml:space="preserve">the Telecommunications Reform Package (including provisions that enable the Minister to make standards for a Statutory Infrastructure Provider) </w:t>
      </w:r>
      <w:r w:rsidR="00547429">
        <w:rPr>
          <w:rFonts w:ascii="Calibri" w:eastAsia="PMingLiU" w:hAnsi="Calibri" w:cs="Mangal"/>
        </w:rPr>
        <w:t>currently before the Parliament</w:t>
      </w:r>
    </w:p>
    <w:p w14:paraId="5EE8D68F" w14:textId="7B641DFF" w:rsidR="00CC1579" w:rsidRPr="00E42FDF" w:rsidRDefault="00CC1579" w:rsidP="00503BC9">
      <w:pPr>
        <w:numPr>
          <w:ilvl w:val="0"/>
          <w:numId w:val="12"/>
        </w:numPr>
        <w:spacing w:after="0"/>
        <w:ind w:left="1134" w:hanging="567"/>
        <w:rPr>
          <w:rFonts w:ascii="Calibri" w:eastAsia="PMingLiU" w:hAnsi="Calibri" w:cs="Mangal"/>
        </w:rPr>
      </w:pPr>
      <w:r w:rsidRPr="00E42FDF">
        <w:rPr>
          <w:rFonts w:ascii="Calibri" w:eastAsia="PMingLiU" w:hAnsi="Calibri" w:cs="Mangal"/>
        </w:rPr>
        <w:t>whether interventions should be targeted at the wholesal</w:t>
      </w:r>
      <w:r w:rsidR="00547429">
        <w:rPr>
          <w:rFonts w:ascii="Calibri" w:eastAsia="PMingLiU" w:hAnsi="Calibri" w:cs="Mangal"/>
        </w:rPr>
        <w:t>e or retail parts of the market</w:t>
      </w:r>
    </w:p>
    <w:p w14:paraId="257C0BA2" w14:textId="6BB4D48D" w:rsidR="00CC1579" w:rsidRPr="00E42FDF" w:rsidRDefault="00CC1579" w:rsidP="00503BC9">
      <w:pPr>
        <w:numPr>
          <w:ilvl w:val="0"/>
          <w:numId w:val="12"/>
        </w:numPr>
        <w:spacing w:after="0"/>
        <w:ind w:left="1134" w:hanging="567"/>
        <w:rPr>
          <w:rFonts w:ascii="Calibri" w:eastAsia="PMingLiU" w:hAnsi="Calibri" w:cs="Mangal"/>
        </w:rPr>
      </w:pPr>
      <w:r w:rsidRPr="00E42FDF">
        <w:rPr>
          <w:rFonts w:ascii="Calibri" w:eastAsia="PMingLiU" w:hAnsi="Calibri" w:cs="Mangal"/>
        </w:rPr>
        <w:t>scope for innovation and for industry players to transparently differentiate their lev</w:t>
      </w:r>
      <w:r w:rsidR="00547429">
        <w:rPr>
          <w:rFonts w:ascii="Calibri" w:eastAsia="PMingLiU" w:hAnsi="Calibri" w:cs="Mangal"/>
        </w:rPr>
        <w:t>el and quality of services and</w:t>
      </w:r>
    </w:p>
    <w:p w14:paraId="63B404FC" w14:textId="77777777" w:rsidR="00547429" w:rsidRDefault="00CC1579" w:rsidP="00503BC9">
      <w:pPr>
        <w:numPr>
          <w:ilvl w:val="0"/>
          <w:numId w:val="12"/>
        </w:numPr>
        <w:spacing w:after="0"/>
        <w:ind w:left="1134" w:hanging="567"/>
        <w:rPr>
          <w:rFonts w:ascii="Calibri" w:eastAsia="PMingLiU" w:hAnsi="Calibri" w:cs="Mangal"/>
        </w:rPr>
      </w:pPr>
      <w:proofErr w:type="gramStart"/>
      <w:r w:rsidRPr="00E42FDF">
        <w:rPr>
          <w:rFonts w:ascii="Calibri" w:eastAsia="PMingLiU" w:hAnsi="Calibri" w:cs="Mangal"/>
        </w:rPr>
        <w:t>retail</w:t>
      </w:r>
      <w:proofErr w:type="gramEnd"/>
      <w:r w:rsidRPr="00E42FDF">
        <w:rPr>
          <w:rFonts w:ascii="Calibri" w:eastAsia="PMingLiU" w:hAnsi="Calibri" w:cs="Mangal"/>
        </w:rPr>
        <w:t xml:space="preserve"> and wholesale competition in the provision of services.</w:t>
      </w:r>
    </w:p>
    <w:p w14:paraId="22D71DF8" w14:textId="0C301AE8" w:rsidR="005D04F8" w:rsidRPr="005D04F8" w:rsidRDefault="00CC1579" w:rsidP="00547429">
      <w:r w:rsidRPr="00E42FDF">
        <w:t xml:space="preserve"> </w:t>
      </w:r>
      <w:r w:rsidR="005D04F8" w:rsidRPr="005D04F8">
        <w:br w:type="page"/>
      </w:r>
    </w:p>
    <w:p w14:paraId="31A57DF3" w14:textId="77777777" w:rsidR="005D04F8" w:rsidRDefault="005D04F8" w:rsidP="00547429">
      <w:pPr>
        <w:pStyle w:val="Heading2"/>
      </w:pPr>
      <w:bookmarkStart w:id="102" w:name="_Toc517104250"/>
      <w:bookmarkStart w:id="103" w:name="_Toc518483557"/>
      <w:r>
        <w:lastRenderedPageBreak/>
        <w:t>Appendix B</w:t>
      </w:r>
      <w:bookmarkEnd w:id="102"/>
      <w:bookmarkEnd w:id="103"/>
    </w:p>
    <w:p w14:paraId="65F4122E" w14:textId="372626A7" w:rsidR="001D5324" w:rsidRPr="00547429" w:rsidRDefault="005D04F8" w:rsidP="00547429">
      <w:pPr>
        <w:pStyle w:val="Heading3"/>
      </w:pPr>
      <w:bookmarkStart w:id="104" w:name="_Toc517104251"/>
      <w:bookmarkStart w:id="105" w:name="_Toc517173832"/>
      <w:bookmarkStart w:id="106" w:name="_Toc518483558"/>
      <w:r w:rsidRPr="00547429">
        <w:t xml:space="preserve">Overview of </w:t>
      </w:r>
      <w:r w:rsidR="00EB0B6D" w:rsidRPr="00547429">
        <w:t>Proposed Future Framework</w:t>
      </w:r>
      <w:bookmarkEnd w:id="104"/>
      <w:bookmarkEnd w:id="105"/>
      <w:bookmarkEnd w:id="106"/>
    </w:p>
    <w:p w14:paraId="7A8337C9" w14:textId="5E3D98EC" w:rsidR="00AE2AD2" w:rsidRDefault="008F21C8" w:rsidP="00547429">
      <w:r w:rsidRPr="008F21C8">
        <w:rPr>
          <w:noProof/>
          <w:lang w:eastAsia="en-AU"/>
        </w:rPr>
        <w:drawing>
          <wp:inline distT="0" distB="0" distL="0" distR="0" wp14:anchorId="64E37C64" wp14:editId="49081D61">
            <wp:extent cx="5851265" cy="6949440"/>
            <wp:effectExtent l="0" t="0" r="0" b="3810"/>
            <wp:docPr id="5" name="Picture 5" descr="Overview of the Proposed Future Framework&#10;&#10;&#10;This image is a flowchart of the proposed future complaints handling process.&#10;&#10;The 'Industry complaints handling processes' heading has a note along the Y axis that; Service providers' complaints handling will comply with ACMA approved complaints handling rules.&#10;&#10;The flowchart under this heading is detailed as follows:&#10;&#10;Customer lodges complaint to their service provider.&#10;Service provider tries to resolve complaint at first point of contact.&#10;Where the complaint is then resolved the process is complete.&#10;Where the complaint is not resolved the flowchart continues on to; Complaint is not resolved.&#10;Complaint is escalated to the service provider's internal dispute resolution team.&#10;Where the complaint is then resolved the process is complete.&#10;Where the complaint is not, or is unable to be resolved the flowchart  then moves under the heading of 'Independent external dispute resolution'.&#10;This flowchart continues as follows:&#10;Complaint is referred to External Dispute Resolution body (EDR).&#10;EDR conciliates the dispute in the first instance.&#10;EDR resolves complaint and where appropriate, compels provider/s to make remedy (financial or otherwise) to the customer.&#10;Complaint is resolved.&#10;&#10;At the bottom of the image is another flowchart regarding data colection, analysis and reporting.&#10;The heading is 'EDR and Industry provides complaint data to the ACMA' and the flowchart is as follows:&#10;ACMA will collate and analyse complaints data.&#10;The data collected forms an evidence base for the ACMA when considering actions to improve industry performance and the customer experience.&#10;The ACMA publicly reports on the data.&#10;Complaints data drives improved customer experience and results in a reduction in the overall number of customer complaints.&#10;" title="Overview of the Proposed Futur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eaven\AppData\Local\Microsoft\Windows\INetCache\Content.Outlook\6RZJ9L47\Consumer Safeguards Review_APPENDIX B.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53117" cy="6951640"/>
                    </a:xfrm>
                    <a:prstGeom prst="rect">
                      <a:avLst/>
                    </a:prstGeom>
                    <a:noFill/>
                    <a:ln>
                      <a:noFill/>
                    </a:ln>
                  </pic:spPr>
                </pic:pic>
              </a:graphicData>
            </a:graphic>
          </wp:inline>
        </w:drawing>
      </w:r>
    </w:p>
    <w:p w14:paraId="2B6D73DE" w14:textId="77777777" w:rsidR="00547429" w:rsidRPr="003A54AF" w:rsidRDefault="00547429" w:rsidP="00547429"/>
    <w:sectPr w:rsidR="00547429" w:rsidRPr="003A54AF" w:rsidSect="00503BC9">
      <w:type w:val="continuous"/>
      <w:pgSz w:w="11906" w:h="16838"/>
      <w:pgMar w:top="1276" w:right="1133" w:bottom="1418"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5A76C" w14:textId="77777777" w:rsidR="00681C94" w:rsidRDefault="00681C94" w:rsidP="002117E6">
      <w:pPr>
        <w:spacing w:after="0"/>
      </w:pPr>
      <w:r>
        <w:separator/>
      </w:r>
    </w:p>
  </w:endnote>
  <w:endnote w:type="continuationSeparator" w:id="0">
    <w:p w14:paraId="070C5623" w14:textId="77777777" w:rsidR="00681C94" w:rsidRDefault="00681C94" w:rsidP="002117E6">
      <w:pPr>
        <w:spacing w:after="0"/>
      </w:pPr>
      <w:r>
        <w:continuationSeparator/>
      </w:r>
    </w:p>
  </w:endnote>
  <w:endnote w:type="continuationNotice" w:id="1">
    <w:p w14:paraId="66E3CE4B" w14:textId="77777777" w:rsidR="00681C94" w:rsidRDefault="00681C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Medium">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A22AD" w14:textId="77777777" w:rsidR="00681C94" w:rsidRDefault="00681C94"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6DE86B4" wp14:editId="11E26D60">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07601775" w14:textId="77777777" w:rsidR="00681C94" w:rsidRPr="0037566A" w:rsidRDefault="00681C94" w:rsidP="00F651E1">
    <w:pPr>
      <w:pStyle w:val="Footer"/>
      <w:tabs>
        <w:tab w:val="clear" w:pos="4513"/>
        <w:tab w:val="clear" w:pos="9026"/>
        <w:tab w:val="center" w:pos="4536"/>
        <w:tab w:val="right" w:pos="9498"/>
      </w:tabs>
      <w:ind w:right="-613"/>
      <w:rPr>
        <w:sz w:val="18"/>
        <w:szCs w:val="18"/>
      </w:rPr>
    </w:pPr>
    <w:r w:rsidRPr="00150826">
      <w:rPr>
        <w:sz w:val="18"/>
        <w:szCs w:val="18"/>
      </w:rPr>
      <w:t>Consumer Safeguards Review—Part A—</w:t>
    </w:r>
    <w:r>
      <w:tab/>
    </w:r>
    <w:hyperlink r:id="rId2" w:history="1">
      <w:r w:rsidRPr="002725BE">
        <w:rPr>
          <w:rStyle w:val="Hyperlink"/>
          <w:sz w:val="18"/>
          <w:szCs w:val="18"/>
        </w:rPr>
        <w:t>www.communications.gov.au</w:t>
      </w:r>
    </w:hyperlink>
  </w:p>
  <w:p w14:paraId="0C7087D9" w14:textId="1C94D037" w:rsidR="00681C94" w:rsidRPr="002117E6" w:rsidRDefault="00681C94" w:rsidP="00F651E1">
    <w:pPr>
      <w:pStyle w:val="Footer"/>
      <w:tabs>
        <w:tab w:val="clear" w:pos="4513"/>
        <w:tab w:val="clear" w:pos="9026"/>
        <w:tab w:val="center" w:pos="4536"/>
        <w:tab w:val="right" w:pos="9498"/>
      </w:tabs>
      <w:ind w:right="-46"/>
      <w:rPr>
        <w:rStyle w:val="Hyperlink"/>
        <w:color w:val="auto"/>
        <w:sz w:val="18"/>
        <w:szCs w:val="18"/>
      </w:rPr>
    </w:pPr>
    <w:r w:rsidRPr="00150826">
      <w:rPr>
        <w:sz w:val="18"/>
        <w:szCs w:val="18"/>
      </w:rPr>
      <w:t>Redress and Complaints Handling—</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7267177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B74147">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B74147">
          <w:rPr>
            <w:bCs/>
            <w:noProof/>
            <w:sz w:val="18"/>
            <w:szCs w:val="18"/>
          </w:rPr>
          <w:t>14</w:t>
        </w:r>
        <w:r w:rsidRPr="0037566A">
          <w:rPr>
            <w:bCs/>
            <w:sz w:val="18"/>
            <w:szCs w:val="18"/>
          </w:rPr>
          <w:fldChar w:fldCharType="end"/>
        </w:r>
      </w:sdtContent>
    </w:sdt>
  </w:p>
  <w:p w14:paraId="541846FA" w14:textId="77777777" w:rsidR="00681C94" w:rsidRPr="002117E6" w:rsidRDefault="00681C94" w:rsidP="00F651E1">
    <w:pPr>
      <w:pStyle w:val="Footer"/>
      <w:tabs>
        <w:tab w:val="clear" w:pos="4513"/>
        <w:tab w:val="clear" w:pos="9026"/>
        <w:tab w:val="center" w:pos="4536"/>
        <w:tab w:val="right" w:pos="9498"/>
      </w:tabs>
      <w:ind w:right="-613"/>
      <w:rPr>
        <w:rStyle w:val="Hyperlink"/>
        <w:color w:val="auto"/>
        <w:sz w:val="18"/>
        <w:szCs w:val="18"/>
      </w:rPr>
    </w:pPr>
    <w:r w:rsidRPr="00150826">
      <w:rPr>
        <w:sz w:val="18"/>
        <w:szCs w:val="18"/>
      </w:rPr>
      <w:t>Consultation paper</w:t>
    </w: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799F3" w14:textId="77777777" w:rsidR="00681C94" w:rsidRDefault="00681C94"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68AC861" wp14:editId="0535F62D">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5F9CEA1" w14:textId="32E7401C" w:rsidR="00681C94" w:rsidRPr="0037566A" w:rsidRDefault="00681C94" w:rsidP="0094124E">
    <w:pPr>
      <w:pStyle w:val="Footer"/>
      <w:tabs>
        <w:tab w:val="clear" w:pos="4513"/>
        <w:tab w:val="clear" w:pos="9026"/>
        <w:tab w:val="center" w:pos="4536"/>
        <w:tab w:val="right" w:pos="9498"/>
      </w:tabs>
      <w:ind w:right="-613"/>
      <w:rPr>
        <w:sz w:val="18"/>
        <w:szCs w:val="18"/>
      </w:rPr>
    </w:pPr>
    <w:r w:rsidRPr="00150826">
      <w:rPr>
        <w:sz w:val="18"/>
        <w:szCs w:val="18"/>
      </w:rPr>
      <w:t>Consumer Safeguards Review—Part A—</w:t>
    </w:r>
    <w:r>
      <w:tab/>
    </w:r>
    <w:hyperlink r:id="rId2" w:history="1">
      <w:r w:rsidRPr="002725BE">
        <w:rPr>
          <w:rStyle w:val="Hyperlink"/>
          <w:sz w:val="18"/>
          <w:szCs w:val="18"/>
        </w:rPr>
        <w:t>www.communications.gov.au</w:t>
      </w:r>
    </w:hyperlink>
  </w:p>
  <w:p w14:paraId="2B78B7AD" w14:textId="1E4B16E5" w:rsidR="00681C94" w:rsidRPr="002117E6" w:rsidRDefault="00681C94" w:rsidP="009B7EF0">
    <w:pPr>
      <w:pStyle w:val="Footer"/>
      <w:tabs>
        <w:tab w:val="clear" w:pos="4513"/>
        <w:tab w:val="clear" w:pos="9026"/>
        <w:tab w:val="center" w:pos="4536"/>
        <w:tab w:val="right" w:pos="9498"/>
      </w:tabs>
      <w:ind w:right="-46"/>
      <w:rPr>
        <w:rStyle w:val="Hyperlink"/>
        <w:color w:val="auto"/>
        <w:sz w:val="18"/>
        <w:szCs w:val="18"/>
      </w:rPr>
    </w:pPr>
    <w:r w:rsidRPr="00150826">
      <w:rPr>
        <w:sz w:val="18"/>
        <w:szCs w:val="18"/>
      </w:rPr>
      <w:t>Redress and Complaints Handling—</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B74147">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B74147">
          <w:rPr>
            <w:bCs/>
            <w:noProof/>
            <w:sz w:val="18"/>
            <w:szCs w:val="18"/>
          </w:rPr>
          <w:t>14</w:t>
        </w:r>
        <w:r w:rsidRPr="0037566A">
          <w:rPr>
            <w:bCs/>
            <w:sz w:val="18"/>
            <w:szCs w:val="18"/>
          </w:rPr>
          <w:fldChar w:fldCharType="end"/>
        </w:r>
      </w:sdtContent>
    </w:sdt>
  </w:p>
  <w:p w14:paraId="512B42BC" w14:textId="7BB45BCD" w:rsidR="00681C94" w:rsidRPr="002117E6" w:rsidRDefault="00681C94" w:rsidP="0094124E">
    <w:pPr>
      <w:pStyle w:val="Footer"/>
      <w:tabs>
        <w:tab w:val="clear" w:pos="4513"/>
        <w:tab w:val="clear" w:pos="9026"/>
        <w:tab w:val="center" w:pos="4536"/>
        <w:tab w:val="right" w:pos="9498"/>
      </w:tabs>
      <w:ind w:right="-613"/>
      <w:rPr>
        <w:rStyle w:val="Hyperlink"/>
        <w:color w:val="auto"/>
        <w:sz w:val="18"/>
        <w:szCs w:val="18"/>
      </w:rPr>
    </w:pPr>
    <w:r w:rsidRPr="00150826">
      <w:rPr>
        <w:sz w:val="18"/>
        <w:szCs w:val="18"/>
      </w:rPr>
      <w:t>Consultation paper</w:t>
    </w: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BE3F4" w14:textId="77777777" w:rsidR="00681C94" w:rsidRDefault="00681C94" w:rsidP="002117E6">
      <w:pPr>
        <w:spacing w:after="0"/>
      </w:pPr>
      <w:r>
        <w:separator/>
      </w:r>
    </w:p>
  </w:footnote>
  <w:footnote w:type="continuationSeparator" w:id="0">
    <w:p w14:paraId="503ECFD5" w14:textId="77777777" w:rsidR="00681C94" w:rsidRDefault="00681C94" w:rsidP="002117E6">
      <w:pPr>
        <w:spacing w:after="0"/>
      </w:pPr>
      <w:r>
        <w:continuationSeparator/>
      </w:r>
    </w:p>
  </w:footnote>
  <w:footnote w:type="continuationNotice" w:id="1">
    <w:p w14:paraId="71C2C21D" w14:textId="77777777" w:rsidR="00681C94" w:rsidRDefault="00681C94">
      <w:pPr>
        <w:spacing w:after="0"/>
      </w:pPr>
    </w:p>
  </w:footnote>
  <w:footnote w:id="2">
    <w:p w14:paraId="0231D406" w14:textId="77777777" w:rsidR="00681C94" w:rsidRPr="00B05507" w:rsidRDefault="00681C94" w:rsidP="00B05507">
      <w:pPr>
        <w:pStyle w:val="FootnoteText"/>
      </w:pPr>
      <w:r>
        <w:rPr>
          <w:rStyle w:val="FootnoteReference"/>
        </w:rPr>
        <w:footnoteRef/>
      </w:r>
      <w:r>
        <w:t xml:space="preserve"> </w:t>
      </w:r>
      <w:r w:rsidRPr="00B05507">
        <w:rPr>
          <w:sz w:val="18"/>
          <w:szCs w:val="18"/>
        </w:rPr>
        <w:t xml:space="preserve">The </w:t>
      </w:r>
      <w:r w:rsidRPr="00B05507">
        <w:rPr>
          <w:i/>
          <w:sz w:val="18"/>
          <w:szCs w:val="18"/>
        </w:rPr>
        <w:t>Telecommunications (Customer Service Guarantee) Standard 2011</w:t>
      </w:r>
      <w:r w:rsidRPr="00B05507">
        <w:rPr>
          <w:sz w:val="18"/>
          <w:szCs w:val="18"/>
        </w:rPr>
        <w:t xml:space="preserve"> requires telephone companies to meet minimum performance requirements including in relation to connection and fault repair timeframes, and to provide customers with financial compensation when these are not met.</w:t>
      </w:r>
      <w:r>
        <w:rPr>
          <w:sz w:val="18"/>
          <w:szCs w:val="18"/>
        </w:rPr>
        <w:t xml:space="preserve"> The CSG Standard </w:t>
      </w:r>
      <w:r w:rsidRPr="00B05507">
        <w:rPr>
          <w:sz w:val="18"/>
          <w:szCs w:val="18"/>
        </w:rPr>
        <w:t>is available at www.legislation.gov.au/Series/F2011L0041</w:t>
      </w:r>
    </w:p>
  </w:footnote>
  <w:footnote w:id="3">
    <w:p w14:paraId="655F1801" w14:textId="12A9D6C0" w:rsidR="00B51B93" w:rsidRDefault="00B51B93">
      <w:pPr>
        <w:pStyle w:val="FootnoteText"/>
      </w:pPr>
      <w:r>
        <w:rPr>
          <w:rStyle w:val="FootnoteReference"/>
        </w:rPr>
        <w:footnoteRef/>
      </w:r>
      <w:r>
        <w:t xml:space="preserve"> </w:t>
      </w:r>
      <w:r w:rsidRPr="009345B1">
        <w:rPr>
          <w:sz w:val="18"/>
          <w:szCs w:val="18"/>
        </w:rPr>
        <w:t>www.consumerlaw.gov.au/consumer-affairs-forum/members/</w:t>
      </w:r>
    </w:p>
  </w:footnote>
  <w:footnote w:id="4">
    <w:p w14:paraId="4C9F9C15" w14:textId="77777777" w:rsidR="00681C94" w:rsidRPr="00D923DE" w:rsidRDefault="00681C94" w:rsidP="007B3526">
      <w:pPr>
        <w:pStyle w:val="FootnoteText"/>
        <w:rPr>
          <w:sz w:val="18"/>
          <w:szCs w:val="18"/>
        </w:rPr>
      </w:pPr>
      <w:r w:rsidRPr="00D923DE">
        <w:rPr>
          <w:rStyle w:val="FootnoteReference"/>
          <w:sz w:val="18"/>
          <w:szCs w:val="18"/>
        </w:rPr>
        <w:footnoteRef/>
      </w:r>
      <w:r w:rsidRPr="00D923DE">
        <w:rPr>
          <w:sz w:val="18"/>
          <w:szCs w:val="18"/>
        </w:rPr>
        <w:t xml:space="preserve"> www.tio.com.au/__data/assets/pdf_file/0003/254937/Telecommunications-Industry-Ombudsman-Six-Month-Update-Jul-to-Dec-2017.pdf</w:t>
      </w:r>
    </w:p>
  </w:footnote>
  <w:footnote w:id="5">
    <w:p w14:paraId="3347D955" w14:textId="1456F5F3" w:rsidR="00681C94" w:rsidRPr="00070BBF" w:rsidRDefault="00681C94">
      <w:pPr>
        <w:pStyle w:val="FootnoteText"/>
        <w:rPr>
          <w:sz w:val="18"/>
          <w:szCs w:val="18"/>
        </w:rPr>
      </w:pPr>
      <w:r w:rsidRPr="00070BBF">
        <w:rPr>
          <w:rStyle w:val="FootnoteReference"/>
          <w:sz w:val="18"/>
          <w:szCs w:val="18"/>
        </w:rPr>
        <w:footnoteRef/>
      </w:r>
      <w:r w:rsidRPr="00070BBF">
        <w:rPr>
          <w:sz w:val="18"/>
          <w:szCs w:val="18"/>
        </w:rPr>
        <w:t xml:space="preserve"> www.tdr.org.nz/news/2017-tdr-annual-report</w:t>
      </w:r>
    </w:p>
  </w:footnote>
  <w:footnote w:id="6">
    <w:p w14:paraId="7413D888" w14:textId="6158C539" w:rsidR="00681C94" w:rsidRDefault="00681C94">
      <w:pPr>
        <w:pStyle w:val="FootnoteText"/>
      </w:pPr>
      <w:r w:rsidRPr="00070BBF">
        <w:rPr>
          <w:rStyle w:val="FootnoteReference"/>
          <w:sz w:val="18"/>
          <w:szCs w:val="18"/>
        </w:rPr>
        <w:footnoteRef/>
      </w:r>
      <w:r w:rsidRPr="00070BBF">
        <w:rPr>
          <w:sz w:val="18"/>
          <w:szCs w:val="18"/>
        </w:rPr>
        <w:t xml:space="preserve"> www.ccts-cprst.ca/wp-content/uploads/2017/11/CCTS-Annual-Report-2016-2017.pdf</w:t>
      </w:r>
    </w:p>
  </w:footnote>
  <w:footnote w:id="7">
    <w:p w14:paraId="0B049342" w14:textId="54B62F23" w:rsidR="002D18D1" w:rsidRDefault="002D18D1">
      <w:pPr>
        <w:pStyle w:val="FootnoteText"/>
      </w:pPr>
      <w:r>
        <w:rPr>
          <w:rStyle w:val="FootnoteReference"/>
        </w:rPr>
        <w:footnoteRef/>
      </w:r>
      <w:r>
        <w:t xml:space="preserve"> </w:t>
      </w:r>
      <w:r w:rsidRPr="009F750E">
        <w:rPr>
          <w:sz w:val="18"/>
          <w:szCs w:val="18"/>
        </w:rPr>
        <w:t>www.tio.com.au/about-us/policies-and-procedures#pt5</w:t>
      </w:r>
    </w:p>
  </w:footnote>
  <w:footnote w:id="8">
    <w:p w14:paraId="2233AA6C" w14:textId="77777777" w:rsidR="00681C94" w:rsidRPr="00D923DE" w:rsidRDefault="00681C94" w:rsidP="00F03354">
      <w:pPr>
        <w:pStyle w:val="FootnoteText"/>
        <w:rPr>
          <w:sz w:val="18"/>
          <w:szCs w:val="18"/>
        </w:rPr>
      </w:pPr>
      <w:r w:rsidRPr="00D923DE">
        <w:rPr>
          <w:rStyle w:val="FootnoteReference"/>
          <w:sz w:val="18"/>
          <w:szCs w:val="18"/>
        </w:rPr>
        <w:footnoteRef/>
      </w:r>
      <w:r w:rsidRPr="00D923DE">
        <w:rPr>
          <w:sz w:val="18"/>
          <w:szCs w:val="18"/>
        </w:rPr>
        <w:t xml:space="preserve"> www.tio.com.au/__data/assets/pdf_file/0006/254922/Judi_Jones_CommsDay_Final.pdf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6B74B" w14:textId="016B49A5" w:rsidR="00681C94" w:rsidRPr="007A4B0F" w:rsidRDefault="00681C94" w:rsidP="001D7905">
    <w:pPr>
      <w:pStyle w:val="Header"/>
      <w:tabs>
        <w:tab w:val="clear" w:pos="9026"/>
        <w:tab w:val="right" w:pos="9333"/>
      </w:tabs>
      <w:ind w:right="-46"/>
      <w:rPr>
        <w:color w:val="155589"/>
      </w:rPr>
    </w:pPr>
    <w:r w:rsidRPr="007A4B0F">
      <w:rPr>
        <w:color w:val="155589"/>
      </w:rPr>
      <w:t>Department of Communications and the Arts</w:t>
    </w:r>
    <w:r w:rsidRPr="007A4B0F">
      <w:rPr>
        <w:color w:val="155589"/>
      </w:rPr>
      <w:tab/>
    </w:r>
    <w:r w:rsidRPr="007A4B0F">
      <w:rPr>
        <w:color w:val="155589"/>
      </w:rPr>
      <w:tab/>
    </w:r>
    <w:r>
      <w:rPr>
        <w:color w:val="155589"/>
      </w:rPr>
      <w:t>June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539543E"/>
    <w:multiLevelType w:val="hybridMultilevel"/>
    <w:tmpl w:val="3B5462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A77D92"/>
    <w:multiLevelType w:val="hybridMultilevel"/>
    <w:tmpl w:val="46E07BEE"/>
    <w:lvl w:ilvl="0" w:tplc="D3B092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F0F4896"/>
    <w:multiLevelType w:val="hybridMultilevel"/>
    <w:tmpl w:val="9208BF0A"/>
    <w:lvl w:ilvl="0" w:tplc="5524AB8C">
      <w:start w:val="1"/>
      <w:numFmt w:val="bullet"/>
      <w:pStyle w:val="Tickedboxbulletpoint"/>
      <w:lvlText w:val=""/>
      <w:lvlJc w:val="left"/>
      <w:pPr>
        <w:ind w:left="128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5" w15:restartNumberingAfterBreak="0">
    <w:nsid w:val="5A3D1A87"/>
    <w:multiLevelType w:val="hybridMultilevel"/>
    <w:tmpl w:val="A468C408"/>
    <w:lvl w:ilvl="0" w:tplc="D3B09254">
      <w:start w:val="1"/>
      <w:numFmt w:val="lowerLetter"/>
      <w:lvlText w:val="(%1)"/>
      <w:lvlJc w:val="left"/>
      <w:pPr>
        <w:ind w:left="1080" w:hanging="360"/>
      </w:pPr>
      <w:rPr>
        <w:rFonts w:hint="default"/>
      </w:rPr>
    </w:lvl>
    <w:lvl w:ilvl="1" w:tplc="0C090019">
      <w:start w:val="1"/>
      <w:numFmt w:val="lowerLetter"/>
      <w:lvlText w:val="%2."/>
      <w:lvlJc w:val="left"/>
      <w:pPr>
        <w:ind w:left="1080" w:hanging="360"/>
      </w:pPr>
    </w:lvl>
    <w:lvl w:ilvl="2" w:tplc="D3B09254">
      <w:start w:val="1"/>
      <w:numFmt w:val="lowerLetter"/>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D281818"/>
    <w:multiLevelType w:val="hybridMultilevel"/>
    <w:tmpl w:val="EAD69086"/>
    <w:lvl w:ilvl="0" w:tplc="D9EE0154">
      <w:start w:val="1"/>
      <w:numFmt w:val="decimal"/>
      <w:lvlText w:val="%1."/>
      <w:lvlJc w:val="left"/>
      <w:pPr>
        <w:ind w:left="360" w:hanging="360"/>
      </w:pPr>
      <w:rPr>
        <w:rFonts w:hint="default"/>
        <w:b w:val="0"/>
      </w:rPr>
    </w:lvl>
    <w:lvl w:ilvl="1" w:tplc="D3B0925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7467CB0"/>
    <w:multiLevelType w:val="hybridMultilevel"/>
    <w:tmpl w:val="75049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6"/>
  </w:num>
  <w:num w:numId="6">
    <w:abstractNumId w:val="8"/>
  </w:num>
  <w:num w:numId="7">
    <w:abstractNumId w:val="4"/>
  </w:num>
  <w:num w:numId="8">
    <w:abstractNumId w:val="0"/>
    <w:lvlOverride w:ilvl="0">
      <w:startOverride w:val="1"/>
    </w:lvlOverride>
  </w:num>
  <w:num w:numId="9">
    <w:abstractNumId w:val="0"/>
    <w:lvlOverride w:ilvl="0">
      <w:startOverride w:val="1"/>
    </w:lvlOverride>
  </w:num>
  <w:num w:numId="10">
    <w:abstractNumId w:val="5"/>
  </w:num>
  <w:num w:numId="11">
    <w:abstractNumId w:val="0"/>
    <w:lvlOverride w:ilvl="0">
      <w:startOverride w:val="1"/>
    </w:lvlOverride>
  </w:num>
  <w:num w:numId="12">
    <w:abstractNumId w:val="3"/>
  </w:num>
  <w:num w:numId="13">
    <w:abstractNumId w:val="0"/>
    <w:lvlOverride w:ilvl="0">
      <w:startOverride w:val="1"/>
    </w:lvlOverride>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B0"/>
    <w:rsid w:val="000000C6"/>
    <w:rsid w:val="00003EA4"/>
    <w:rsid w:val="00020187"/>
    <w:rsid w:val="0002715B"/>
    <w:rsid w:val="00031CED"/>
    <w:rsid w:val="00032113"/>
    <w:rsid w:val="0004226C"/>
    <w:rsid w:val="00052A3A"/>
    <w:rsid w:val="000546FC"/>
    <w:rsid w:val="00062D81"/>
    <w:rsid w:val="00063490"/>
    <w:rsid w:val="00064D81"/>
    <w:rsid w:val="00070BBF"/>
    <w:rsid w:val="00070D1E"/>
    <w:rsid w:val="000758AA"/>
    <w:rsid w:val="000807C0"/>
    <w:rsid w:val="00081DB0"/>
    <w:rsid w:val="00082821"/>
    <w:rsid w:val="00084B83"/>
    <w:rsid w:val="000A1086"/>
    <w:rsid w:val="000A30DD"/>
    <w:rsid w:val="000A34CB"/>
    <w:rsid w:val="000B7685"/>
    <w:rsid w:val="000B7753"/>
    <w:rsid w:val="000B7F2F"/>
    <w:rsid w:val="000D0BFA"/>
    <w:rsid w:val="000E57F1"/>
    <w:rsid w:val="000E5939"/>
    <w:rsid w:val="000F1435"/>
    <w:rsid w:val="00100101"/>
    <w:rsid w:val="0010041F"/>
    <w:rsid w:val="00102CCF"/>
    <w:rsid w:val="00111A64"/>
    <w:rsid w:val="00131CFA"/>
    <w:rsid w:val="001416BE"/>
    <w:rsid w:val="0014700D"/>
    <w:rsid w:val="001471EA"/>
    <w:rsid w:val="001472FC"/>
    <w:rsid w:val="00150826"/>
    <w:rsid w:val="00155FEB"/>
    <w:rsid w:val="00161FDE"/>
    <w:rsid w:val="001736CC"/>
    <w:rsid w:val="00174F4B"/>
    <w:rsid w:val="00180B0D"/>
    <w:rsid w:val="00183145"/>
    <w:rsid w:val="00183E5C"/>
    <w:rsid w:val="00184AF0"/>
    <w:rsid w:val="00185E9F"/>
    <w:rsid w:val="001863AB"/>
    <w:rsid w:val="001920D8"/>
    <w:rsid w:val="001968C0"/>
    <w:rsid w:val="0019701B"/>
    <w:rsid w:val="001975B5"/>
    <w:rsid w:val="001A15BD"/>
    <w:rsid w:val="001B4A6D"/>
    <w:rsid w:val="001C1EEC"/>
    <w:rsid w:val="001C208F"/>
    <w:rsid w:val="001D2299"/>
    <w:rsid w:val="001D469F"/>
    <w:rsid w:val="001D5324"/>
    <w:rsid w:val="001D7905"/>
    <w:rsid w:val="001F4C2C"/>
    <w:rsid w:val="00200E73"/>
    <w:rsid w:val="00201043"/>
    <w:rsid w:val="002117E6"/>
    <w:rsid w:val="00213381"/>
    <w:rsid w:val="00223897"/>
    <w:rsid w:val="00223917"/>
    <w:rsid w:val="00226C8F"/>
    <w:rsid w:val="0023514D"/>
    <w:rsid w:val="00245348"/>
    <w:rsid w:val="00247912"/>
    <w:rsid w:val="00253B4B"/>
    <w:rsid w:val="00260983"/>
    <w:rsid w:val="00265CC8"/>
    <w:rsid w:val="0027056E"/>
    <w:rsid w:val="00270574"/>
    <w:rsid w:val="00276CE3"/>
    <w:rsid w:val="00282A5A"/>
    <w:rsid w:val="0028381A"/>
    <w:rsid w:val="00290FEC"/>
    <w:rsid w:val="00293DD6"/>
    <w:rsid w:val="002A70C8"/>
    <w:rsid w:val="002B0821"/>
    <w:rsid w:val="002C73DA"/>
    <w:rsid w:val="002D18D1"/>
    <w:rsid w:val="002D58A2"/>
    <w:rsid w:val="002F3895"/>
    <w:rsid w:val="002F4D22"/>
    <w:rsid w:val="002F5FED"/>
    <w:rsid w:val="002F6077"/>
    <w:rsid w:val="002F7DC2"/>
    <w:rsid w:val="00302117"/>
    <w:rsid w:val="0030503D"/>
    <w:rsid w:val="00314BA8"/>
    <w:rsid w:val="0031589E"/>
    <w:rsid w:val="0032212B"/>
    <w:rsid w:val="00323605"/>
    <w:rsid w:val="00327F06"/>
    <w:rsid w:val="00332135"/>
    <w:rsid w:val="003333A5"/>
    <w:rsid w:val="00333942"/>
    <w:rsid w:val="00335334"/>
    <w:rsid w:val="00336089"/>
    <w:rsid w:val="00336DDD"/>
    <w:rsid w:val="00336EB8"/>
    <w:rsid w:val="003374A4"/>
    <w:rsid w:val="00344377"/>
    <w:rsid w:val="00370EE0"/>
    <w:rsid w:val="00373C77"/>
    <w:rsid w:val="00381364"/>
    <w:rsid w:val="00381590"/>
    <w:rsid w:val="0038272F"/>
    <w:rsid w:val="00386CB1"/>
    <w:rsid w:val="0039336F"/>
    <w:rsid w:val="00394155"/>
    <w:rsid w:val="00397624"/>
    <w:rsid w:val="003A445A"/>
    <w:rsid w:val="003A4E37"/>
    <w:rsid w:val="003A54AF"/>
    <w:rsid w:val="003A6DD4"/>
    <w:rsid w:val="003B5B1D"/>
    <w:rsid w:val="003C2A60"/>
    <w:rsid w:val="003C549F"/>
    <w:rsid w:val="003C6BC3"/>
    <w:rsid w:val="003D4E43"/>
    <w:rsid w:val="003D59E6"/>
    <w:rsid w:val="003E097F"/>
    <w:rsid w:val="003F3031"/>
    <w:rsid w:val="003F495D"/>
    <w:rsid w:val="00400E77"/>
    <w:rsid w:val="004014B1"/>
    <w:rsid w:val="004026C2"/>
    <w:rsid w:val="004044A6"/>
    <w:rsid w:val="00411146"/>
    <w:rsid w:val="004160CA"/>
    <w:rsid w:val="004232EF"/>
    <w:rsid w:val="00430829"/>
    <w:rsid w:val="00431B4C"/>
    <w:rsid w:val="00433A7D"/>
    <w:rsid w:val="00442936"/>
    <w:rsid w:val="004441F3"/>
    <w:rsid w:val="00447EFB"/>
    <w:rsid w:val="00450C51"/>
    <w:rsid w:val="00450D6E"/>
    <w:rsid w:val="00456E37"/>
    <w:rsid w:val="00457AB3"/>
    <w:rsid w:val="004707FB"/>
    <w:rsid w:val="004716DD"/>
    <w:rsid w:val="00483E38"/>
    <w:rsid w:val="00484ADF"/>
    <w:rsid w:val="004932AE"/>
    <w:rsid w:val="004A2D77"/>
    <w:rsid w:val="004A57A7"/>
    <w:rsid w:val="004A7641"/>
    <w:rsid w:val="004B5E3D"/>
    <w:rsid w:val="004C06FC"/>
    <w:rsid w:val="004C4D04"/>
    <w:rsid w:val="004D0806"/>
    <w:rsid w:val="004E58CA"/>
    <w:rsid w:val="004F208A"/>
    <w:rsid w:val="004F5B27"/>
    <w:rsid w:val="00503BC9"/>
    <w:rsid w:val="005156FA"/>
    <w:rsid w:val="00526FB2"/>
    <w:rsid w:val="005353C7"/>
    <w:rsid w:val="00535F71"/>
    <w:rsid w:val="00544465"/>
    <w:rsid w:val="00547429"/>
    <w:rsid w:val="00555BB2"/>
    <w:rsid w:val="00561190"/>
    <w:rsid w:val="005658F1"/>
    <w:rsid w:val="00565B47"/>
    <w:rsid w:val="00565B9E"/>
    <w:rsid w:val="00571AE1"/>
    <w:rsid w:val="00575A5A"/>
    <w:rsid w:val="00582E19"/>
    <w:rsid w:val="0058385F"/>
    <w:rsid w:val="005932D0"/>
    <w:rsid w:val="00595EBB"/>
    <w:rsid w:val="005970A6"/>
    <w:rsid w:val="00597F9B"/>
    <w:rsid w:val="005A1D35"/>
    <w:rsid w:val="005A33F5"/>
    <w:rsid w:val="005B0097"/>
    <w:rsid w:val="005B07C8"/>
    <w:rsid w:val="005B3412"/>
    <w:rsid w:val="005B5FF8"/>
    <w:rsid w:val="005D04F8"/>
    <w:rsid w:val="005D3E46"/>
    <w:rsid w:val="005D65BF"/>
    <w:rsid w:val="005E174C"/>
    <w:rsid w:val="005E19B7"/>
    <w:rsid w:val="005E338C"/>
    <w:rsid w:val="005F07B1"/>
    <w:rsid w:val="00600185"/>
    <w:rsid w:val="006053A7"/>
    <w:rsid w:val="00611AA5"/>
    <w:rsid w:val="006129D6"/>
    <w:rsid w:val="00613D9C"/>
    <w:rsid w:val="0061446D"/>
    <w:rsid w:val="00625397"/>
    <w:rsid w:val="00627566"/>
    <w:rsid w:val="006300FF"/>
    <w:rsid w:val="0063608C"/>
    <w:rsid w:val="00640795"/>
    <w:rsid w:val="0064138E"/>
    <w:rsid w:val="0064159E"/>
    <w:rsid w:val="00643A1F"/>
    <w:rsid w:val="00644955"/>
    <w:rsid w:val="006468A1"/>
    <w:rsid w:val="006519FF"/>
    <w:rsid w:val="00652FC2"/>
    <w:rsid w:val="00656C47"/>
    <w:rsid w:val="006638D0"/>
    <w:rsid w:val="006643AD"/>
    <w:rsid w:val="006647EE"/>
    <w:rsid w:val="00681C94"/>
    <w:rsid w:val="0069256D"/>
    <w:rsid w:val="00694914"/>
    <w:rsid w:val="006A2F0E"/>
    <w:rsid w:val="006A5C8C"/>
    <w:rsid w:val="006A6E7B"/>
    <w:rsid w:val="006A75FF"/>
    <w:rsid w:val="006B0A07"/>
    <w:rsid w:val="006C138E"/>
    <w:rsid w:val="006C34D3"/>
    <w:rsid w:val="006C6BA8"/>
    <w:rsid w:val="006D4F9B"/>
    <w:rsid w:val="006D62B6"/>
    <w:rsid w:val="006F06FD"/>
    <w:rsid w:val="00703F45"/>
    <w:rsid w:val="00705B86"/>
    <w:rsid w:val="007178DB"/>
    <w:rsid w:val="00726FFE"/>
    <w:rsid w:val="00751560"/>
    <w:rsid w:val="00753752"/>
    <w:rsid w:val="00753BB6"/>
    <w:rsid w:val="007557D2"/>
    <w:rsid w:val="00760620"/>
    <w:rsid w:val="0076184A"/>
    <w:rsid w:val="00764401"/>
    <w:rsid w:val="0076493A"/>
    <w:rsid w:val="00770DF2"/>
    <w:rsid w:val="00770E99"/>
    <w:rsid w:val="00774C14"/>
    <w:rsid w:val="00774EAC"/>
    <w:rsid w:val="0079558F"/>
    <w:rsid w:val="007A3234"/>
    <w:rsid w:val="007A4B0F"/>
    <w:rsid w:val="007A6A65"/>
    <w:rsid w:val="007B3526"/>
    <w:rsid w:val="007E390F"/>
    <w:rsid w:val="007E7EA2"/>
    <w:rsid w:val="007F02C4"/>
    <w:rsid w:val="007F3B74"/>
    <w:rsid w:val="007F6CF7"/>
    <w:rsid w:val="00807CC4"/>
    <w:rsid w:val="00807EC5"/>
    <w:rsid w:val="0081315F"/>
    <w:rsid w:val="008169A6"/>
    <w:rsid w:val="00832C48"/>
    <w:rsid w:val="00834DE8"/>
    <w:rsid w:val="008370C3"/>
    <w:rsid w:val="0084111F"/>
    <w:rsid w:val="008414AC"/>
    <w:rsid w:val="00842DED"/>
    <w:rsid w:val="00850B00"/>
    <w:rsid w:val="008646E6"/>
    <w:rsid w:val="00866475"/>
    <w:rsid w:val="0088188F"/>
    <w:rsid w:val="008877E3"/>
    <w:rsid w:val="0089040D"/>
    <w:rsid w:val="0089660C"/>
    <w:rsid w:val="00896688"/>
    <w:rsid w:val="00897E5F"/>
    <w:rsid w:val="008A018D"/>
    <w:rsid w:val="008A47C2"/>
    <w:rsid w:val="008A4B1F"/>
    <w:rsid w:val="008C1A06"/>
    <w:rsid w:val="008C3784"/>
    <w:rsid w:val="008D0CC3"/>
    <w:rsid w:val="008D4E53"/>
    <w:rsid w:val="008E0AF8"/>
    <w:rsid w:val="008E7330"/>
    <w:rsid w:val="008F0FB3"/>
    <w:rsid w:val="008F138D"/>
    <w:rsid w:val="008F21C8"/>
    <w:rsid w:val="008F50A5"/>
    <w:rsid w:val="00903159"/>
    <w:rsid w:val="00920533"/>
    <w:rsid w:val="00922BE4"/>
    <w:rsid w:val="00927246"/>
    <w:rsid w:val="00927283"/>
    <w:rsid w:val="009313D2"/>
    <w:rsid w:val="0093223A"/>
    <w:rsid w:val="00932E86"/>
    <w:rsid w:val="009345B1"/>
    <w:rsid w:val="0093746E"/>
    <w:rsid w:val="00937588"/>
    <w:rsid w:val="0094124E"/>
    <w:rsid w:val="00942588"/>
    <w:rsid w:val="00946943"/>
    <w:rsid w:val="009514BB"/>
    <w:rsid w:val="00953725"/>
    <w:rsid w:val="0097344F"/>
    <w:rsid w:val="0098655E"/>
    <w:rsid w:val="00986EF5"/>
    <w:rsid w:val="00991E79"/>
    <w:rsid w:val="009A6B08"/>
    <w:rsid w:val="009A75C2"/>
    <w:rsid w:val="009B43A4"/>
    <w:rsid w:val="009B7EF0"/>
    <w:rsid w:val="009C5704"/>
    <w:rsid w:val="009C785D"/>
    <w:rsid w:val="009D705B"/>
    <w:rsid w:val="009E12E4"/>
    <w:rsid w:val="009E3071"/>
    <w:rsid w:val="009E3459"/>
    <w:rsid w:val="009E4C67"/>
    <w:rsid w:val="009F0EA7"/>
    <w:rsid w:val="009F25A4"/>
    <w:rsid w:val="009F750E"/>
    <w:rsid w:val="00A03FD6"/>
    <w:rsid w:val="00A05F6B"/>
    <w:rsid w:val="00A07503"/>
    <w:rsid w:val="00A07808"/>
    <w:rsid w:val="00A10C8D"/>
    <w:rsid w:val="00A13BA8"/>
    <w:rsid w:val="00A22246"/>
    <w:rsid w:val="00A230AF"/>
    <w:rsid w:val="00A241FE"/>
    <w:rsid w:val="00A263F4"/>
    <w:rsid w:val="00A3003D"/>
    <w:rsid w:val="00A33E82"/>
    <w:rsid w:val="00A35CD0"/>
    <w:rsid w:val="00A370D5"/>
    <w:rsid w:val="00A377DC"/>
    <w:rsid w:val="00A47A03"/>
    <w:rsid w:val="00A51DFC"/>
    <w:rsid w:val="00A54027"/>
    <w:rsid w:val="00A55781"/>
    <w:rsid w:val="00A57D8B"/>
    <w:rsid w:val="00A606B1"/>
    <w:rsid w:val="00A63EC0"/>
    <w:rsid w:val="00A652E2"/>
    <w:rsid w:val="00A7324D"/>
    <w:rsid w:val="00A86960"/>
    <w:rsid w:val="00A9004F"/>
    <w:rsid w:val="00A9726B"/>
    <w:rsid w:val="00AA73C8"/>
    <w:rsid w:val="00AB4651"/>
    <w:rsid w:val="00AC172A"/>
    <w:rsid w:val="00AC7868"/>
    <w:rsid w:val="00AD063C"/>
    <w:rsid w:val="00AD1F3F"/>
    <w:rsid w:val="00AD2E2F"/>
    <w:rsid w:val="00AE03F4"/>
    <w:rsid w:val="00AE1F47"/>
    <w:rsid w:val="00AE222A"/>
    <w:rsid w:val="00AE273E"/>
    <w:rsid w:val="00AE2AD2"/>
    <w:rsid w:val="00AE4F02"/>
    <w:rsid w:val="00AE62CA"/>
    <w:rsid w:val="00AF4456"/>
    <w:rsid w:val="00AF47A5"/>
    <w:rsid w:val="00AF6A3B"/>
    <w:rsid w:val="00B02A52"/>
    <w:rsid w:val="00B03E82"/>
    <w:rsid w:val="00B049A4"/>
    <w:rsid w:val="00B05507"/>
    <w:rsid w:val="00B1045C"/>
    <w:rsid w:val="00B119B9"/>
    <w:rsid w:val="00B15753"/>
    <w:rsid w:val="00B20478"/>
    <w:rsid w:val="00B25E0B"/>
    <w:rsid w:val="00B35720"/>
    <w:rsid w:val="00B4131E"/>
    <w:rsid w:val="00B422F0"/>
    <w:rsid w:val="00B43C56"/>
    <w:rsid w:val="00B51B93"/>
    <w:rsid w:val="00B55747"/>
    <w:rsid w:val="00B617E2"/>
    <w:rsid w:val="00B62675"/>
    <w:rsid w:val="00B64AEB"/>
    <w:rsid w:val="00B74147"/>
    <w:rsid w:val="00B83DD8"/>
    <w:rsid w:val="00B84854"/>
    <w:rsid w:val="00B8678E"/>
    <w:rsid w:val="00BA0A5A"/>
    <w:rsid w:val="00BA5749"/>
    <w:rsid w:val="00BB0C0D"/>
    <w:rsid w:val="00BB4019"/>
    <w:rsid w:val="00BB40EA"/>
    <w:rsid w:val="00BB50A6"/>
    <w:rsid w:val="00BC054A"/>
    <w:rsid w:val="00BC329E"/>
    <w:rsid w:val="00BC7D72"/>
    <w:rsid w:val="00BD7F76"/>
    <w:rsid w:val="00BE148E"/>
    <w:rsid w:val="00BE2235"/>
    <w:rsid w:val="00BE2415"/>
    <w:rsid w:val="00BE550A"/>
    <w:rsid w:val="00BE7D3B"/>
    <w:rsid w:val="00BE7E66"/>
    <w:rsid w:val="00C03A17"/>
    <w:rsid w:val="00C04057"/>
    <w:rsid w:val="00C07762"/>
    <w:rsid w:val="00C15844"/>
    <w:rsid w:val="00C16794"/>
    <w:rsid w:val="00C16A50"/>
    <w:rsid w:val="00C17648"/>
    <w:rsid w:val="00C240E2"/>
    <w:rsid w:val="00C451EE"/>
    <w:rsid w:val="00C55F55"/>
    <w:rsid w:val="00C574CF"/>
    <w:rsid w:val="00C62B2A"/>
    <w:rsid w:val="00C67393"/>
    <w:rsid w:val="00C678C3"/>
    <w:rsid w:val="00C72878"/>
    <w:rsid w:val="00C84306"/>
    <w:rsid w:val="00C903AB"/>
    <w:rsid w:val="00C90A86"/>
    <w:rsid w:val="00C9241E"/>
    <w:rsid w:val="00CA4FCB"/>
    <w:rsid w:val="00CA5CF0"/>
    <w:rsid w:val="00CB1435"/>
    <w:rsid w:val="00CC1579"/>
    <w:rsid w:val="00CC3BD6"/>
    <w:rsid w:val="00CC6C87"/>
    <w:rsid w:val="00CC75CC"/>
    <w:rsid w:val="00CD160F"/>
    <w:rsid w:val="00CD3531"/>
    <w:rsid w:val="00CF01EC"/>
    <w:rsid w:val="00CF50C9"/>
    <w:rsid w:val="00D005EC"/>
    <w:rsid w:val="00D02C4F"/>
    <w:rsid w:val="00D03AE2"/>
    <w:rsid w:val="00D138B2"/>
    <w:rsid w:val="00D173EC"/>
    <w:rsid w:val="00D239C4"/>
    <w:rsid w:val="00D247AB"/>
    <w:rsid w:val="00D259D0"/>
    <w:rsid w:val="00D2727C"/>
    <w:rsid w:val="00D31B02"/>
    <w:rsid w:val="00D33D7F"/>
    <w:rsid w:val="00D376BB"/>
    <w:rsid w:val="00D479F7"/>
    <w:rsid w:val="00D53876"/>
    <w:rsid w:val="00D57F8B"/>
    <w:rsid w:val="00D63635"/>
    <w:rsid w:val="00D73460"/>
    <w:rsid w:val="00D81E53"/>
    <w:rsid w:val="00D84D2E"/>
    <w:rsid w:val="00D923DE"/>
    <w:rsid w:val="00D92957"/>
    <w:rsid w:val="00D96ECF"/>
    <w:rsid w:val="00DA5CC6"/>
    <w:rsid w:val="00DB2CB8"/>
    <w:rsid w:val="00DB7331"/>
    <w:rsid w:val="00DC2DFA"/>
    <w:rsid w:val="00DC41E0"/>
    <w:rsid w:val="00DC4277"/>
    <w:rsid w:val="00DC5D46"/>
    <w:rsid w:val="00DD5D52"/>
    <w:rsid w:val="00DE1BFE"/>
    <w:rsid w:val="00DF43A4"/>
    <w:rsid w:val="00DF5672"/>
    <w:rsid w:val="00DF56D3"/>
    <w:rsid w:val="00E026E3"/>
    <w:rsid w:val="00E03631"/>
    <w:rsid w:val="00E11BE5"/>
    <w:rsid w:val="00E15915"/>
    <w:rsid w:val="00E205DB"/>
    <w:rsid w:val="00E2324B"/>
    <w:rsid w:val="00E23A52"/>
    <w:rsid w:val="00E314DE"/>
    <w:rsid w:val="00E43991"/>
    <w:rsid w:val="00E43BF0"/>
    <w:rsid w:val="00E4699C"/>
    <w:rsid w:val="00E555AD"/>
    <w:rsid w:val="00E5754C"/>
    <w:rsid w:val="00E651A7"/>
    <w:rsid w:val="00E66C24"/>
    <w:rsid w:val="00E67718"/>
    <w:rsid w:val="00E678E6"/>
    <w:rsid w:val="00E709EE"/>
    <w:rsid w:val="00E82AC6"/>
    <w:rsid w:val="00E837D4"/>
    <w:rsid w:val="00E95427"/>
    <w:rsid w:val="00E96BBE"/>
    <w:rsid w:val="00E97404"/>
    <w:rsid w:val="00EA2F26"/>
    <w:rsid w:val="00EA5BA4"/>
    <w:rsid w:val="00EA6D34"/>
    <w:rsid w:val="00EB0B6D"/>
    <w:rsid w:val="00EB40A5"/>
    <w:rsid w:val="00EB55CC"/>
    <w:rsid w:val="00EB67A7"/>
    <w:rsid w:val="00EC2090"/>
    <w:rsid w:val="00EC3AFB"/>
    <w:rsid w:val="00EC6C0D"/>
    <w:rsid w:val="00EC70BE"/>
    <w:rsid w:val="00EE0C58"/>
    <w:rsid w:val="00EE567C"/>
    <w:rsid w:val="00EE69AF"/>
    <w:rsid w:val="00EE725C"/>
    <w:rsid w:val="00EF1A89"/>
    <w:rsid w:val="00EF3A47"/>
    <w:rsid w:val="00EF61B4"/>
    <w:rsid w:val="00F03354"/>
    <w:rsid w:val="00F1400E"/>
    <w:rsid w:val="00F210EA"/>
    <w:rsid w:val="00F25EB9"/>
    <w:rsid w:val="00F25F6A"/>
    <w:rsid w:val="00F27755"/>
    <w:rsid w:val="00F3567E"/>
    <w:rsid w:val="00F408EE"/>
    <w:rsid w:val="00F42B27"/>
    <w:rsid w:val="00F47369"/>
    <w:rsid w:val="00F538E6"/>
    <w:rsid w:val="00F54842"/>
    <w:rsid w:val="00F651E1"/>
    <w:rsid w:val="00F7051B"/>
    <w:rsid w:val="00F71C90"/>
    <w:rsid w:val="00F726D2"/>
    <w:rsid w:val="00F72845"/>
    <w:rsid w:val="00F85C37"/>
    <w:rsid w:val="00F96470"/>
    <w:rsid w:val="00F96B13"/>
    <w:rsid w:val="00FA0420"/>
    <w:rsid w:val="00FA3591"/>
    <w:rsid w:val="00FA36EC"/>
    <w:rsid w:val="00FA60BE"/>
    <w:rsid w:val="00FB7CB9"/>
    <w:rsid w:val="00FC35BC"/>
    <w:rsid w:val="00FC628E"/>
    <w:rsid w:val="00FD4A75"/>
    <w:rsid w:val="00FE095B"/>
    <w:rsid w:val="00FE3599"/>
    <w:rsid w:val="00FE786E"/>
    <w:rsid w:val="00FF15EA"/>
    <w:rsid w:val="00FF6A16"/>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351EE89"/>
  <w15:docId w15:val="{387645B4-6E2A-4617-A757-6A53081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5658F1"/>
    <w:pPr>
      <w:keepNext/>
      <w:spacing w:before="4080" w:after="108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A4B0F"/>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7A4B0F"/>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7A4B0F"/>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7A4B0F"/>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7A4B0F"/>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7A4B0F"/>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7A4B0F"/>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7A4B0F"/>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8F1"/>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A4B0F"/>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7A4B0F"/>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7A4B0F"/>
    <w:rPr>
      <w:color w:val="155589"/>
      <w:u w:val="single"/>
    </w:rPr>
  </w:style>
  <w:style w:type="paragraph" w:customStyle="1" w:styleId="Bulletlevel1">
    <w:name w:val="Bullet level 1"/>
    <w:basedOn w:val="Normal"/>
    <w:qFormat/>
    <w:rsid w:val="004F5B27"/>
    <w:pPr>
      <w:numPr>
        <w:numId w:val="1"/>
      </w:numPr>
      <w:tabs>
        <w:tab w:val="left" w:pos="567"/>
      </w:tabs>
      <w:ind w:left="567" w:hanging="567"/>
      <w:contextualSpacing/>
    </w:pPr>
    <w:rPr>
      <w:rFonts w:eastAsiaTheme="minorHAnsi"/>
      <w:lang w:eastAsia="en-US"/>
    </w:rPr>
  </w:style>
  <w:style w:type="paragraph" w:styleId="Quote">
    <w:name w:val="Quote"/>
    <w:basedOn w:val="Normal"/>
    <w:next w:val="Normal"/>
    <w:link w:val="QuoteChar"/>
    <w:uiPriority w:val="29"/>
    <w:qFormat/>
    <w:rsid w:val="007A4B0F"/>
    <w:pPr>
      <w:ind w:left="567"/>
    </w:pPr>
    <w:rPr>
      <w:rFonts w:eastAsiaTheme="minorHAnsi"/>
      <w:i/>
      <w:iCs/>
      <w:color w:val="155589"/>
      <w:lang w:eastAsia="en-US"/>
    </w:rPr>
  </w:style>
  <w:style w:type="character" w:customStyle="1" w:styleId="QuoteChar">
    <w:name w:val="Quote Char"/>
    <w:basedOn w:val="DefaultParagraphFont"/>
    <w:link w:val="Quote"/>
    <w:uiPriority w:val="29"/>
    <w:rsid w:val="007A4B0F"/>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A4B0F"/>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7A4B0F"/>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7A4B0F"/>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pPr>
  </w:style>
  <w:style w:type="character" w:customStyle="1" w:styleId="Heading6Char">
    <w:name w:val="Heading 6 Char"/>
    <w:basedOn w:val="DefaultParagraphFont"/>
    <w:link w:val="Heading6"/>
    <w:uiPriority w:val="9"/>
    <w:rsid w:val="007A4B0F"/>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7A4B0F"/>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7A4B0F"/>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7A4B0F"/>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C16794"/>
    <w:pPr>
      <w:numPr>
        <w:numId w:val="3"/>
      </w:numPr>
      <w:contextualSpacing/>
    </w:pPr>
  </w:style>
  <w:style w:type="paragraph" w:styleId="FootnoteText">
    <w:name w:val="footnote text"/>
    <w:basedOn w:val="Normal"/>
    <w:link w:val="FootnoteTextChar"/>
    <w:uiPriority w:val="99"/>
    <w:unhideWhenUsed/>
    <w:rsid w:val="003B5B1D"/>
    <w:pPr>
      <w:spacing w:after="0"/>
    </w:pPr>
    <w:rPr>
      <w:sz w:val="20"/>
      <w:szCs w:val="20"/>
    </w:rPr>
  </w:style>
  <w:style w:type="character" w:customStyle="1" w:styleId="FootnoteTextChar">
    <w:name w:val="Footnote Text Char"/>
    <w:basedOn w:val="DefaultParagraphFont"/>
    <w:link w:val="FootnoteText"/>
    <w:uiPriority w:val="99"/>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CommentText">
    <w:name w:val="annotation text"/>
    <w:basedOn w:val="Normal"/>
    <w:link w:val="CommentTextChar"/>
    <w:uiPriority w:val="99"/>
    <w:unhideWhenUsed/>
    <w:rsid w:val="00081DB0"/>
    <w:rPr>
      <w:rFonts w:eastAsiaTheme="minorHAnsi"/>
      <w:sz w:val="20"/>
      <w:szCs w:val="20"/>
      <w:lang w:eastAsia="en-US"/>
    </w:rPr>
  </w:style>
  <w:style w:type="character" w:customStyle="1" w:styleId="CommentTextChar">
    <w:name w:val="Comment Text Char"/>
    <w:basedOn w:val="DefaultParagraphFont"/>
    <w:link w:val="CommentText"/>
    <w:uiPriority w:val="99"/>
    <w:rsid w:val="00081DB0"/>
    <w:rPr>
      <w:rFonts w:eastAsiaTheme="minorHAnsi"/>
      <w:sz w:val="20"/>
      <w:szCs w:val="20"/>
      <w:lang w:eastAsia="en-US"/>
    </w:rPr>
  </w:style>
  <w:style w:type="paragraph" w:customStyle="1" w:styleId="Tickedboxbulletpoint">
    <w:name w:val="Ticked box bullet point"/>
    <w:basedOn w:val="Bulletlevel1"/>
    <w:qFormat/>
    <w:rsid w:val="00E5754C"/>
    <w:pPr>
      <w:numPr>
        <w:numId w:val="4"/>
      </w:numPr>
      <w:ind w:left="1491" w:hanging="567"/>
    </w:pPr>
    <w:rPr>
      <w:b/>
    </w:rPr>
  </w:style>
  <w:style w:type="character" w:styleId="CommentReference">
    <w:name w:val="annotation reference"/>
    <w:basedOn w:val="DefaultParagraphFont"/>
    <w:uiPriority w:val="99"/>
    <w:semiHidden/>
    <w:unhideWhenUsed/>
    <w:rsid w:val="00E67718"/>
    <w:rPr>
      <w:sz w:val="16"/>
      <w:szCs w:val="16"/>
    </w:rPr>
  </w:style>
  <w:style w:type="paragraph" w:styleId="CommentSubject">
    <w:name w:val="annotation subject"/>
    <w:basedOn w:val="CommentText"/>
    <w:next w:val="CommentText"/>
    <w:link w:val="CommentSubjectChar"/>
    <w:uiPriority w:val="99"/>
    <w:semiHidden/>
    <w:unhideWhenUsed/>
    <w:rsid w:val="00E67718"/>
    <w:rPr>
      <w:rFonts w:eastAsiaTheme="minorEastAsia"/>
      <w:b/>
      <w:bCs/>
      <w:lang w:eastAsia="zh-TW"/>
    </w:rPr>
  </w:style>
  <w:style w:type="character" w:customStyle="1" w:styleId="CommentSubjectChar">
    <w:name w:val="Comment Subject Char"/>
    <w:basedOn w:val="CommentTextChar"/>
    <w:link w:val="CommentSubject"/>
    <w:uiPriority w:val="99"/>
    <w:semiHidden/>
    <w:rsid w:val="00E67718"/>
    <w:rPr>
      <w:rFonts w:eastAsiaTheme="minorHAnsi"/>
      <w:b/>
      <w:bCs/>
      <w:sz w:val="20"/>
      <w:szCs w:val="20"/>
      <w:lang w:eastAsia="en-US"/>
    </w:rPr>
  </w:style>
  <w:style w:type="paragraph" w:styleId="BalloonText">
    <w:name w:val="Balloon Text"/>
    <w:basedOn w:val="Normal"/>
    <w:link w:val="BalloonTextChar"/>
    <w:uiPriority w:val="99"/>
    <w:semiHidden/>
    <w:unhideWhenUsed/>
    <w:rsid w:val="00E677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718"/>
    <w:rPr>
      <w:rFonts w:ascii="Segoe UI" w:hAnsi="Segoe UI" w:cs="Segoe UI"/>
      <w:sz w:val="18"/>
      <w:szCs w:val="18"/>
    </w:rPr>
  </w:style>
  <w:style w:type="paragraph" w:customStyle="1" w:styleId="Default">
    <w:name w:val="Default"/>
    <w:rsid w:val="001D469F"/>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locked/>
    <w:rsid w:val="00CD3531"/>
  </w:style>
  <w:style w:type="character" w:styleId="Emphasis">
    <w:name w:val="Emphasis"/>
    <w:basedOn w:val="DefaultParagraphFont"/>
    <w:uiPriority w:val="20"/>
    <w:qFormat/>
    <w:rsid w:val="00D63635"/>
    <w:rPr>
      <w:i/>
      <w:iCs/>
    </w:rPr>
  </w:style>
  <w:style w:type="paragraph" w:customStyle="1" w:styleId="Pa9">
    <w:name w:val="Pa9"/>
    <w:basedOn w:val="Normal"/>
    <w:uiPriority w:val="99"/>
    <w:rsid w:val="00FA0420"/>
    <w:pPr>
      <w:autoSpaceDE w:val="0"/>
      <w:autoSpaceDN w:val="0"/>
      <w:spacing w:after="0" w:line="201" w:lineRule="atLeast"/>
    </w:pPr>
    <w:rPr>
      <w:rFonts w:ascii="Proxima Nova Medium" w:eastAsiaTheme="minorHAnsi" w:hAnsi="Proxima Nova Medium" w:cs="Times New Roman"/>
      <w:sz w:val="24"/>
      <w:szCs w:val="24"/>
      <w:lang w:eastAsia="en-US"/>
    </w:rPr>
  </w:style>
  <w:style w:type="character" w:customStyle="1" w:styleId="A6">
    <w:name w:val="A6"/>
    <w:basedOn w:val="DefaultParagraphFont"/>
    <w:uiPriority w:val="99"/>
    <w:rsid w:val="00FA0420"/>
    <w:rPr>
      <w:rFonts w:ascii="Proxima Nova Medium" w:hAnsi="Proxima Nova Medium" w:hint="default"/>
      <w:color w:val="C8446A"/>
    </w:rPr>
  </w:style>
  <w:style w:type="character" w:customStyle="1" w:styleId="A7">
    <w:name w:val="A7"/>
    <w:basedOn w:val="DefaultParagraphFont"/>
    <w:uiPriority w:val="99"/>
    <w:rsid w:val="00FA0420"/>
    <w:rPr>
      <w:rFonts w:ascii="Proxima Nova Medium" w:hAnsi="Proxima Nova Medium" w:hint="default"/>
      <w:color w:val="C8446A"/>
    </w:rPr>
  </w:style>
  <w:style w:type="character" w:styleId="Strong">
    <w:name w:val="Strong"/>
    <w:basedOn w:val="DefaultParagraphFont"/>
    <w:uiPriority w:val="22"/>
    <w:qFormat/>
    <w:rsid w:val="00AC7868"/>
    <w:rPr>
      <w:b/>
      <w:bCs/>
    </w:rPr>
  </w:style>
  <w:style w:type="paragraph" w:styleId="NormalWeb">
    <w:name w:val="Normal (Web)"/>
    <w:basedOn w:val="Normal"/>
    <w:uiPriority w:val="99"/>
    <w:rsid w:val="00B05507"/>
    <w:pPr>
      <w:spacing w:before="100" w:beforeAutospacing="1" w:after="100" w:afterAutospacing="1"/>
    </w:pPr>
    <w:rPr>
      <w:rFonts w:ascii="Arial" w:eastAsia="Times New Roman" w:hAnsi="Arial" w:cs="Arial"/>
      <w:sz w:val="24"/>
      <w:szCs w:val="24"/>
      <w:lang w:eastAsia="en-AU"/>
    </w:rPr>
  </w:style>
  <w:style w:type="paragraph" w:styleId="Revision">
    <w:name w:val="Revision"/>
    <w:hidden/>
    <w:uiPriority w:val="99"/>
    <w:semiHidden/>
    <w:rsid w:val="000A1086"/>
    <w:pPr>
      <w:spacing w:after="0" w:line="240" w:lineRule="auto"/>
    </w:pPr>
  </w:style>
  <w:style w:type="paragraph" w:styleId="TOCHeading">
    <w:name w:val="TOC Heading"/>
    <w:basedOn w:val="Heading1"/>
    <w:next w:val="Normal"/>
    <w:uiPriority w:val="39"/>
    <w:unhideWhenUsed/>
    <w:qFormat/>
    <w:rsid w:val="008A018D"/>
    <w:pPr>
      <w:keepLines/>
      <w:spacing w:before="240" w:after="0" w:line="259" w:lineRule="auto"/>
      <w:outlineLvl w:val="9"/>
    </w:pPr>
    <w:rPr>
      <w:b w:val="0"/>
      <w:color w:val="21B4EE"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69406">
      <w:bodyDiv w:val="1"/>
      <w:marLeft w:val="0"/>
      <w:marRight w:val="0"/>
      <w:marTop w:val="0"/>
      <w:marBottom w:val="0"/>
      <w:divBdr>
        <w:top w:val="none" w:sz="0" w:space="0" w:color="auto"/>
        <w:left w:val="none" w:sz="0" w:space="0" w:color="auto"/>
        <w:bottom w:val="none" w:sz="0" w:space="0" w:color="auto"/>
        <w:right w:val="none" w:sz="0" w:space="0" w:color="auto"/>
      </w:divBdr>
    </w:div>
    <w:div w:id="737479691">
      <w:bodyDiv w:val="1"/>
      <w:marLeft w:val="0"/>
      <w:marRight w:val="0"/>
      <w:marTop w:val="0"/>
      <w:marBottom w:val="0"/>
      <w:divBdr>
        <w:top w:val="none" w:sz="0" w:space="0" w:color="auto"/>
        <w:left w:val="none" w:sz="0" w:space="0" w:color="auto"/>
        <w:bottom w:val="none" w:sz="0" w:space="0" w:color="auto"/>
        <w:right w:val="none" w:sz="0" w:space="0" w:color="auto"/>
      </w:divBdr>
    </w:div>
    <w:div w:id="857081677">
      <w:bodyDiv w:val="1"/>
      <w:marLeft w:val="0"/>
      <w:marRight w:val="0"/>
      <w:marTop w:val="0"/>
      <w:marBottom w:val="0"/>
      <w:divBdr>
        <w:top w:val="none" w:sz="0" w:space="0" w:color="auto"/>
        <w:left w:val="none" w:sz="0" w:space="0" w:color="auto"/>
        <w:bottom w:val="none" w:sz="0" w:space="0" w:color="auto"/>
        <w:right w:val="none" w:sz="0" w:space="0" w:color="auto"/>
      </w:divBdr>
    </w:div>
    <w:div w:id="1244804715">
      <w:bodyDiv w:val="1"/>
      <w:marLeft w:val="0"/>
      <w:marRight w:val="0"/>
      <w:marTop w:val="0"/>
      <w:marBottom w:val="0"/>
      <w:divBdr>
        <w:top w:val="none" w:sz="0" w:space="0" w:color="auto"/>
        <w:left w:val="none" w:sz="0" w:space="0" w:color="auto"/>
        <w:bottom w:val="none" w:sz="0" w:space="0" w:color="auto"/>
        <w:right w:val="none" w:sz="0" w:space="0" w:color="auto"/>
      </w:divBdr>
    </w:div>
    <w:div w:id="1297564352">
      <w:bodyDiv w:val="1"/>
      <w:marLeft w:val="0"/>
      <w:marRight w:val="0"/>
      <w:marTop w:val="0"/>
      <w:marBottom w:val="0"/>
      <w:divBdr>
        <w:top w:val="none" w:sz="0" w:space="0" w:color="auto"/>
        <w:left w:val="none" w:sz="0" w:space="0" w:color="auto"/>
        <w:bottom w:val="none" w:sz="0" w:space="0" w:color="auto"/>
        <w:right w:val="none" w:sz="0" w:space="0" w:color="auto"/>
      </w:divBdr>
    </w:div>
    <w:div w:id="1365598755">
      <w:bodyDiv w:val="1"/>
      <w:marLeft w:val="0"/>
      <w:marRight w:val="0"/>
      <w:marTop w:val="0"/>
      <w:marBottom w:val="0"/>
      <w:divBdr>
        <w:top w:val="none" w:sz="0" w:space="0" w:color="auto"/>
        <w:left w:val="none" w:sz="0" w:space="0" w:color="auto"/>
        <w:bottom w:val="none" w:sz="0" w:space="0" w:color="auto"/>
        <w:right w:val="none" w:sz="0" w:space="0" w:color="auto"/>
      </w:divBdr>
    </w:div>
    <w:div w:id="1384022000">
      <w:bodyDiv w:val="1"/>
      <w:marLeft w:val="0"/>
      <w:marRight w:val="0"/>
      <w:marTop w:val="0"/>
      <w:marBottom w:val="0"/>
      <w:divBdr>
        <w:top w:val="none" w:sz="0" w:space="0" w:color="auto"/>
        <w:left w:val="none" w:sz="0" w:space="0" w:color="auto"/>
        <w:bottom w:val="none" w:sz="0" w:space="0" w:color="auto"/>
        <w:right w:val="none" w:sz="0" w:space="0" w:color="auto"/>
      </w:divBdr>
    </w:div>
    <w:div w:id="1519349151">
      <w:bodyDiv w:val="1"/>
      <w:marLeft w:val="0"/>
      <w:marRight w:val="0"/>
      <w:marTop w:val="0"/>
      <w:marBottom w:val="0"/>
      <w:divBdr>
        <w:top w:val="none" w:sz="0" w:space="0" w:color="auto"/>
        <w:left w:val="none" w:sz="0" w:space="0" w:color="auto"/>
        <w:bottom w:val="none" w:sz="0" w:space="0" w:color="auto"/>
        <w:right w:val="none" w:sz="0" w:space="0" w:color="auto"/>
      </w:divBdr>
    </w:div>
    <w:div w:id="1648971092">
      <w:bodyDiv w:val="1"/>
      <w:marLeft w:val="0"/>
      <w:marRight w:val="0"/>
      <w:marTop w:val="0"/>
      <w:marBottom w:val="0"/>
      <w:divBdr>
        <w:top w:val="none" w:sz="0" w:space="0" w:color="auto"/>
        <w:left w:val="none" w:sz="0" w:space="0" w:color="auto"/>
        <w:bottom w:val="none" w:sz="0" w:space="0" w:color="auto"/>
        <w:right w:val="none" w:sz="0" w:space="0" w:color="auto"/>
      </w:divBdr>
    </w:div>
    <w:div w:id="1745685238">
      <w:bodyDiv w:val="1"/>
      <w:marLeft w:val="0"/>
      <w:marRight w:val="0"/>
      <w:marTop w:val="0"/>
      <w:marBottom w:val="0"/>
      <w:divBdr>
        <w:top w:val="none" w:sz="0" w:space="0" w:color="auto"/>
        <w:left w:val="none" w:sz="0" w:space="0" w:color="auto"/>
        <w:bottom w:val="none" w:sz="0" w:space="0" w:color="auto"/>
        <w:right w:val="none" w:sz="0" w:space="0" w:color="auto"/>
      </w:divBdr>
    </w:div>
    <w:div w:id="1972981250">
      <w:bodyDiv w:val="1"/>
      <w:marLeft w:val="0"/>
      <w:marRight w:val="0"/>
      <w:marTop w:val="0"/>
      <w:marBottom w:val="0"/>
      <w:divBdr>
        <w:top w:val="none" w:sz="0" w:space="0" w:color="auto"/>
        <w:left w:val="none" w:sz="0" w:space="0" w:color="auto"/>
        <w:bottom w:val="none" w:sz="0" w:space="0" w:color="auto"/>
        <w:right w:val="none" w:sz="0" w:space="0" w:color="auto"/>
      </w:divBdr>
    </w:div>
    <w:div w:id="209030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communications.gov.au" TargetMode="External"/><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consumersafeguardsreview@communications.gov.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7C18CD07E0741899FB18159272771" ma:contentTypeVersion="0" ma:contentTypeDescription="Create a new document." ma:contentTypeScope="" ma:versionID="f14cc3fcc984aaa01586ddb5e8027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F1FF-913C-4641-99E7-E24758FB3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94D4233-FB92-49C1-8453-B20007D6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2</TotalTime>
  <Pages>14</Pages>
  <Words>5085</Words>
  <Characters>30663</Characters>
  <Application>Microsoft Office Word</Application>
  <DocSecurity>0</DocSecurity>
  <Lines>537</Lines>
  <Paragraphs>222</Paragraphs>
  <ScaleCrop>false</ScaleCrop>
  <HeadingPairs>
    <vt:vector size="2" baseType="variant">
      <vt:variant>
        <vt:lpstr>Title</vt:lpstr>
      </vt:variant>
      <vt:variant>
        <vt:i4>1</vt:i4>
      </vt:variant>
    </vt:vector>
  </HeadingPairs>
  <TitlesOfParts>
    <vt:vector size="1" baseType="lpstr">
      <vt:lpstr>180629 - Part 1 - Redress and Complaints Handling Discussion Paper - Revised with new TIO process and funding.docx</vt:lpstr>
    </vt:vector>
  </TitlesOfParts>
  <Company>Department of Communications and the Arts</Company>
  <LinksUpToDate>false</LinksUpToDate>
  <CharactersWithSpaces>35526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Safeguards Review—Part A—Redress and Complaints Handling—Consultation paper</dc:title>
  <dc:subject/>
  <dc:creator>Department of Communications and the Arts</dc:creator>
  <cp:keywords/>
  <dc:description>May 2018</dc:description>
  <cp:lastModifiedBy>Department of Communications and the Arts</cp:lastModifiedBy>
  <cp:revision>3</cp:revision>
  <cp:lastPrinted>2018-07-02T04:05:00Z</cp:lastPrinted>
  <dcterms:created xsi:type="dcterms:W3CDTF">2018-07-04T06:02:00Z</dcterms:created>
  <dcterms:modified xsi:type="dcterms:W3CDTF">2018-07-04T06:04:00Z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0x01010025A7C18CD07E0741899FB18159272771</vt:lpwstr>
  </property>
  <property fmtid="{D5CDD505-2E9C-101B-9397-08002B2CF9AE}" pid="3" name="TrimRevisionNumber">
    <vt:i4>18</vt:i4>
  </property>
</Properties>
</file>