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A71D1E" w14:textId="77777777" w:rsidR="008456D5" w:rsidRDefault="00BD194A" w:rsidP="00EB78CF">
      <w:pPr>
        <w:spacing w:after="960"/>
        <w:ind w:left="-1247"/>
      </w:pPr>
      <w:r>
        <w:rPr>
          <w:noProof/>
          <w:lang w:eastAsia="en-AU"/>
        </w:rPr>
        <w:drawing>
          <wp:anchor distT="0" distB="0" distL="114300" distR="114300" simplePos="0" relativeHeight="251659264" behindDoc="1" locked="0" layoutInCell="1" allowOverlap="1" wp14:anchorId="282056C8" wp14:editId="45B03C2A">
            <wp:simplePos x="0" y="0"/>
            <wp:positionH relativeFrom="column">
              <wp:posOffset>-1437640</wp:posOffset>
            </wp:positionH>
            <wp:positionV relativeFrom="paragraph">
              <wp:posOffset>-648335</wp:posOffset>
            </wp:positionV>
            <wp:extent cx="7593965" cy="10742295"/>
            <wp:effectExtent l="0" t="0" r="6985" b="1905"/>
            <wp:wrapNone/>
            <wp:docPr id="1" name="Picture 1" descr="Decorative.">
              <a:extLst xmlns:a="http://schemas.openxmlformats.org/drawingml/2006/main">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ecorative.">
                      <a:extLst>
                        <a:ext uri="{C183D7F6-B498-43B3-948B-1728B52AA6E4}">
                          <adec:decorative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dec="http://schemas.microsoft.com/office/drawing/2017/decorative" val="1"/>
                        </a:ext>
                      </a:extLst>
                    </pic:cNvPr>
                    <pic:cNvPicPr/>
                  </pic:nvPicPr>
                  <pic:blipFill>
                    <a:blip r:embed="rId12">
                      <a:extLst>
                        <a:ext uri="{28A0092B-C50C-407E-A947-70E740481C1C}">
                          <a14:useLocalDpi xmlns:a14="http://schemas.microsoft.com/office/drawing/2010/main" val="0"/>
                        </a:ext>
                      </a:extLst>
                    </a:blip>
                    <a:stretch>
                      <a:fillRect/>
                    </a:stretch>
                  </pic:blipFill>
                  <pic:spPr>
                    <a:xfrm>
                      <a:off x="0" y="0"/>
                      <a:ext cx="7593965" cy="10742295"/>
                    </a:xfrm>
                    <a:prstGeom prst="rect">
                      <a:avLst/>
                    </a:prstGeom>
                  </pic:spPr>
                </pic:pic>
              </a:graphicData>
            </a:graphic>
            <wp14:sizeRelH relativeFrom="page">
              <wp14:pctWidth>0</wp14:pctWidth>
            </wp14:sizeRelH>
            <wp14:sizeRelV relativeFrom="page">
              <wp14:pctHeight>0</wp14:pctHeight>
            </wp14:sizeRelV>
          </wp:anchor>
        </w:drawing>
      </w:r>
      <w:r w:rsidR="007A05BE">
        <w:rPr>
          <w:noProof/>
          <w:lang w:eastAsia="en-AU"/>
        </w:rPr>
        <w:drawing>
          <wp:inline distT="0" distB="0" distL="0" distR="0" wp14:anchorId="5CC4CBF3" wp14:editId="04D1109B">
            <wp:extent cx="3147405" cy="660843"/>
            <wp:effectExtent l="0" t="0" r="2540" b="0"/>
            <wp:docPr id="5" name="Picture 5" descr="Australian Government. Department of Infrastructure, Transport, Regional Development and Commun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ustralian Government. Department of Infrastructure, Transport, Regional Development and Communications."/>
                    <pic:cNvPicPr/>
                  </pic:nvPicPr>
                  <pic:blipFill>
                    <a:blip r:embed="rId13">
                      <a:extLst>
                        <a:ext uri="{28A0092B-C50C-407E-A947-70E740481C1C}">
                          <a14:useLocalDpi xmlns:a14="http://schemas.microsoft.com/office/drawing/2010/main" val="0"/>
                        </a:ext>
                      </a:extLst>
                    </a:blip>
                    <a:stretch>
                      <a:fillRect/>
                    </a:stretch>
                  </pic:blipFill>
                  <pic:spPr>
                    <a:xfrm>
                      <a:off x="0" y="0"/>
                      <a:ext cx="3147405" cy="660843"/>
                    </a:xfrm>
                    <a:prstGeom prst="rect">
                      <a:avLst/>
                    </a:prstGeom>
                  </pic:spPr>
                </pic:pic>
              </a:graphicData>
            </a:graphic>
          </wp:inline>
        </w:drawing>
      </w:r>
    </w:p>
    <w:sdt>
      <w:sdtPr>
        <w:rPr>
          <w:b/>
          <w:color w:val="FFFFFF" w:themeColor="background1"/>
          <w:sz w:val="40"/>
        </w:rPr>
        <w:alias w:val="Title"/>
        <w:tag w:val=""/>
        <w:id w:val="975726233"/>
        <w:placeholder>
          <w:docPart w:val="27C2F126BFC64AACA815FD0558348906"/>
        </w:placeholder>
        <w:dataBinding w:prefixMappings="xmlns:ns0='http://purl.org/dc/elements/1.1/' xmlns:ns1='http://schemas.openxmlformats.org/package/2006/metadata/core-properties' " w:xpath="/ns1:coreProperties[1]/ns0:title[1]" w:storeItemID="{6C3C8BC8-F283-45AE-878A-BAB7291924A1}"/>
        <w:text/>
      </w:sdtPr>
      <w:sdtContent>
        <w:p w14:paraId="1B1510DF" w14:textId="7F789BFF" w:rsidR="003774A7" w:rsidRPr="00DF2C99" w:rsidRDefault="00F97573" w:rsidP="00DF2C99">
          <w:pPr>
            <w:pStyle w:val="AreaHeading"/>
            <w:ind w:firstLine="311"/>
            <w:rPr>
              <w:b/>
              <w:color w:val="FFFFFF" w:themeColor="background1"/>
              <w:sz w:val="144"/>
            </w:rPr>
          </w:pPr>
          <w:r w:rsidRPr="00DF2C99">
            <w:rPr>
              <w:b/>
              <w:color w:val="FFFFFF" w:themeColor="background1"/>
              <w:sz w:val="40"/>
            </w:rPr>
            <w:t>REDUCING HEA</w:t>
          </w:r>
          <w:r>
            <w:rPr>
              <w:b/>
              <w:color w:val="FFFFFF" w:themeColor="background1"/>
              <w:sz w:val="40"/>
            </w:rPr>
            <w:t>VY VEHICLE LANE DEPARTURE CRASHES</w:t>
          </w:r>
        </w:p>
      </w:sdtContent>
    </w:sdt>
    <w:p w14:paraId="62168145" w14:textId="77777777" w:rsidR="00715ED7" w:rsidRDefault="00715ED7" w:rsidP="00715ED7"/>
    <w:p w14:paraId="2C1828D0" w14:textId="77777777" w:rsidR="00715ED7" w:rsidRDefault="00715ED7" w:rsidP="00715ED7">
      <w:pPr>
        <w:ind w:left="-567"/>
      </w:pPr>
      <w:r>
        <w:rPr>
          <w:noProof/>
          <w:lang w:eastAsia="en-AU"/>
        </w:rPr>
        <w:drawing>
          <wp:inline distT="0" distB="0" distL="0" distR="0" wp14:anchorId="26D8F96E" wp14:editId="3E139E5D">
            <wp:extent cx="5771486" cy="3847879"/>
            <wp:effectExtent l="0" t="0" r="1270" b="63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GettyImages-174906835.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85330" cy="3857109"/>
                    </a:xfrm>
                    <a:prstGeom prst="rect">
                      <a:avLst/>
                    </a:prstGeom>
                    <a:effectLst>
                      <a:softEdge rad="63500"/>
                    </a:effectLst>
                  </pic:spPr>
                </pic:pic>
              </a:graphicData>
            </a:graphic>
          </wp:inline>
        </w:drawing>
      </w:r>
    </w:p>
    <w:p w14:paraId="1234EFFD" w14:textId="42D6005E" w:rsidR="00DE4FE2" w:rsidRPr="00790338" w:rsidRDefault="002F651B" w:rsidP="00790338">
      <w:pPr>
        <w:pStyle w:val="Subtitle"/>
        <w:ind w:left="5387" w:hanging="3544"/>
        <w:rPr>
          <w:color w:val="78D1F5"/>
          <w:sz w:val="36"/>
        </w:rPr>
      </w:pPr>
      <w:r w:rsidRPr="00790338">
        <w:rPr>
          <w:color w:val="78D1F5"/>
          <w:sz w:val="36"/>
        </w:rPr>
        <w:t>Consultation Regulation Impact Statement</w:t>
      </w:r>
    </w:p>
    <w:sdt>
      <w:sdtPr>
        <w:rPr>
          <w:color w:val="FFFFFF" w:themeColor="background1"/>
        </w:rPr>
        <w:alias w:val="Publish Date"/>
        <w:tag w:val=""/>
        <w:id w:val="452527336"/>
        <w:placeholder>
          <w:docPart w:val="E855B5D7E58842F8A2E058B06AA06563"/>
        </w:placeholder>
        <w:dataBinding w:prefixMappings="xmlns:ns0='http://schemas.microsoft.com/office/2006/coverPageProps' " w:xpath="/ns0:CoverPageProperties[1]/ns0:PublishDate[1]" w:storeItemID="{55AF091B-3C7A-41E3-B477-F2FDAA23CFDA}"/>
        <w:date w:fullDate="2022-04-08T00:00:00Z">
          <w:dateFormat w:val="MMMM yyyy"/>
          <w:lid w:val="en-AU"/>
          <w:storeMappedDataAs w:val="dateTime"/>
          <w:calendar w:val="gregorian"/>
        </w:date>
      </w:sdtPr>
      <w:sdtContent>
        <w:p w14:paraId="13E78080" w14:textId="354C3450" w:rsidR="00DE4FE2" w:rsidRPr="00EB78CF" w:rsidRDefault="009629F8" w:rsidP="00790338">
          <w:pPr>
            <w:pStyle w:val="CoverDate"/>
            <w:ind w:left="5387" w:hanging="3544"/>
            <w:rPr>
              <w:color w:val="FFFFFF" w:themeColor="background1"/>
            </w:rPr>
          </w:pPr>
          <w:r>
            <w:rPr>
              <w:color w:val="FFFFFF" w:themeColor="background1"/>
            </w:rPr>
            <w:t>April 2022</w:t>
          </w:r>
        </w:p>
      </w:sdtContent>
    </w:sdt>
    <w:p w14:paraId="3A84D019" w14:textId="77777777" w:rsidR="00DE4FE2" w:rsidRDefault="00DE4FE2"/>
    <w:p w14:paraId="14302122" w14:textId="77777777" w:rsidR="00DE4FE2" w:rsidRDefault="00DE4FE2">
      <w:pPr>
        <w:sectPr w:rsidR="00DE4FE2" w:rsidSect="00546218">
          <w:headerReference w:type="even" r:id="rId15"/>
          <w:headerReference w:type="default" r:id="rId16"/>
          <w:footerReference w:type="even" r:id="rId17"/>
          <w:footerReference w:type="default" r:id="rId18"/>
          <w:pgSz w:w="11906" w:h="16838" w:code="9"/>
          <w:pgMar w:top="1021" w:right="1021" w:bottom="1021" w:left="2268" w:header="510" w:footer="567" w:gutter="0"/>
          <w:cols w:space="708"/>
          <w:titlePg/>
          <w:docGrid w:linePitch="360"/>
        </w:sectPr>
      </w:pPr>
    </w:p>
    <w:p w14:paraId="1573C4DC" w14:textId="77777777" w:rsidR="000E5674" w:rsidRPr="000E5674" w:rsidRDefault="000E5674" w:rsidP="000E5674">
      <w:pPr>
        <w:pStyle w:val="NoSpacing"/>
      </w:pPr>
      <w:r w:rsidRPr="000E5674">
        <w:lastRenderedPageBreak/>
        <w:t>© Commonwealth of Australia 202</w:t>
      </w:r>
      <w:r w:rsidR="004163B6">
        <w:t>2</w:t>
      </w:r>
    </w:p>
    <w:p w14:paraId="1553E58B" w14:textId="397D5818" w:rsidR="000E5674" w:rsidRDefault="00267050" w:rsidP="000E5674">
      <w:pPr>
        <w:pStyle w:val="NoSpacing"/>
      </w:pPr>
      <w:r>
        <w:t>April</w:t>
      </w:r>
      <w:r w:rsidR="004163B6" w:rsidRPr="000E5674">
        <w:t xml:space="preserve"> </w:t>
      </w:r>
      <w:r w:rsidR="000E5674" w:rsidRPr="000E5674">
        <w:t>202</w:t>
      </w:r>
      <w:r w:rsidR="004163B6">
        <w:t>2</w:t>
      </w:r>
      <w:r w:rsidR="000E5674" w:rsidRPr="000E5674">
        <w:t xml:space="preserve"> / INFRASTRUCTURE</w:t>
      </w:r>
      <w:r w:rsidR="00DF50AE">
        <w:t xml:space="preserve"> ISBN:</w:t>
      </w:r>
      <w:r w:rsidR="000E5674" w:rsidRPr="000E5674">
        <w:t xml:space="preserve"> </w:t>
      </w:r>
      <w:r w:rsidR="00DF50AE" w:rsidRPr="00DF50AE">
        <w:t>978-1-925843-94-1</w:t>
      </w:r>
    </w:p>
    <w:p w14:paraId="18A96D7C" w14:textId="172CC369" w:rsidR="00F16D21" w:rsidRPr="000E5674" w:rsidRDefault="00F16D21" w:rsidP="000E5674">
      <w:pPr>
        <w:pStyle w:val="NoSpacing"/>
      </w:pPr>
      <w:r w:rsidRPr="00F16D21">
        <w:t>OBPR22-01960</w:t>
      </w:r>
    </w:p>
    <w:p w14:paraId="4E99D31F" w14:textId="77777777" w:rsidR="000E5674" w:rsidRPr="000E5674" w:rsidRDefault="000E5674" w:rsidP="000E5674">
      <w:pPr>
        <w:pStyle w:val="ImprintHeading"/>
      </w:pPr>
      <w:r w:rsidRPr="000E5674">
        <w:t>Ownership of intellectual property rights in this publication</w:t>
      </w:r>
    </w:p>
    <w:p w14:paraId="7E452CFE" w14:textId="77777777" w:rsidR="000E5674" w:rsidRPr="000E5674" w:rsidRDefault="000E5674" w:rsidP="000E5674">
      <w:pPr>
        <w:rPr>
          <w:lang w:val="x-none"/>
        </w:rPr>
      </w:pPr>
      <w:r w:rsidRPr="000E5674">
        <w:rPr>
          <w:lang w:val="x-none"/>
        </w:rPr>
        <w:t>Unless otherwise noted, copyright (and any other intellectual property rights, if any) in this publication is owned by the</w:t>
      </w:r>
      <w:r>
        <w:rPr>
          <w:lang w:val="en-US"/>
        </w:rPr>
        <w:t xml:space="preserve"> </w:t>
      </w:r>
      <w:r w:rsidRPr="000E5674">
        <w:rPr>
          <w:lang w:val="x-none"/>
        </w:rPr>
        <w:t>Commonwealth of Australia (referred to below as the Commonwealth).</w:t>
      </w:r>
    </w:p>
    <w:p w14:paraId="3EDBF938" w14:textId="77777777" w:rsidR="000E5674" w:rsidRPr="000E5674" w:rsidRDefault="000E5674" w:rsidP="000E5674">
      <w:pPr>
        <w:pStyle w:val="ImprintHeading"/>
      </w:pPr>
      <w:r w:rsidRPr="000E5674">
        <w:t>Disclaimer</w:t>
      </w:r>
    </w:p>
    <w:p w14:paraId="17F4B762" w14:textId="77777777" w:rsidR="000E5674" w:rsidRPr="000E5674" w:rsidRDefault="000E5674" w:rsidP="000E5674">
      <w:pPr>
        <w:rPr>
          <w:lang w:val="x-none"/>
        </w:rPr>
      </w:pPr>
      <w:r w:rsidRPr="000E5674">
        <w:rPr>
          <w:lang w:val="x-none"/>
        </w:rPr>
        <w:t>The material contained in this publication is made available on the understanding that the Commonwealth is not</w:t>
      </w:r>
      <w:r>
        <w:rPr>
          <w:lang w:val="en-US"/>
        </w:rPr>
        <w:t xml:space="preserve"> </w:t>
      </w:r>
      <w:r w:rsidRPr="000E5674">
        <w:rPr>
          <w:lang w:val="x-none"/>
        </w:rPr>
        <w:t>providing professional advice, and that users exercise their own skill and care with respect to its use, and seek</w:t>
      </w:r>
      <w:r>
        <w:rPr>
          <w:lang w:val="en-US"/>
        </w:rPr>
        <w:t xml:space="preserve"> </w:t>
      </w:r>
      <w:r w:rsidRPr="000E5674">
        <w:rPr>
          <w:lang w:val="x-none"/>
        </w:rPr>
        <w:t>independent advice if necessary.</w:t>
      </w:r>
    </w:p>
    <w:p w14:paraId="222BDC82" w14:textId="77777777" w:rsidR="000E5674" w:rsidRPr="000E5674" w:rsidRDefault="000E5674" w:rsidP="000E5674">
      <w:pPr>
        <w:rPr>
          <w:lang w:val="x-none"/>
        </w:rPr>
      </w:pPr>
      <w:r w:rsidRPr="000E5674">
        <w:rPr>
          <w:lang w:val="x-none"/>
        </w:rPr>
        <w:t>The Commonwealth makes no representations or warranties as to the contents or accuracy of the information contained</w:t>
      </w:r>
      <w:r>
        <w:rPr>
          <w:lang w:val="en-US"/>
        </w:rPr>
        <w:t xml:space="preserve"> </w:t>
      </w:r>
      <w:r w:rsidRPr="000E5674">
        <w:rPr>
          <w:lang w:val="x-none"/>
        </w:rPr>
        <w:t>in this publication. To the extent permitted by law, the Commonwealth disclaims liability to any person or organisation in</w:t>
      </w:r>
      <w:r>
        <w:rPr>
          <w:lang w:val="en-US"/>
        </w:rPr>
        <w:t xml:space="preserve"> </w:t>
      </w:r>
      <w:r w:rsidRPr="000E5674">
        <w:rPr>
          <w:lang w:val="x-none"/>
        </w:rPr>
        <w:t>respect of anything done, or omitted to be done, in reliance upon information contained in this publication.</w:t>
      </w:r>
    </w:p>
    <w:p w14:paraId="07B719A8" w14:textId="77777777" w:rsidR="000E5674" w:rsidRPr="000E5674" w:rsidRDefault="000E5674" w:rsidP="000E5674">
      <w:pPr>
        <w:pStyle w:val="ImprintHeading"/>
      </w:pPr>
      <w:r w:rsidRPr="000E5674">
        <w:t>Creative Commons licence</w:t>
      </w:r>
    </w:p>
    <w:p w14:paraId="165FFEE0" w14:textId="77777777" w:rsidR="000E5674" w:rsidRPr="000E5674" w:rsidRDefault="000E5674" w:rsidP="000E5674">
      <w:pPr>
        <w:rPr>
          <w:lang w:val="x-none"/>
        </w:rPr>
      </w:pPr>
      <w:r w:rsidRPr="000E5674">
        <w:rPr>
          <w:lang w:val="x-none"/>
        </w:rPr>
        <w:t>With the exception of (a) the Coat of Arms; (b) the Department of Infrastructure, Transport, Regional Development</w:t>
      </w:r>
      <w:r>
        <w:rPr>
          <w:lang w:val="en-US"/>
        </w:rPr>
        <w:t xml:space="preserve"> </w:t>
      </w:r>
      <w:r w:rsidRPr="000E5674">
        <w:rPr>
          <w:lang w:val="x-none"/>
        </w:rPr>
        <w:t>and Communications photos and graphics; and (c) [OTHER], copyright in this publication is licensed under a Creative</w:t>
      </w:r>
      <w:r>
        <w:rPr>
          <w:lang w:val="en-US"/>
        </w:rPr>
        <w:t xml:space="preserve"> </w:t>
      </w:r>
      <w:r w:rsidRPr="000E5674">
        <w:rPr>
          <w:lang w:val="x-none"/>
        </w:rPr>
        <w:t>Commons Attribution 4.0 Australia Licence.</w:t>
      </w:r>
    </w:p>
    <w:p w14:paraId="7BC19DBB" w14:textId="77777777" w:rsidR="000E5674" w:rsidRPr="000E5674" w:rsidRDefault="000E5674" w:rsidP="000E5674">
      <w:pPr>
        <w:rPr>
          <w:lang w:val="x-none"/>
        </w:rPr>
      </w:pPr>
      <w:r w:rsidRPr="000E5674">
        <w:rPr>
          <w:lang w:val="x-none"/>
        </w:rPr>
        <w:t>Creative Commons Attribution 4.0 Australia Licence is a standard form licence agreement that allows you to copy,</w:t>
      </w:r>
      <w:r>
        <w:rPr>
          <w:lang w:val="en-US"/>
        </w:rPr>
        <w:t xml:space="preserve"> </w:t>
      </w:r>
      <w:r w:rsidRPr="000E5674">
        <w:rPr>
          <w:lang w:val="x-none"/>
        </w:rPr>
        <w:t>communicate and adapt this publication provided that you attribute the work to the Commonwealth and abide by the</w:t>
      </w:r>
      <w:r>
        <w:rPr>
          <w:lang w:val="en-US"/>
        </w:rPr>
        <w:t xml:space="preserve"> </w:t>
      </w:r>
      <w:r w:rsidRPr="000E5674">
        <w:rPr>
          <w:lang w:val="x-none"/>
        </w:rPr>
        <w:t>other licence terms.</w:t>
      </w:r>
    </w:p>
    <w:p w14:paraId="4DCCFE47" w14:textId="50055F68" w:rsidR="000E5674" w:rsidRPr="000E5674" w:rsidRDefault="000E5674" w:rsidP="000E5674">
      <w:pPr>
        <w:rPr>
          <w:lang w:val="en-US"/>
        </w:rPr>
      </w:pPr>
      <w:r w:rsidRPr="000E5674">
        <w:rPr>
          <w:lang w:val="x-none"/>
        </w:rPr>
        <w:t xml:space="preserve">Further information on the licence terms is available from </w:t>
      </w:r>
      <w:hyperlink r:id="rId19" w:tooltip="Creative Commons website" w:history="1">
        <w:r w:rsidRPr="0063722A">
          <w:rPr>
            <w:rStyle w:val="Hyperlink"/>
            <w:lang w:val="x-none"/>
          </w:rPr>
          <w:t>https://creativecommons.org/licenses/by/4.0/</w:t>
        </w:r>
      </w:hyperlink>
    </w:p>
    <w:p w14:paraId="4C43C0A2" w14:textId="77777777" w:rsidR="000E5674" w:rsidRPr="00D83318" w:rsidRDefault="000E5674" w:rsidP="000E5674">
      <w:pPr>
        <w:rPr>
          <w:lang w:val="en-US"/>
        </w:rPr>
      </w:pPr>
      <w:r w:rsidRPr="000E5674">
        <w:rPr>
          <w:lang w:val="x-none"/>
        </w:rPr>
        <w:t xml:space="preserve">This publication should be attributed in the following way: © Commonwealth of Australia </w:t>
      </w:r>
      <w:r w:rsidR="00D83318">
        <w:rPr>
          <w:lang w:val="en-US"/>
        </w:rPr>
        <w:t>2022</w:t>
      </w:r>
    </w:p>
    <w:p w14:paraId="5E41F4B2" w14:textId="77777777" w:rsidR="000E5674" w:rsidRPr="000E5674" w:rsidRDefault="000E5674" w:rsidP="000E5674">
      <w:pPr>
        <w:pStyle w:val="ImprintHeading"/>
      </w:pPr>
      <w:r w:rsidRPr="000E5674">
        <w:t>Use of the Coat of Arms</w:t>
      </w:r>
    </w:p>
    <w:p w14:paraId="23553572" w14:textId="7929F17E" w:rsidR="000E5674" w:rsidRPr="000E5674" w:rsidRDefault="000E5674" w:rsidP="000E5674">
      <w:pPr>
        <w:rPr>
          <w:lang w:val="x-none"/>
        </w:rPr>
      </w:pPr>
      <w:r w:rsidRPr="000E5674">
        <w:rPr>
          <w:lang w:val="x-none"/>
        </w:rPr>
        <w:t>The Department of the Prime Minister and Cabinet sets the terms under which the Coat of Arms is used. Please refer to</w:t>
      </w:r>
      <w:r>
        <w:rPr>
          <w:lang w:val="en-US"/>
        </w:rPr>
        <w:t xml:space="preserve"> </w:t>
      </w:r>
      <w:r w:rsidRPr="000E5674">
        <w:rPr>
          <w:lang w:val="x-none"/>
        </w:rPr>
        <w:t xml:space="preserve">the Commonwealth Coat of Arms - Information and Guidelines publication available at </w:t>
      </w:r>
      <w:hyperlink r:id="rId20" w:tooltip="Department of Prime Minister and Cabinet website" w:history="1">
        <w:r w:rsidRPr="0063722A">
          <w:rPr>
            <w:rStyle w:val="Hyperlink"/>
            <w:lang w:val="x-none"/>
          </w:rPr>
          <w:t>http://www.pmc.gov.au</w:t>
        </w:r>
      </w:hyperlink>
      <w:r w:rsidRPr="000E5674">
        <w:rPr>
          <w:lang w:val="x-none"/>
        </w:rPr>
        <w:t>.</w:t>
      </w:r>
    </w:p>
    <w:p w14:paraId="16F015A8" w14:textId="77777777" w:rsidR="000E5674" w:rsidRPr="000E5674" w:rsidRDefault="000E5674" w:rsidP="000E5674">
      <w:pPr>
        <w:pStyle w:val="ImprintHeading"/>
      </w:pPr>
      <w:r w:rsidRPr="000E5674">
        <w:t>Contact us</w:t>
      </w:r>
    </w:p>
    <w:p w14:paraId="137B8D33" w14:textId="77777777" w:rsidR="000E5674" w:rsidRPr="000E5674" w:rsidRDefault="000E5674" w:rsidP="000E5674">
      <w:pPr>
        <w:rPr>
          <w:lang w:val="x-none"/>
        </w:rPr>
      </w:pPr>
      <w:r w:rsidRPr="000E5674">
        <w:rPr>
          <w:lang w:val="x-none"/>
        </w:rPr>
        <w:t>This publication is available in hard copy or PDF format. All other rights are reserved, including in relation to any</w:t>
      </w:r>
      <w:r>
        <w:rPr>
          <w:lang w:val="en-US"/>
        </w:rPr>
        <w:t xml:space="preserve"> </w:t>
      </w:r>
      <w:r w:rsidR="00291050">
        <w:rPr>
          <w:lang w:val="en-US"/>
        </w:rPr>
        <w:t>departmental</w:t>
      </w:r>
      <w:r w:rsidRPr="000E5674">
        <w:rPr>
          <w:lang w:val="x-none"/>
        </w:rPr>
        <w:t xml:space="preserve"> logos or </w:t>
      </w:r>
      <w:proofErr w:type="spellStart"/>
      <w:r w:rsidRPr="000E5674">
        <w:rPr>
          <w:lang w:val="x-none"/>
        </w:rPr>
        <w:t>trade marks</w:t>
      </w:r>
      <w:proofErr w:type="spellEnd"/>
      <w:r w:rsidRPr="000E5674">
        <w:rPr>
          <w:lang w:val="x-none"/>
        </w:rPr>
        <w:t xml:space="preserve"> which may exist. For enquiries regarding the licence and any use of this publication,</w:t>
      </w:r>
      <w:r>
        <w:rPr>
          <w:lang w:val="en-US"/>
        </w:rPr>
        <w:t xml:space="preserve"> </w:t>
      </w:r>
      <w:r w:rsidRPr="000E5674">
        <w:rPr>
          <w:lang w:val="x-none"/>
        </w:rPr>
        <w:t>please contact:</w:t>
      </w:r>
    </w:p>
    <w:p w14:paraId="05E495BA" w14:textId="77777777" w:rsidR="000E5674" w:rsidRPr="000E5674" w:rsidRDefault="000E5674" w:rsidP="000E5674">
      <w:pPr>
        <w:pStyle w:val="NoSpacing"/>
      </w:pPr>
      <w:r w:rsidRPr="000E5674">
        <w:t xml:space="preserve">Director </w:t>
      </w:r>
      <w:r w:rsidR="00291050">
        <w:t>–</w:t>
      </w:r>
      <w:r w:rsidRPr="000E5674">
        <w:t xml:space="preserve"> </w:t>
      </w:r>
      <w:r w:rsidR="00291050">
        <w:t>Creative Services</w:t>
      </w:r>
    </w:p>
    <w:p w14:paraId="2D50BCE4" w14:textId="77777777" w:rsidR="000E5674" w:rsidRPr="000E5674" w:rsidRDefault="000E5674" w:rsidP="000E5674">
      <w:pPr>
        <w:pStyle w:val="NoSpacing"/>
      </w:pPr>
      <w:r w:rsidRPr="000E5674">
        <w:t>Communication Branch</w:t>
      </w:r>
    </w:p>
    <w:p w14:paraId="0D6B32C6" w14:textId="77777777" w:rsidR="000E5674" w:rsidRPr="000E5674" w:rsidRDefault="000E5674" w:rsidP="000E5674">
      <w:pPr>
        <w:pStyle w:val="NoSpacing"/>
      </w:pPr>
      <w:r w:rsidRPr="000E5674">
        <w:t>Department of Infrastructure, Transport, Regional Development and Communications</w:t>
      </w:r>
    </w:p>
    <w:p w14:paraId="64879564" w14:textId="77777777" w:rsidR="000E5674" w:rsidRPr="000E5674" w:rsidRDefault="000E5674" w:rsidP="000E5674">
      <w:pPr>
        <w:pStyle w:val="NoSpacing"/>
      </w:pPr>
      <w:r w:rsidRPr="000E5674">
        <w:t>GPO Box 594</w:t>
      </w:r>
    </w:p>
    <w:p w14:paraId="407B17C3" w14:textId="77777777" w:rsidR="000E5674" w:rsidRPr="000E5674" w:rsidRDefault="000E5674" w:rsidP="000E5674">
      <w:pPr>
        <w:pStyle w:val="NoSpacing"/>
      </w:pPr>
      <w:r w:rsidRPr="000E5674">
        <w:t>Canberra ACT 2601</w:t>
      </w:r>
    </w:p>
    <w:p w14:paraId="4D4B6609" w14:textId="77777777" w:rsidR="000E5674" w:rsidRPr="000E5674" w:rsidRDefault="000E5674" w:rsidP="000E5674">
      <w:pPr>
        <w:pStyle w:val="NoSpacing"/>
      </w:pPr>
      <w:r w:rsidRPr="000E5674">
        <w:t>Australia</w:t>
      </w:r>
    </w:p>
    <w:p w14:paraId="60964B13" w14:textId="5922715F" w:rsidR="000E5674" w:rsidRPr="000E5674" w:rsidRDefault="000E5674" w:rsidP="000E5674">
      <w:pPr>
        <w:rPr>
          <w:lang w:val="en-US"/>
        </w:rPr>
      </w:pPr>
      <w:r w:rsidRPr="000E5674">
        <w:rPr>
          <w:lang w:val="x-none"/>
        </w:rPr>
        <w:t xml:space="preserve">Email: </w:t>
      </w:r>
      <w:hyperlink r:id="rId21" w:tooltip="Email the Publishing team at the Department of Infrastructure, Transport, Regional Development and Communications" w:history="1">
        <w:r w:rsidRPr="0063722A">
          <w:rPr>
            <w:rStyle w:val="Hyperlink"/>
            <w:lang w:val="x-none"/>
          </w:rPr>
          <w:t>publishing@infrastructure.gov.au</w:t>
        </w:r>
      </w:hyperlink>
    </w:p>
    <w:p w14:paraId="00CAEFA6" w14:textId="19643A6E" w:rsidR="000E5674" w:rsidRPr="000E5674" w:rsidRDefault="000E5674" w:rsidP="000E5674">
      <w:pPr>
        <w:rPr>
          <w:lang w:val="en-US"/>
        </w:rPr>
      </w:pPr>
      <w:r w:rsidRPr="000E5674">
        <w:rPr>
          <w:lang w:val="x-none"/>
        </w:rPr>
        <w:t xml:space="preserve">Website: </w:t>
      </w:r>
      <w:hyperlink r:id="rId22" w:tooltip="Department of Infrastructure, Transport, Regional Development and Communications website" w:history="1">
        <w:r w:rsidRPr="0063722A">
          <w:rPr>
            <w:rStyle w:val="Hyperlink"/>
            <w:lang w:val="x-none"/>
          </w:rPr>
          <w:t>www.infrastructure.gov.au</w:t>
        </w:r>
      </w:hyperlink>
    </w:p>
    <w:p w14:paraId="04585B52" w14:textId="77777777" w:rsidR="00546218" w:rsidRDefault="00546218">
      <w:pPr>
        <w:suppressAutoHyphens w:val="0"/>
      </w:pPr>
      <w:r>
        <w:br w:type="page"/>
      </w:r>
    </w:p>
    <w:p w14:paraId="4CB40C1E" w14:textId="77777777" w:rsidR="00DE4FE2" w:rsidRDefault="002B7197" w:rsidP="00CF6CFD">
      <w:pPr>
        <w:pStyle w:val="TOCHeading"/>
      </w:pPr>
      <w:r>
        <w:lastRenderedPageBreak/>
        <w:t>C</w:t>
      </w:r>
      <w:r w:rsidR="00DE4FE2">
        <w:t>ontents</w:t>
      </w:r>
    </w:p>
    <w:p w14:paraId="4259BED5" w14:textId="4A016F80" w:rsidR="00FE2D46" w:rsidRDefault="00A95970">
      <w:pPr>
        <w:pStyle w:val="TOC1"/>
        <w:rPr>
          <w:rFonts w:eastAsiaTheme="minorEastAsia"/>
          <w:b w:val="0"/>
          <w:noProof/>
          <w:color w:val="auto"/>
          <w:kern w:val="0"/>
          <w:sz w:val="22"/>
          <w:szCs w:val="22"/>
          <w:u w:val="none"/>
          <w:lang w:eastAsia="en-AU"/>
        </w:rPr>
      </w:pPr>
      <w:r>
        <w:fldChar w:fldCharType="begin"/>
      </w:r>
      <w:r>
        <w:instrText xml:space="preserve"> TOC \o "3-3" \h \z \t "Heading 1,1,Heading 2,2,Heading 1 Numbered,1,Heading 2 Numbered,2,Appendix Heading 1,1,Attachment Heading 1,1" </w:instrText>
      </w:r>
      <w:r>
        <w:fldChar w:fldCharType="separate"/>
      </w:r>
      <w:hyperlink w:anchor="_Toc100326766" w:history="1">
        <w:r w:rsidR="00FE2D46" w:rsidRPr="00774757">
          <w:rPr>
            <w:rStyle w:val="Hyperlink"/>
            <w:noProof/>
          </w:rPr>
          <w:t>Executive Summary</w:t>
        </w:r>
        <w:r w:rsidR="00FE2D46">
          <w:rPr>
            <w:noProof/>
            <w:webHidden/>
          </w:rPr>
          <w:tab/>
        </w:r>
        <w:r w:rsidR="00FE2D46">
          <w:rPr>
            <w:noProof/>
            <w:webHidden/>
          </w:rPr>
          <w:fldChar w:fldCharType="begin"/>
        </w:r>
        <w:r w:rsidR="00FE2D46">
          <w:rPr>
            <w:noProof/>
            <w:webHidden/>
          </w:rPr>
          <w:instrText xml:space="preserve"> PAGEREF _Toc100326766 \h </w:instrText>
        </w:r>
        <w:r w:rsidR="00FE2D46">
          <w:rPr>
            <w:noProof/>
            <w:webHidden/>
          </w:rPr>
        </w:r>
        <w:r w:rsidR="00FE2D46">
          <w:rPr>
            <w:noProof/>
            <w:webHidden/>
          </w:rPr>
          <w:fldChar w:fldCharType="separate"/>
        </w:r>
        <w:r w:rsidR="008E07C6">
          <w:rPr>
            <w:noProof/>
            <w:webHidden/>
          </w:rPr>
          <w:t>5</w:t>
        </w:r>
        <w:r w:rsidR="00FE2D46">
          <w:rPr>
            <w:noProof/>
            <w:webHidden/>
          </w:rPr>
          <w:fldChar w:fldCharType="end"/>
        </w:r>
      </w:hyperlink>
    </w:p>
    <w:p w14:paraId="07FAD87C" w14:textId="30DDAE58" w:rsidR="00FE2D46" w:rsidRDefault="008E07C6">
      <w:pPr>
        <w:pStyle w:val="TOC2"/>
        <w:tabs>
          <w:tab w:val="right" w:pos="9854"/>
        </w:tabs>
        <w:rPr>
          <w:rFonts w:eastAsiaTheme="minorEastAsia"/>
          <w:noProof/>
          <w:color w:val="auto"/>
          <w:kern w:val="0"/>
          <w:sz w:val="22"/>
          <w:szCs w:val="22"/>
          <w:lang w:eastAsia="en-AU"/>
        </w:rPr>
      </w:pPr>
      <w:hyperlink w:anchor="_Toc100326767" w:history="1">
        <w:r w:rsidR="00FE2D46" w:rsidRPr="00774757">
          <w:rPr>
            <w:rStyle w:val="Hyperlink"/>
            <w:noProof/>
            <w:lang w:val="en-US"/>
          </w:rPr>
          <w:t>Heavy vehicle road trauma</w:t>
        </w:r>
        <w:r w:rsidR="00FE2D46">
          <w:rPr>
            <w:noProof/>
            <w:webHidden/>
          </w:rPr>
          <w:tab/>
        </w:r>
        <w:r w:rsidR="00FE2D46">
          <w:rPr>
            <w:noProof/>
            <w:webHidden/>
          </w:rPr>
          <w:fldChar w:fldCharType="begin"/>
        </w:r>
        <w:r w:rsidR="00FE2D46">
          <w:rPr>
            <w:noProof/>
            <w:webHidden/>
          </w:rPr>
          <w:instrText xml:space="preserve"> PAGEREF _Toc100326767 \h </w:instrText>
        </w:r>
        <w:r w:rsidR="00FE2D46">
          <w:rPr>
            <w:noProof/>
            <w:webHidden/>
          </w:rPr>
        </w:r>
        <w:r w:rsidR="00FE2D46">
          <w:rPr>
            <w:noProof/>
            <w:webHidden/>
          </w:rPr>
          <w:fldChar w:fldCharType="separate"/>
        </w:r>
        <w:r>
          <w:rPr>
            <w:noProof/>
            <w:webHidden/>
          </w:rPr>
          <w:t>5</w:t>
        </w:r>
        <w:r w:rsidR="00FE2D46">
          <w:rPr>
            <w:noProof/>
            <w:webHidden/>
          </w:rPr>
          <w:fldChar w:fldCharType="end"/>
        </w:r>
      </w:hyperlink>
    </w:p>
    <w:p w14:paraId="3D4FBE20" w14:textId="28305441" w:rsidR="00FE2D46" w:rsidRDefault="008E07C6">
      <w:pPr>
        <w:pStyle w:val="TOC2"/>
        <w:tabs>
          <w:tab w:val="right" w:pos="9854"/>
        </w:tabs>
        <w:rPr>
          <w:rFonts w:eastAsiaTheme="minorEastAsia"/>
          <w:noProof/>
          <w:color w:val="auto"/>
          <w:kern w:val="0"/>
          <w:sz w:val="22"/>
          <w:szCs w:val="22"/>
          <w:lang w:eastAsia="en-AU"/>
        </w:rPr>
      </w:pPr>
      <w:hyperlink w:anchor="_Toc100326768" w:history="1">
        <w:r w:rsidR="00FE2D46" w:rsidRPr="00774757">
          <w:rPr>
            <w:rStyle w:val="Hyperlink"/>
            <w:noProof/>
            <w:lang w:val="en-US"/>
          </w:rPr>
          <w:t>Lane Departure Warning Systems</w:t>
        </w:r>
        <w:r w:rsidR="00FE2D46">
          <w:rPr>
            <w:noProof/>
            <w:webHidden/>
          </w:rPr>
          <w:tab/>
        </w:r>
        <w:r w:rsidR="00FE2D46">
          <w:rPr>
            <w:noProof/>
            <w:webHidden/>
          </w:rPr>
          <w:fldChar w:fldCharType="begin"/>
        </w:r>
        <w:r w:rsidR="00FE2D46">
          <w:rPr>
            <w:noProof/>
            <w:webHidden/>
          </w:rPr>
          <w:instrText xml:space="preserve"> PAGEREF _Toc100326768 \h </w:instrText>
        </w:r>
        <w:r w:rsidR="00FE2D46">
          <w:rPr>
            <w:noProof/>
            <w:webHidden/>
          </w:rPr>
        </w:r>
        <w:r w:rsidR="00FE2D46">
          <w:rPr>
            <w:noProof/>
            <w:webHidden/>
          </w:rPr>
          <w:fldChar w:fldCharType="separate"/>
        </w:r>
        <w:r>
          <w:rPr>
            <w:noProof/>
            <w:webHidden/>
          </w:rPr>
          <w:t>5</w:t>
        </w:r>
        <w:r w:rsidR="00FE2D46">
          <w:rPr>
            <w:noProof/>
            <w:webHidden/>
          </w:rPr>
          <w:fldChar w:fldCharType="end"/>
        </w:r>
      </w:hyperlink>
    </w:p>
    <w:p w14:paraId="373DAA7E" w14:textId="34234948" w:rsidR="00FE2D46" w:rsidRDefault="008E07C6">
      <w:pPr>
        <w:pStyle w:val="TOC2"/>
        <w:tabs>
          <w:tab w:val="right" w:pos="9854"/>
        </w:tabs>
        <w:rPr>
          <w:rFonts w:eastAsiaTheme="minorEastAsia"/>
          <w:noProof/>
          <w:color w:val="auto"/>
          <w:kern w:val="0"/>
          <w:sz w:val="22"/>
          <w:szCs w:val="22"/>
          <w:lang w:eastAsia="en-AU"/>
        </w:rPr>
      </w:pPr>
      <w:hyperlink w:anchor="_Toc100326769" w:history="1">
        <w:r w:rsidR="00FE2D46" w:rsidRPr="00774757">
          <w:rPr>
            <w:rStyle w:val="Hyperlink"/>
            <w:noProof/>
            <w:lang w:val="en-US"/>
          </w:rPr>
          <w:t>The RIS Process</w:t>
        </w:r>
        <w:r w:rsidR="00FE2D46">
          <w:rPr>
            <w:noProof/>
            <w:webHidden/>
          </w:rPr>
          <w:tab/>
        </w:r>
        <w:r w:rsidR="00FE2D46">
          <w:rPr>
            <w:noProof/>
            <w:webHidden/>
          </w:rPr>
          <w:fldChar w:fldCharType="begin"/>
        </w:r>
        <w:r w:rsidR="00FE2D46">
          <w:rPr>
            <w:noProof/>
            <w:webHidden/>
          </w:rPr>
          <w:instrText xml:space="preserve"> PAGEREF _Toc100326769 \h </w:instrText>
        </w:r>
        <w:r w:rsidR="00FE2D46">
          <w:rPr>
            <w:noProof/>
            <w:webHidden/>
          </w:rPr>
        </w:r>
        <w:r w:rsidR="00FE2D46">
          <w:rPr>
            <w:noProof/>
            <w:webHidden/>
          </w:rPr>
          <w:fldChar w:fldCharType="separate"/>
        </w:r>
        <w:r>
          <w:rPr>
            <w:noProof/>
            <w:webHidden/>
          </w:rPr>
          <w:t>6</w:t>
        </w:r>
        <w:r w:rsidR="00FE2D46">
          <w:rPr>
            <w:noProof/>
            <w:webHidden/>
          </w:rPr>
          <w:fldChar w:fldCharType="end"/>
        </w:r>
      </w:hyperlink>
    </w:p>
    <w:p w14:paraId="53C26795" w14:textId="64E5BABA" w:rsidR="00FE2D46" w:rsidRDefault="008E07C6">
      <w:pPr>
        <w:pStyle w:val="TOC1"/>
        <w:rPr>
          <w:rFonts w:eastAsiaTheme="minorEastAsia"/>
          <w:b w:val="0"/>
          <w:noProof/>
          <w:color w:val="auto"/>
          <w:kern w:val="0"/>
          <w:sz w:val="22"/>
          <w:szCs w:val="22"/>
          <w:u w:val="none"/>
          <w:lang w:eastAsia="en-AU"/>
        </w:rPr>
      </w:pPr>
      <w:hyperlink w:anchor="_Toc100326770" w:history="1">
        <w:r w:rsidR="00FE2D46" w:rsidRPr="00774757">
          <w:rPr>
            <w:rStyle w:val="Hyperlink"/>
            <w:noProof/>
          </w:rPr>
          <w:t>Chapter 1: What is the problem?</w:t>
        </w:r>
        <w:r w:rsidR="00FE2D46">
          <w:rPr>
            <w:noProof/>
            <w:webHidden/>
          </w:rPr>
          <w:tab/>
        </w:r>
        <w:r w:rsidR="00FE2D46">
          <w:rPr>
            <w:noProof/>
            <w:webHidden/>
          </w:rPr>
          <w:fldChar w:fldCharType="begin"/>
        </w:r>
        <w:r w:rsidR="00FE2D46">
          <w:rPr>
            <w:noProof/>
            <w:webHidden/>
          </w:rPr>
          <w:instrText xml:space="preserve"> PAGEREF _Toc100326770 \h </w:instrText>
        </w:r>
        <w:r w:rsidR="00FE2D46">
          <w:rPr>
            <w:noProof/>
            <w:webHidden/>
          </w:rPr>
        </w:r>
        <w:r w:rsidR="00FE2D46">
          <w:rPr>
            <w:noProof/>
            <w:webHidden/>
          </w:rPr>
          <w:fldChar w:fldCharType="separate"/>
        </w:r>
        <w:r>
          <w:rPr>
            <w:noProof/>
            <w:webHidden/>
          </w:rPr>
          <w:t>8</w:t>
        </w:r>
        <w:r w:rsidR="00FE2D46">
          <w:rPr>
            <w:noProof/>
            <w:webHidden/>
          </w:rPr>
          <w:fldChar w:fldCharType="end"/>
        </w:r>
      </w:hyperlink>
    </w:p>
    <w:p w14:paraId="640CA7BA" w14:textId="1E567E13" w:rsidR="00FE2D46" w:rsidRDefault="008E07C6">
      <w:pPr>
        <w:pStyle w:val="TOC2"/>
        <w:tabs>
          <w:tab w:val="right" w:pos="9854"/>
        </w:tabs>
        <w:rPr>
          <w:rFonts w:eastAsiaTheme="minorEastAsia"/>
          <w:noProof/>
          <w:color w:val="auto"/>
          <w:kern w:val="0"/>
          <w:sz w:val="22"/>
          <w:szCs w:val="22"/>
          <w:lang w:eastAsia="en-AU"/>
        </w:rPr>
      </w:pPr>
      <w:hyperlink w:anchor="_Toc100326771" w:history="1">
        <w:r w:rsidR="00FE2D46" w:rsidRPr="00774757">
          <w:rPr>
            <w:rStyle w:val="Hyperlink"/>
            <w:noProof/>
          </w:rPr>
          <w:t>The impact of road trauma in Australia</w:t>
        </w:r>
        <w:r w:rsidR="00FE2D46">
          <w:rPr>
            <w:noProof/>
            <w:webHidden/>
          </w:rPr>
          <w:tab/>
        </w:r>
        <w:r w:rsidR="00FE2D46">
          <w:rPr>
            <w:noProof/>
            <w:webHidden/>
          </w:rPr>
          <w:fldChar w:fldCharType="begin"/>
        </w:r>
        <w:r w:rsidR="00FE2D46">
          <w:rPr>
            <w:noProof/>
            <w:webHidden/>
          </w:rPr>
          <w:instrText xml:space="preserve"> PAGEREF _Toc100326771 \h </w:instrText>
        </w:r>
        <w:r w:rsidR="00FE2D46">
          <w:rPr>
            <w:noProof/>
            <w:webHidden/>
          </w:rPr>
        </w:r>
        <w:r w:rsidR="00FE2D46">
          <w:rPr>
            <w:noProof/>
            <w:webHidden/>
          </w:rPr>
          <w:fldChar w:fldCharType="separate"/>
        </w:r>
        <w:r>
          <w:rPr>
            <w:noProof/>
            <w:webHidden/>
          </w:rPr>
          <w:t>8</w:t>
        </w:r>
        <w:r w:rsidR="00FE2D46">
          <w:rPr>
            <w:noProof/>
            <w:webHidden/>
          </w:rPr>
          <w:fldChar w:fldCharType="end"/>
        </w:r>
      </w:hyperlink>
    </w:p>
    <w:p w14:paraId="548B7A4A" w14:textId="71BC73C3" w:rsidR="00FE2D46" w:rsidRDefault="008E07C6">
      <w:pPr>
        <w:pStyle w:val="TOC2"/>
        <w:tabs>
          <w:tab w:val="right" w:pos="9854"/>
        </w:tabs>
        <w:rPr>
          <w:rFonts w:eastAsiaTheme="minorEastAsia"/>
          <w:noProof/>
          <w:color w:val="auto"/>
          <w:kern w:val="0"/>
          <w:sz w:val="22"/>
          <w:szCs w:val="22"/>
          <w:lang w:eastAsia="en-AU"/>
        </w:rPr>
      </w:pPr>
      <w:hyperlink w:anchor="_Toc100326772" w:history="1">
        <w:r w:rsidR="00FE2D46" w:rsidRPr="00774757">
          <w:rPr>
            <w:rStyle w:val="Hyperlink"/>
            <w:noProof/>
          </w:rPr>
          <w:t>Road trauma involving heavy vehicles</w:t>
        </w:r>
        <w:r w:rsidR="00FE2D46">
          <w:rPr>
            <w:noProof/>
            <w:webHidden/>
          </w:rPr>
          <w:tab/>
        </w:r>
        <w:r w:rsidR="00FE2D46">
          <w:rPr>
            <w:noProof/>
            <w:webHidden/>
          </w:rPr>
          <w:fldChar w:fldCharType="begin"/>
        </w:r>
        <w:r w:rsidR="00FE2D46">
          <w:rPr>
            <w:noProof/>
            <w:webHidden/>
          </w:rPr>
          <w:instrText xml:space="preserve"> PAGEREF _Toc100326772 \h </w:instrText>
        </w:r>
        <w:r w:rsidR="00FE2D46">
          <w:rPr>
            <w:noProof/>
            <w:webHidden/>
          </w:rPr>
        </w:r>
        <w:r w:rsidR="00FE2D46">
          <w:rPr>
            <w:noProof/>
            <w:webHidden/>
          </w:rPr>
          <w:fldChar w:fldCharType="separate"/>
        </w:r>
        <w:r>
          <w:rPr>
            <w:noProof/>
            <w:webHidden/>
          </w:rPr>
          <w:t>9</w:t>
        </w:r>
        <w:r w:rsidR="00FE2D46">
          <w:rPr>
            <w:noProof/>
            <w:webHidden/>
          </w:rPr>
          <w:fldChar w:fldCharType="end"/>
        </w:r>
      </w:hyperlink>
    </w:p>
    <w:p w14:paraId="05DF3C0F" w14:textId="79B56C5C" w:rsidR="00FE2D46" w:rsidRDefault="008E07C6">
      <w:pPr>
        <w:pStyle w:val="TOC3"/>
        <w:tabs>
          <w:tab w:val="right" w:pos="9854"/>
        </w:tabs>
        <w:rPr>
          <w:rFonts w:eastAsiaTheme="minorEastAsia"/>
          <w:noProof/>
          <w:color w:val="auto"/>
          <w:kern w:val="0"/>
          <w:sz w:val="22"/>
          <w:szCs w:val="22"/>
          <w:lang w:eastAsia="en-AU"/>
        </w:rPr>
      </w:pPr>
      <w:hyperlink w:anchor="_Toc100326773" w:history="1">
        <w:r w:rsidR="00FE2D46" w:rsidRPr="00774757">
          <w:rPr>
            <w:rStyle w:val="Hyperlink"/>
            <w:noProof/>
          </w:rPr>
          <w:t>Fatalities</w:t>
        </w:r>
        <w:r w:rsidR="00FE2D46">
          <w:rPr>
            <w:noProof/>
            <w:webHidden/>
          </w:rPr>
          <w:tab/>
        </w:r>
        <w:r w:rsidR="00FE2D46">
          <w:rPr>
            <w:noProof/>
            <w:webHidden/>
          </w:rPr>
          <w:fldChar w:fldCharType="begin"/>
        </w:r>
        <w:r w:rsidR="00FE2D46">
          <w:rPr>
            <w:noProof/>
            <w:webHidden/>
          </w:rPr>
          <w:instrText xml:space="preserve"> PAGEREF _Toc100326773 \h </w:instrText>
        </w:r>
        <w:r w:rsidR="00FE2D46">
          <w:rPr>
            <w:noProof/>
            <w:webHidden/>
          </w:rPr>
        </w:r>
        <w:r w:rsidR="00FE2D46">
          <w:rPr>
            <w:noProof/>
            <w:webHidden/>
          </w:rPr>
          <w:fldChar w:fldCharType="separate"/>
        </w:r>
        <w:r>
          <w:rPr>
            <w:noProof/>
            <w:webHidden/>
          </w:rPr>
          <w:t>9</w:t>
        </w:r>
        <w:r w:rsidR="00FE2D46">
          <w:rPr>
            <w:noProof/>
            <w:webHidden/>
          </w:rPr>
          <w:fldChar w:fldCharType="end"/>
        </w:r>
      </w:hyperlink>
    </w:p>
    <w:p w14:paraId="600FB063" w14:textId="0042CFB4" w:rsidR="00FE2D46" w:rsidRDefault="008E07C6">
      <w:pPr>
        <w:pStyle w:val="TOC3"/>
        <w:tabs>
          <w:tab w:val="right" w:pos="9854"/>
        </w:tabs>
        <w:rPr>
          <w:rFonts w:eastAsiaTheme="minorEastAsia"/>
          <w:noProof/>
          <w:color w:val="auto"/>
          <w:kern w:val="0"/>
          <w:sz w:val="22"/>
          <w:szCs w:val="22"/>
          <w:lang w:eastAsia="en-AU"/>
        </w:rPr>
      </w:pPr>
      <w:hyperlink w:anchor="_Toc100326774" w:history="1">
        <w:r w:rsidR="00FE2D46" w:rsidRPr="00774757">
          <w:rPr>
            <w:rStyle w:val="Hyperlink"/>
            <w:noProof/>
            <w:lang w:val="en-US"/>
          </w:rPr>
          <w:t>Serious and minor injuries</w:t>
        </w:r>
        <w:r w:rsidR="00FE2D46">
          <w:rPr>
            <w:noProof/>
            <w:webHidden/>
          </w:rPr>
          <w:tab/>
        </w:r>
        <w:r w:rsidR="00FE2D46">
          <w:rPr>
            <w:noProof/>
            <w:webHidden/>
          </w:rPr>
          <w:fldChar w:fldCharType="begin"/>
        </w:r>
        <w:r w:rsidR="00FE2D46">
          <w:rPr>
            <w:noProof/>
            <w:webHidden/>
          </w:rPr>
          <w:instrText xml:space="preserve"> PAGEREF _Toc100326774 \h </w:instrText>
        </w:r>
        <w:r w:rsidR="00FE2D46">
          <w:rPr>
            <w:noProof/>
            <w:webHidden/>
          </w:rPr>
        </w:r>
        <w:r w:rsidR="00FE2D46">
          <w:rPr>
            <w:noProof/>
            <w:webHidden/>
          </w:rPr>
          <w:fldChar w:fldCharType="separate"/>
        </w:r>
        <w:r>
          <w:rPr>
            <w:noProof/>
            <w:webHidden/>
          </w:rPr>
          <w:t>11</w:t>
        </w:r>
        <w:r w:rsidR="00FE2D46">
          <w:rPr>
            <w:noProof/>
            <w:webHidden/>
          </w:rPr>
          <w:fldChar w:fldCharType="end"/>
        </w:r>
      </w:hyperlink>
    </w:p>
    <w:p w14:paraId="54EEB4DC" w14:textId="53FCBE1B" w:rsidR="00FE2D46" w:rsidRDefault="008E07C6">
      <w:pPr>
        <w:pStyle w:val="TOC2"/>
        <w:tabs>
          <w:tab w:val="right" w:pos="9854"/>
        </w:tabs>
        <w:rPr>
          <w:rFonts w:eastAsiaTheme="minorEastAsia"/>
          <w:noProof/>
          <w:color w:val="auto"/>
          <w:kern w:val="0"/>
          <w:sz w:val="22"/>
          <w:szCs w:val="22"/>
          <w:lang w:eastAsia="en-AU"/>
        </w:rPr>
      </w:pPr>
      <w:hyperlink w:anchor="_Toc100326775" w:history="1">
        <w:r w:rsidR="00FE2D46" w:rsidRPr="00774757">
          <w:rPr>
            <w:rStyle w:val="Hyperlink"/>
            <w:noProof/>
          </w:rPr>
          <w:t>Attributes of heavy vehicle crashes</w:t>
        </w:r>
        <w:r w:rsidR="00FE2D46">
          <w:rPr>
            <w:noProof/>
            <w:webHidden/>
          </w:rPr>
          <w:tab/>
        </w:r>
        <w:r w:rsidR="00FE2D46">
          <w:rPr>
            <w:noProof/>
            <w:webHidden/>
          </w:rPr>
          <w:fldChar w:fldCharType="begin"/>
        </w:r>
        <w:r w:rsidR="00FE2D46">
          <w:rPr>
            <w:noProof/>
            <w:webHidden/>
          </w:rPr>
          <w:instrText xml:space="preserve"> PAGEREF _Toc100326775 \h </w:instrText>
        </w:r>
        <w:r w:rsidR="00FE2D46">
          <w:rPr>
            <w:noProof/>
            <w:webHidden/>
          </w:rPr>
        </w:r>
        <w:r w:rsidR="00FE2D46">
          <w:rPr>
            <w:noProof/>
            <w:webHidden/>
          </w:rPr>
          <w:fldChar w:fldCharType="separate"/>
        </w:r>
        <w:r>
          <w:rPr>
            <w:noProof/>
            <w:webHidden/>
          </w:rPr>
          <w:t>12</w:t>
        </w:r>
        <w:r w:rsidR="00FE2D46">
          <w:rPr>
            <w:noProof/>
            <w:webHidden/>
          </w:rPr>
          <w:fldChar w:fldCharType="end"/>
        </w:r>
      </w:hyperlink>
    </w:p>
    <w:p w14:paraId="649D2F2A" w14:textId="3FEF5A9A" w:rsidR="00FE2D46" w:rsidRDefault="008E07C6">
      <w:pPr>
        <w:pStyle w:val="TOC3"/>
        <w:tabs>
          <w:tab w:val="right" w:pos="9854"/>
        </w:tabs>
        <w:rPr>
          <w:rFonts w:eastAsiaTheme="minorEastAsia"/>
          <w:noProof/>
          <w:color w:val="auto"/>
          <w:kern w:val="0"/>
          <w:sz w:val="22"/>
          <w:szCs w:val="22"/>
          <w:lang w:eastAsia="en-AU"/>
        </w:rPr>
      </w:pPr>
      <w:hyperlink w:anchor="_Toc100326776" w:history="1">
        <w:r w:rsidR="00FE2D46" w:rsidRPr="00774757">
          <w:rPr>
            <w:rStyle w:val="Hyperlink"/>
            <w:noProof/>
          </w:rPr>
          <w:t>Heavy vehicle factors</w:t>
        </w:r>
        <w:r w:rsidR="00FE2D46">
          <w:rPr>
            <w:noProof/>
            <w:webHidden/>
          </w:rPr>
          <w:tab/>
        </w:r>
        <w:r w:rsidR="00FE2D46">
          <w:rPr>
            <w:noProof/>
            <w:webHidden/>
          </w:rPr>
          <w:fldChar w:fldCharType="begin"/>
        </w:r>
        <w:r w:rsidR="00FE2D46">
          <w:rPr>
            <w:noProof/>
            <w:webHidden/>
          </w:rPr>
          <w:instrText xml:space="preserve"> PAGEREF _Toc100326776 \h </w:instrText>
        </w:r>
        <w:r w:rsidR="00FE2D46">
          <w:rPr>
            <w:noProof/>
            <w:webHidden/>
          </w:rPr>
        </w:r>
        <w:r w:rsidR="00FE2D46">
          <w:rPr>
            <w:noProof/>
            <w:webHidden/>
          </w:rPr>
          <w:fldChar w:fldCharType="separate"/>
        </w:r>
        <w:r>
          <w:rPr>
            <w:noProof/>
            <w:webHidden/>
          </w:rPr>
          <w:t>12</w:t>
        </w:r>
        <w:r w:rsidR="00FE2D46">
          <w:rPr>
            <w:noProof/>
            <w:webHidden/>
          </w:rPr>
          <w:fldChar w:fldCharType="end"/>
        </w:r>
      </w:hyperlink>
    </w:p>
    <w:p w14:paraId="7D2756E4" w14:textId="5D18B8EB" w:rsidR="00FE2D46" w:rsidRDefault="008E07C6">
      <w:pPr>
        <w:pStyle w:val="TOC3"/>
        <w:tabs>
          <w:tab w:val="right" w:pos="9854"/>
        </w:tabs>
        <w:rPr>
          <w:rFonts w:eastAsiaTheme="minorEastAsia"/>
          <w:noProof/>
          <w:color w:val="auto"/>
          <w:kern w:val="0"/>
          <w:sz w:val="22"/>
          <w:szCs w:val="22"/>
          <w:lang w:eastAsia="en-AU"/>
        </w:rPr>
      </w:pPr>
      <w:hyperlink w:anchor="_Toc100326777" w:history="1">
        <w:r w:rsidR="00FE2D46" w:rsidRPr="00774757">
          <w:rPr>
            <w:rStyle w:val="Hyperlink"/>
            <w:noProof/>
          </w:rPr>
          <w:t>Driver factors</w:t>
        </w:r>
        <w:r w:rsidR="00FE2D46">
          <w:rPr>
            <w:noProof/>
            <w:webHidden/>
          </w:rPr>
          <w:tab/>
        </w:r>
        <w:r w:rsidR="00FE2D46">
          <w:rPr>
            <w:noProof/>
            <w:webHidden/>
          </w:rPr>
          <w:fldChar w:fldCharType="begin"/>
        </w:r>
        <w:r w:rsidR="00FE2D46">
          <w:rPr>
            <w:noProof/>
            <w:webHidden/>
          </w:rPr>
          <w:instrText xml:space="preserve"> PAGEREF _Toc100326777 \h </w:instrText>
        </w:r>
        <w:r w:rsidR="00FE2D46">
          <w:rPr>
            <w:noProof/>
            <w:webHidden/>
          </w:rPr>
        </w:r>
        <w:r w:rsidR="00FE2D46">
          <w:rPr>
            <w:noProof/>
            <w:webHidden/>
          </w:rPr>
          <w:fldChar w:fldCharType="separate"/>
        </w:r>
        <w:r>
          <w:rPr>
            <w:noProof/>
            <w:webHidden/>
          </w:rPr>
          <w:t>12</w:t>
        </w:r>
        <w:r w:rsidR="00FE2D46">
          <w:rPr>
            <w:noProof/>
            <w:webHidden/>
          </w:rPr>
          <w:fldChar w:fldCharType="end"/>
        </w:r>
      </w:hyperlink>
    </w:p>
    <w:p w14:paraId="693D5399" w14:textId="42A43C80" w:rsidR="00FE2D46" w:rsidRDefault="008E07C6">
      <w:pPr>
        <w:pStyle w:val="TOC2"/>
        <w:tabs>
          <w:tab w:val="right" w:pos="9854"/>
        </w:tabs>
        <w:rPr>
          <w:rFonts w:eastAsiaTheme="minorEastAsia"/>
          <w:noProof/>
          <w:color w:val="auto"/>
          <w:kern w:val="0"/>
          <w:sz w:val="22"/>
          <w:szCs w:val="22"/>
          <w:lang w:eastAsia="en-AU"/>
        </w:rPr>
      </w:pPr>
      <w:hyperlink w:anchor="_Toc100326778" w:history="1">
        <w:r w:rsidR="00FE2D46" w:rsidRPr="00774757">
          <w:rPr>
            <w:rStyle w:val="Hyperlink"/>
            <w:noProof/>
          </w:rPr>
          <w:t>Government actions to address heavy vehicle trauma</w:t>
        </w:r>
        <w:r w:rsidR="00FE2D46">
          <w:rPr>
            <w:noProof/>
            <w:webHidden/>
          </w:rPr>
          <w:tab/>
        </w:r>
        <w:r w:rsidR="00FE2D46">
          <w:rPr>
            <w:noProof/>
            <w:webHidden/>
          </w:rPr>
          <w:fldChar w:fldCharType="begin"/>
        </w:r>
        <w:r w:rsidR="00FE2D46">
          <w:rPr>
            <w:noProof/>
            <w:webHidden/>
          </w:rPr>
          <w:instrText xml:space="preserve"> PAGEREF _Toc100326778 \h </w:instrText>
        </w:r>
        <w:r w:rsidR="00FE2D46">
          <w:rPr>
            <w:noProof/>
            <w:webHidden/>
          </w:rPr>
        </w:r>
        <w:r w:rsidR="00FE2D46">
          <w:rPr>
            <w:noProof/>
            <w:webHidden/>
          </w:rPr>
          <w:fldChar w:fldCharType="separate"/>
        </w:r>
        <w:r>
          <w:rPr>
            <w:noProof/>
            <w:webHidden/>
          </w:rPr>
          <w:t>12</w:t>
        </w:r>
        <w:r w:rsidR="00FE2D46">
          <w:rPr>
            <w:noProof/>
            <w:webHidden/>
          </w:rPr>
          <w:fldChar w:fldCharType="end"/>
        </w:r>
      </w:hyperlink>
    </w:p>
    <w:p w14:paraId="70BD0EA3" w14:textId="0C0C97B9" w:rsidR="00FE2D46" w:rsidRDefault="008E07C6">
      <w:pPr>
        <w:pStyle w:val="TOC3"/>
        <w:tabs>
          <w:tab w:val="right" w:pos="9854"/>
        </w:tabs>
        <w:rPr>
          <w:rFonts w:eastAsiaTheme="minorEastAsia"/>
          <w:noProof/>
          <w:color w:val="auto"/>
          <w:kern w:val="0"/>
          <w:sz w:val="22"/>
          <w:szCs w:val="22"/>
          <w:lang w:eastAsia="en-AU"/>
        </w:rPr>
      </w:pPr>
      <w:hyperlink w:anchor="_Toc100326779" w:history="1">
        <w:r w:rsidR="00FE2D46" w:rsidRPr="00774757">
          <w:rPr>
            <w:rStyle w:val="Hyperlink"/>
            <w:noProof/>
          </w:rPr>
          <w:t>Road Safety Programs</w:t>
        </w:r>
        <w:r w:rsidR="00FE2D46">
          <w:rPr>
            <w:noProof/>
            <w:webHidden/>
          </w:rPr>
          <w:tab/>
        </w:r>
        <w:r w:rsidR="00FE2D46">
          <w:rPr>
            <w:noProof/>
            <w:webHidden/>
          </w:rPr>
          <w:fldChar w:fldCharType="begin"/>
        </w:r>
        <w:r w:rsidR="00FE2D46">
          <w:rPr>
            <w:noProof/>
            <w:webHidden/>
          </w:rPr>
          <w:instrText xml:space="preserve"> PAGEREF _Toc100326779 \h </w:instrText>
        </w:r>
        <w:r w:rsidR="00FE2D46">
          <w:rPr>
            <w:noProof/>
            <w:webHidden/>
          </w:rPr>
        </w:r>
        <w:r w:rsidR="00FE2D46">
          <w:rPr>
            <w:noProof/>
            <w:webHidden/>
          </w:rPr>
          <w:fldChar w:fldCharType="separate"/>
        </w:r>
        <w:r>
          <w:rPr>
            <w:noProof/>
            <w:webHidden/>
          </w:rPr>
          <w:t>13</w:t>
        </w:r>
        <w:r w:rsidR="00FE2D46">
          <w:rPr>
            <w:noProof/>
            <w:webHidden/>
          </w:rPr>
          <w:fldChar w:fldCharType="end"/>
        </w:r>
      </w:hyperlink>
    </w:p>
    <w:p w14:paraId="1FE77F4C" w14:textId="64E822F9" w:rsidR="00FE2D46" w:rsidRDefault="008E07C6">
      <w:pPr>
        <w:pStyle w:val="TOC3"/>
        <w:tabs>
          <w:tab w:val="right" w:pos="9854"/>
        </w:tabs>
        <w:rPr>
          <w:rFonts w:eastAsiaTheme="minorEastAsia"/>
          <w:noProof/>
          <w:color w:val="auto"/>
          <w:kern w:val="0"/>
          <w:sz w:val="22"/>
          <w:szCs w:val="22"/>
          <w:lang w:eastAsia="en-AU"/>
        </w:rPr>
      </w:pPr>
      <w:hyperlink w:anchor="_Toc100326780" w:history="1">
        <w:r w:rsidR="00FE2D46" w:rsidRPr="00774757">
          <w:rPr>
            <w:rStyle w:val="Hyperlink"/>
            <w:rFonts w:cstheme="minorHAnsi"/>
            <w:noProof/>
          </w:rPr>
          <w:t xml:space="preserve">Heavy </w:t>
        </w:r>
        <w:r w:rsidR="00FE2D46" w:rsidRPr="00774757">
          <w:rPr>
            <w:rStyle w:val="Hyperlink"/>
            <w:noProof/>
          </w:rPr>
          <w:t>Vehicle</w:t>
        </w:r>
        <w:r w:rsidR="00FE2D46" w:rsidRPr="00774757">
          <w:rPr>
            <w:rStyle w:val="Hyperlink"/>
            <w:rFonts w:cstheme="minorHAnsi"/>
            <w:noProof/>
          </w:rPr>
          <w:t xml:space="preserve"> Safety Initiative (HVSI)</w:t>
        </w:r>
        <w:r w:rsidR="00FE2D46">
          <w:rPr>
            <w:noProof/>
            <w:webHidden/>
          </w:rPr>
          <w:tab/>
        </w:r>
        <w:r w:rsidR="00FE2D46">
          <w:rPr>
            <w:noProof/>
            <w:webHidden/>
          </w:rPr>
          <w:fldChar w:fldCharType="begin"/>
        </w:r>
        <w:r w:rsidR="00FE2D46">
          <w:rPr>
            <w:noProof/>
            <w:webHidden/>
          </w:rPr>
          <w:instrText xml:space="preserve"> PAGEREF _Toc100326780 \h </w:instrText>
        </w:r>
        <w:r w:rsidR="00FE2D46">
          <w:rPr>
            <w:noProof/>
            <w:webHidden/>
          </w:rPr>
        </w:r>
        <w:r w:rsidR="00FE2D46">
          <w:rPr>
            <w:noProof/>
            <w:webHidden/>
          </w:rPr>
          <w:fldChar w:fldCharType="separate"/>
        </w:r>
        <w:r>
          <w:rPr>
            <w:noProof/>
            <w:webHidden/>
          </w:rPr>
          <w:t>13</w:t>
        </w:r>
        <w:r w:rsidR="00FE2D46">
          <w:rPr>
            <w:noProof/>
            <w:webHidden/>
          </w:rPr>
          <w:fldChar w:fldCharType="end"/>
        </w:r>
      </w:hyperlink>
    </w:p>
    <w:p w14:paraId="0F0B58A9" w14:textId="6D90083A" w:rsidR="00FE2D46" w:rsidRDefault="008E07C6">
      <w:pPr>
        <w:pStyle w:val="TOC3"/>
        <w:tabs>
          <w:tab w:val="right" w:pos="9854"/>
        </w:tabs>
        <w:rPr>
          <w:rFonts w:eastAsiaTheme="minorEastAsia"/>
          <w:noProof/>
          <w:color w:val="auto"/>
          <w:kern w:val="0"/>
          <w:sz w:val="22"/>
          <w:szCs w:val="22"/>
          <w:lang w:eastAsia="en-AU"/>
        </w:rPr>
      </w:pPr>
      <w:hyperlink w:anchor="_Toc100326781" w:history="1">
        <w:r w:rsidR="00FE2D46" w:rsidRPr="00774757">
          <w:rPr>
            <w:rStyle w:val="Hyperlink"/>
            <w:noProof/>
          </w:rPr>
          <w:t>Driver Reviver Site Upgrades</w:t>
        </w:r>
        <w:r w:rsidR="00FE2D46">
          <w:rPr>
            <w:noProof/>
            <w:webHidden/>
          </w:rPr>
          <w:tab/>
        </w:r>
        <w:r w:rsidR="00FE2D46">
          <w:rPr>
            <w:noProof/>
            <w:webHidden/>
          </w:rPr>
          <w:fldChar w:fldCharType="begin"/>
        </w:r>
        <w:r w:rsidR="00FE2D46">
          <w:rPr>
            <w:noProof/>
            <w:webHidden/>
          </w:rPr>
          <w:instrText xml:space="preserve"> PAGEREF _Toc100326781 \h </w:instrText>
        </w:r>
        <w:r w:rsidR="00FE2D46">
          <w:rPr>
            <w:noProof/>
            <w:webHidden/>
          </w:rPr>
        </w:r>
        <w:r w:rsidR="00FE2D46">
          <w:rPr>
            <w:noProof/>
            <w:webHidden/>
          </w:rPr>
          <w:fldChar w:fldCharType="separate"/>
        </w:r>
        <w:r>
          <w:rPr>
            <w:noProof/>
            <w:webHidden/>
          </w:rPr>
          <w:t>14</w:t>
        </w:r>
        <w:r w:rsidR="00FE2D46">
          <w:rPr>
            <w:noProof/>
            <w:webHidden/>
          </w:rPr>
          <w:fldChar w:fldCharType="end"/>
        </w:r>
      </w:hyperlink>
    </w:p>
    <w:p w14:paraId="4154FAE6" w14:textId="7DFAC713" w:rsidR="00FE2D46" w:rsidRDefault="008E07C6">
      <w:pPr>
        <w:pStyle w:val="TOC2"/>
        <w:tabs>
          <w:tab w:val="right" w:pos="9854"/>
        </w:tabs>
        <w:rPr>
          <w:rFonts w:eastAsiaTheme="minorEastAsia"/>
          <w:noProof/>
          <w:color w:val="auto"/>
          <w:kern w:val="0"/>
          <w:sz w:val="22"/>
          <w:szCs w:val="22"/>
          <w:lang w:eastAsia="en-AU"/>
        </w:rPr>
      </w:pPr>
      <w:hyperlink w:anchor="_Toc100326782" w:history="1">
        <w:r w:rsidR="00FE2D46" w:rsidRPr="00774757">
          <w:rPr>
            <w:rStyle w:val="Hyperlink"/>
            <w:noProof/>
          </w:rPr>
          <w:t>State and Territory Government actions</w:t>
        </w:r>
        <w:r w:rsidR="00FE2D46">
          <w:rPr>
            <w:noProof/>
            <w:webHidden/>
          </w:rPr>
          <w:tab/>
        </w:r>
        <w:r w:rsidR="00FE2D46">
          <w:rPr>
            <w:noProof/>
            <w:webHidden/>
          </w:rPr>
          <w:fldChar w:fldCharType="begin"/>
        </w:r>
        <w:r w:rsidR="00FE2D46">
          <w:rPr>
            <w:noProof/>
            <w:webHidden/>
          </w:rPr>
          <w:instrText xml:space="preserve"> PAGEREF _Toc100326782 \h </w:instrText>
        </w:r>
        <w:r w:rsidR="00FE2D46">
          <w:rPr>
            <w:noProof/>
            <w:webHidden/>
          </w:rPr>
        </w:r>
        <w:r w:rsidR="00FE2D46">
          <w:rPr>
            <w:noProof/>
            <w:webHidden/>
          </w:rPr>
          <w:fldChar w:fldCharType="separate"/>
        </w:r>
        <w:r>
          <w:rPr>
            <w:noProof/>
            <w:webHidden/>
          </w:rPr>
          <w:t>14</w:t>
        </w:r>
        <w:r w:rsidR="00FE2D46">
          <w:rPr>
            <w:noProof/>
            <w:webHidden/>
          </w:rPr>
          <w:fldChar w:fldCharType="end"/>
        </w:r>
      </w:hyperlink>
    </w:p>
    <w:p w14:paraId="742A2989" w14:textId="4EBDB574" w:rsidR="00FE2D46" w:rsidRDefault="008E07C6">
      <w:pPr>
        <w:pStyle w:val="TOC2"/>
        <w:tabs>
          <w:tab w:val="right" w:pos="9854"/>
        </w:tabs>
        <w:rPr>
          <w:rFonts w:eastAsiaTheme="minorEastAsia"/>
          <w:noProof/>
          <w:color w:val="auto"/>
          <w:kern w:val="0"/>
          <w:sz w:val="22"/>
          <w:szCs w:val="22"/>
          <w:lang w:eastAsia="en-AU"/>
        </w:rPr>
      </w:pPr>
      <w:hyperlink w:anchor="_Toc100326783" w:history="1">
        <w:r w:rsidR="00FE2D46" w:rsidRPr="00774757">
          <w:rPr>
            <w:rStyle w:val="Hyperlink"/>
            <w:noProof/>
            <w:lang w:val="en-US"/>
          </w:rPr>
          <w:t>National Vehicle Standards</w:t>
        </w:r>
        <w:r w:rsidR="00FE2D46">
          <w:rPr>
            <w:noProof/>
            <w:webHidden/>
          </w:rPr>
          <w:tab/>
        </w:r>
        <w:r w:rsidR="00FE2D46">
          <w:rPr>
            <w:noProof/>
            <w:webHidden/>
          </w:rPr>
          <w:fldChar w:fldCharType="begin"/>
        </w:r>
        <w:r w:rsidR="00FE2D46">
          <w:rPr>
            <w:noProof/>
            <w:webHidden/>
          </w:rPr>
          <w:instrText xml:space="preserve"> PAGEREF _Toc100326783 \h </w:instrText>
        </w:r>
        <w:r w:rsidR="00FE2D46">
          <w:rPr>
            <w:noProof/>
            <w:webHidden/>
          </w:rPr>
        </w:r>
        <w:r w:rsidR="00FE2D46">
          <w:rPr>
            <w:noProof/>
            <w:webHidden/>
          </w:rPr>
          <w:fldChar w:fldCharType="separate"/>
        </w:r>
        <w:r>
          <w:rPr>
            <w:noProof/>
            <w:webHidden/>
          </w:rPr>
          <w:t>16</w:t>
        </w:r>
        <w:r w:rsidR="00FE2D46">
          <w:rPr>
            <w:noProof/>
            <w:webHidden/>
          </w:rPr>
          <w:fldChar w:fldCharType="end"/>
        </w:r>
      </w:hyperlink>
    </w:p>
    <w:p w14:paraId="108860C3" w14:textId="5F2213BE" w:rsidR="00FE2D46" w:rsidRDefault="008E07C6">
      <w:pPr>
        <w:pStyle w:val="TOC3"/>
        <w:tabs>
          <w:tab w:val="right" w:pos="9854"/>
        </w:tabs>
        <w:rPr>
          <w:rFonts w:eastAsiaTheme="minorEastAsia"/>
          <w:noProof/>
          <w:color w:val="auto"/>
          <w:kern w:val="0"/>
          <w:sz w:val="22"/>
          <w:szCs w:val="22"/>
          <w:lang w:eastAsia="en-AU"/>
        </w:rPr>
      </w:pPr>
      <w:hyperlink w:anchor="_Toc100326784" w:history="1">
        <w:r w:rsidR="00FE2D46" w:rsidRPr="00774757">
          <w:rPr>
            <w:rStyle w:val="Hyperlink"/>
            <w:noProof/>
            <w:lang w:val="en-US"/>
          </w:rPr>
          <w:t>Front Underrun Impact Protection Devices</w:t>
        </w:r>
        <w:r w:rsidR="00FE2D46">
          <w:rPr>
            <w:noProof/>
            <w:webHidden/>
          </w:rPr>
          <w:tab/>
        </w:r>
        <w:r w:rsidR="00FE2D46">
          <w:rPr>
            <w:noProof/>
            <w:webHidden/>
          </w:rPr>
          <w:fldChar w:fldCharType="begin"/>
        </w:r>
        <w:r w:rsidR="00FE2D46">
          <w:rPr>
            <w:noProof/>
            <w:webHidden/>
          </w:rPr>
          <w:instrText xml:space="preserve"> PAGEREF _Toc100326784 \h </w:instrText>
        </w:r>
        <w:r w:rsidR="00FE2D46">
          <w:rPr>
            <w:noProof/>
            <w:webHidden/>
          </w:rPr>
        </w:r>
        <w:r w:rsidR="00FE2D46">
          <w:rPr>
            <w:noProof/>
            <w:webHidden/>
          </w:rPr>
          <w:fldChar w:fldCharType="separate"/>
        </w:r>
        <w:r>
          <w:rPr>
            <w:noProof/>
            <w:webHidden/>
          </w:rPr>
          <w:t>16</w:t>
        </w:r>
        <w:r w:rsidR="00FE2D46">
          <w:rPr>
            <w:noProof/>
            <w:webHidden/>
          </w:rPr>
          <w:fldChar w:fldCharType="end"/>
        </w:r>
      </w:hyperlink>
    </w:p>
    <w:p w14:paraId="5AF4D335" w14:textId="229A7FA8" w:rsidR="00FE2D46" w:rsidRDefault="008E07C6">
      <w:pPr>
        <w:pStyle w:val="TOC1"/>
        <w:rPr>
          <w:rFonts w:eastAsiaTheme="minorEastAsia"/>
          <w:b w:val="0"/>
          <w:noProof/>
          <w:color w:val="auto"/>
          <w:kern w:val="0"/>
          <w:sz w:val="22"/>
          <w:szCs w:val="22"/>
          <w:u w:val="none"/>
          <w:lang w:eastAsia="en-AU"/>
        </w:rPr>
      </w:pPr>
      <w:hyperlink w:anchor="_Toc100326785" w:history="1">
        <w:r w:rsidR="00FE2D46" w:rsidRPr="00774757">
          <w:rPr>
            <w:rStyle w:val="Hyperlink"/>
            <w:noProof/>
          </w:rPr>
          <w:t>Chapter 2: Why is government action needed?</w:t>
        </w:r>
        <w:r w:rsidR="00FE2D46">
          <w:rPr>
            <w:noProof/>
            <w:webHidden/>
          </w:rPr>
          <w:tab/>
        </w:r>
        <w:r w:rsidR="00FE2D46">
          <w:rPr>
            <w:noProof/>
            <w:webHidden/>
          </w:rPr>
          <w:fldChar w:fldCharType="begin"/>
        </w:r>
        <w:r w:rsidR="00FE2D46">
          <w:rPr>
            <w:noProof/>
            <w:webHidden/>
          </w:rPr>
          <w:instrText xml:space="preserve"> PAGEREF _Toc100326785 \h </w:instrText>
        </w:r>
        <w:r w:rsidR="00FE2D46">
          <w:rPr>
            <w:noProof/>
            <w:webHidden/>
          </w:rPr>
        </w:r>
        <w:r w:rsidR="00FE2D46">
          <w:rPr>
            <w:noProof/>
            <w:webHidden/>
          </w:rPr>
          <w:fldChar w:fldCharType="separate"/>
        </w:r>
        <w:r>
          <w:rPr>
            <w:noProof/>
            <w:webHidden/>
          </w:rPr>
          <w:t>17</w:t>
        </w:r>
        <w:r w:rsidR="00FE2D46">
          <w:rPr>
            <w:noProof/>
            <w:webHidden/>
          </w:rPr>
          <w:fldChar w:fldCharType="end"/>
        </w:r>
      </w:hyperlink>
    </w:p>
    <w:p w14:paraId="7D578532" w14:textId="168EDD3C" w:rsidR="00FE2D46" w:rsidRDefault="008E07C6">
      <w:pPr>
        <w:pStyle w:val="TOC2"/>
        <w:tabs>
          <w:tab w:val="right" w:pos="9854"/>
        </w:tabs>
        <w:rPr>
          <w:rFonts w:eastAsiaTheme="minorEastAsia"/>
          <w:noProof/>
          <w:color w:val="auto"/>
          <w:kern w:val="0"/>
          <w:sz w:val="22"/>
          <w:szCs w:val="22"/>
          <w:lang w:eastAsia="en-AU"/>
        </w:rPr>
      </w:pPr>
      <w:hyperlink w:anchor="_Toc100326786" w:history="1">
        <w:r w:rsidR="00FE2D46" w:rsidRPr="00774757">
          <w:rPr>
            <w:rStyle w:val="Hyperlink"/>
            <w:noProof/>
          </w:rPr>
          <w:t>The need for government action</w:t>
        </w:r>
        <w:r w:rsidR="00FE2D46">
          <w:rPr>
            <w:noProof/>
            <w:webHidden/>
          </w:rPr>
          <w:tab/>
        </w:r>
        <w:r w:rsidR="00FE2D46">
          <w:rPr>
            <w:noProof/>
            <w:webHidden/>
          </w:rPr>
          <w:fldChar w:fldCharType="begin"/>
        </w:r>
        <w:r w:rsidR="00FE2D46">
          <w:rPr>
            <w:noProof/>
            <w:webHidden/>
          </w:rPr>
          <w:instrText xml:space="preserve"> PAGEREF _Toc100326786 \h </w:instrText>
        </w:r>
        <w:r w:rsidR="00FE2D46">
          <w:rPr>
            <w:noProof/>
            <w:webHidden/>
          </w:rPr>
        </w:r>
        <w:r w:rsidR="00FE2D46">
          <w:rPr>
            <w:noProof/>
            <w:webHidden/>
          </w:rPr>
          <w:fldChar w:fldCharType="separate"/>
        </w:r>
        <w:r>
          <w:rPr>
            <w:noProof/>
            <w:webHidden/>
          </w:rPr>
          <w:t>17</w:t>
        </w:r>
        <w:r w:rsidR="00FE2D46">
          <w:rPr>
            <w:noProof/>
            <w:webHidden/>
          </w:rPr>
          <w:fldChar w:fldCharType="end"/>
        </w:r>
      </w:hyperlink>
    </w:p>
    <w:p w14:paraId="219DD36A" w14:textId="3BD289C4" w:rsidR="00FE2D46" w:rsidRDefault="008E07C6">
      <w:pPr>
        <w:pStyle w:val="TOC2"/>
        <w:tabs>
          <w:tab w:val="right" w:pos="9854"/>
        </w:tabs>
        <w:rPr>
          <w:rFonts w:eastAsiaTheme="minorEastAsia"/>
          <w:noProof/>
          <w:color w:val="auto"/>
          <w:kern w:val="0"/>
          <w:sz w:val="22"/>
          <w:szCs w:val="22"/>
          <w:lang w:eastAsia="en-AU"/>
        </w:rPr>
      </w:pPr>
      <w:hyperlink w:anchor="_Toc100326787" w:history="1">
        <w:r w:rsidR="00FE2D46" w:rsidRPr="00774757">
          <w:rPr>
            <w:rStyle w:val="Hyperlink"/>
            <w:noProof/>
          </w:rPr>
          <w:t>Availability and uptake of LDWS</w:t>
        </w:r>
        <w:r w:rsidR="00FE2D46">
          <w:rPr>
            <w:noProof/>
            <w:webHidden/>
          </w:rPr>
          <w:tab/>
        </w:r>
        <w:r w:rsidR="00FE2D46">
          <w:rPr>
            <w:noProof/>
            <w:webHidden/>
          </w:rPr>
          <w:fldChar w:fldCharType="begin"/>
        </w:r>
        <w:r w:rsidR="00FE2D46">
          <w:rPr>
            <w:noProof/>
            <w:webHidden/>
          </w:rPr>
          <w:instrText xml:space="preserve"> PAGEREF _Toc100326787 \h </w:instrText>
        </w:r>
        <w:r w:rsidR="00FE2D46">
          <w:rPr>
            <w:noProof/>
            <w:webHidden/>
          </w:rPr>
        </w:r>
        <w:r w:rsidR="00FE2D46">
          <w:rPr>
            <w:noProof/>
            <w:webHidden/>
          </w:rPr>
          <w:fldChar w:fldCharType="separate"/>
        </w:r>
        <w:r>
          <w:rPr>
            <w:noProof/>
            <w:webHidden/>
          </w:rPr>
          <w:t>18</w:t>
        </w:r>
        <w:r w:rsidR="00FE2D46">
          <w:rPr>
            <w:noProof/>
            <w:webHidden/>
          </w:rPr>
          <w:fldChar w:fldCharType="end"/>
        </w:r>
      </w:hyperlink>
    </w:p>
    <w:p w14:paraId="3EC453E9" w14:textId="5D5EE862" w:rsidR="00FE2D46" w:rsidRDefault="008E07C6">
      <w:pPr>
        <w:pStyle w:val="TOC2"/>
        <w:tabs>
          <w:tab w:val="right" w:pos="9854"/>
        </w:tabs>
        <w:rPr>
          <w:rFonts w:eastAsiaTheme="minorEastAsia"/>
          <w:noProof/>
          <w:color w:val="auto"/>
          <w:kern w:val="0"/>
          <w:sz w:val="22"/>
          <w:szCs w:val="22"/>
          <w:lang w:eastAsia="en-AU"/>
        </w:rPr>
      </w:pPr>
      <w:hyperlink w:anchor="_Toc100326788" w:history="1">
        <w:r w:rsidR="00FE2D46" w:rsidRPr="00774757">
          <w:rPr>
            <w:rStyle w:val="Hyperlink"/>
            <w:noProof/>
          </w:rPr>
          <w:t>Consumer knowledge</w:t>
        </w:r>
        <w:r w:rsidR="00FE2D46">
          <w:rPr>
            <w:noProof/>
            <w:webHidden/>
          </w:rPr>
          <w:tab/>
        </w:r>
        <w:r w:rsidR="00FE2D46">
          <w:rPr>
            <w:noProof/>
            <w:webHidden/>
          </w:rPr>
          <w:fldChar w:fldCharType="begin"/>
        </w:r>
        <w:r w:rsidR="00FE2D46">
          <w:rPr>
            <w:noProof/>
            <w:webHidden/>
          </w:rPr>
          <w:instrText xml:space="preserve"> PAGEREF _Toc100326788 \h </w:instrText>
        </w:r>
        <w:r w:rsidR="00FE2D46">
          <w:rPr>
            <w:noProof/>
            <w:webHidden/>
          </w:rPr>
        </w:r>
        <w:r w:rsidR="00FE2D46">
          <w:rPr>
            <w:noProof/>
            <w:webHidden/>
          </w:rPr>
          <w:fldChar w:fldCharType="separate"/>
        </w:r>
        <w:r>
          <w:rPr>
            <w:noProof/>
            <w:webHidden/>
          </w:rPr>
          <w:t>19</w:t>
        </w:r>
        <w:r w:rsidR="00FE2D46">
          <w:rPr>
            <w:noProof/>
            <w:webHidden/>
          </w:rPr>
          <w:fldChar w:fldCharType="end"/>
        </w:r>
      </w:hyperlink>
    </w:p>
    <w:p w14:paraId="0CD3F9A6" w14:textId="06658984" w:rsidR="00FE2D46" w:rsidRDefault="008E07C6">
      <w:pPr>
        <w:pStyle w:val="TOC2"/>
        <w:tabs>
          <w:tab w:val="right" w:pos="9854"/>
        </w:tabs>
        <w:rPr>
          <w:rFonts w:eastAsiaTheme="minorEastAsia"/>
          <w:noProof/>
          <w:color w:val="auto"/>
          <w:kern w:val="0"/>
          <w:sz w:val="22"/>
          <w:szCs w:val="22"/>
          <w:lang w:eastAsia="en-AU"/>
        </w:rPr>
      </w:pPr>
      <w:hyperlink w:anchor="_Toc100326789" w:history="1">
        <w:r w:rsidR="00FE2D46" w:rsidRPr="00774757">
          <w:rPr>
            <w:rStyle w:val="Hyperlink"/>
            <w:noProof/>
          </w:rPr>
          <w:t>Vehicle technology interventions</w:t>
        </w:r>
        <w:r w:rsidR="00FE2D46">
          <w:rPr>
            <w:noProof/>
            <w:webHidden/>
          </w:rPr>
          <w:tab/>
        </w:r>
        <w:r w:rsidR="00FE2D46">
          <w:rPr>
            <w:noProof/>
            <w:webHidden/>
          </w:rPr>
          <w:fldChar w:fldCharType="begin"/>
        </w:r>
        <w:r w:rsidR="00FE2D46">
          <w:rPr>
            <w:noProof/>
            <w:webHidden/>
          </w:rPr>
          <w:instrText xml:space="preserve"> PAGEREF _Toc100326789 \h </w:instrText>
        </w:r>
        <w:r w:rsidR="00FE2D46">
          <w:rPr>
            <w:noProof/>
            <w:webHidden/>
          </w:rPr>
        </w:r>
        <w:r w:rsidR="00FE2D46">
          <w:rPr>
            <w:noProof/>
            <w:webHidden/>
          </w:rPr>
          <w:fldChar w:fldCharType="separate"/>
        </w:r>
        <w:r>
          <w:rPr>
            <w:noProof/>
            <w:webHidden/>
          </w:rPr>
          <w:t>19</w:t>
        </w:r>
        <w:r w:rsidR="00FE2D46">
          <w:rPr>
            <w:noProof/>
            <w:webHidden/>
          </w:rPr>
          <w:fldChar w:fldCharType="end"/>
        </w:r>
      </w:hyperlink>
    </w:p>
    <w:p w14:paraId="3B1D0D47" w14:textId="7A855394" w:rsidR="00FE2D46" w:rsidRDefault="008E07C6">
      <w:pPr>
        <w:pStyle w:val="TOC2"/>
        <w:tabs>
          <w:tab w:val="right" w:pos="9854"/>
        </w:tabs>
        <w:rPr>
          <w:rFonts w:eastAsiaTheme="minorEastAsia"/>
          <w:noProof/>
          <w:color w:val="auto"/>
          <w:kern w:val="0"/>
          <w:sz w:val="22"/>
          <w:szCs w:val="22"/>
          <w:lang w:eastAsia="en-AU"/>
        </w:rPr>
      </w:pPr>
      <w:hyperlink w:anchor="_Toc100326790" w:history="1">
        <w:r w:rsidR="00FE2D46" w:rsidRPr="00774757">
          <w:rPr>
            <w:rStyle w:val="Hyperlink"/>
            <w:noProof/>
            <w:lang w:val="en-US"/>
          </w:rPr>
          <w:t>Lane Departure Warning Systems</w:t>
        </w:r>
        <w:r w:rsidR="00FE2D46">
          <w:rPr>
            <w:noProof/>
            <w:webHidden/>
          </w:rPr>
          <w:tab/>
        </w:r>
        <w:r w:rsidR="00FE2D46">
          <w:rPr>
            <w:noProof/>
            <w:webHidden/>
          </w:rPr>
          <w:fldChar w:fldCharType="begin"/>
        </w:r>
        <w:r w:rsidR="00FE2D46">
          <w:rPr>
            <w:noProof/>
            <w:webHidden/>
          </w:rPr>
          <w:instrText xml:space="preserve"> PAGEREF _Toc100326790 \h </w:instrText>
        </w:r>
        <w:r w:rsidR="00FE2D46">
          <w:rPr>
            <w:noProof/>
            <w:webHidden/>
          </w:rPr>
        </w:r>
        <w:r w:rsidR="00FE2D46">
          <w:rPr>
            <w:noProof/>
            <w:webHidden/>
          </w:rPr>
          <w:fldChar w:fldCharType="separate"/>
        </w:r>
        <w:r>
          <w:rPr>
            <w:noProof/>
            <w:webHidden/>
          </w:rPr>
          <w:t>20</w:t>
        </w:r>
        <w:r w:rsidR="00FE2D46">
          <w:rPr>
            <w:noProof/>
            <w:webHidden/>
          </w:rPr>
          <w:fldChar w:fldCharType="end"/>
        </w:r>
      </w:hyperlink>
    </w:p>
    <w:p w14:paraId="64932A91" w14:textId="3D3512E2" w:rsidR="00FE2D46" w:rsidRDefault="008E07C6">
      <w:pPr>
        <w:pStyle w:val="TOC2"/>
        <w:tabs>
          <w:tab w:val="right" w:pos="9854"/>
        </w:tabs>
        <w:rPr>
          <w:rFonts w:eastAsiaTheme="minorEastAsia"/>
          <w:noProof/>
          <w:color w:val="auto"/>
          <w:kern w:val="0"/>
          <w:sz w:val="22"/>
          <w:szCs w:val="22"/>
          <w:lang w:eastAsia="en-AU"/>
        </w:rPr>
      </w:pPr>
      <w:hyperlink w:anchor="_Toc100326791" w:history="1">
        <w:r w:rsidR="00FE2D46" w:rsidRPr="00774757">
          <w:rPr>
            <w:rStyle w:val="Hyperlink"/>
            <w:noProof/>
          </w:rPr>
          <w:t>Summary of UN Regulation No. 130</w:t>
        </w:r>
        <w:r w:rsidR="00FE2D46">
          <w:rPr>
            <w:noProof/>
            <w:webHidden/>
          </w:rPr>
          <w:tab/>
        </w:r>
        <w:r w:rsidR="00FE2D46">
          <w:rPr>
            <w:noProof/>
            <w:webHidden/>
          </w:rPr>
          <w:fldChar w:fldCharType="begin"/>
        </w:r>
        <w:r w:rsidR="00FE2D46">
          <w:rPr>
            <w:noProof/>
            <w:webHidden/>
          </w:rPr>
          <w:instrText xml:space="preserve"> PAGEREF _Toc100326791 \h </w:instrText>
        </w:r>
        <w:r w:rsidR="00FE2D46">
          <w:rPr>
            <w:noProof/>
            <w:webHidden/>
          </w:rPr>
        </w:r>
        <w:r w:rsidR="00FE2D46">
          <w:rPr>
            <w:noProof/>
            <w:webHidden/>
          </w:rPr>
          <w:fldChar w:fldCharType="separate"/>
        </w:r>
        <w:r>
          <w:rPr>
            <w:noProof/>
            <w:webHidden/>
          </w:rPr>
          <w:t>20</w:t>
        </w:r>
        <w:r w:rsidR="00FE2D46">
          <w:rPr>
            <w:noProof/>
            <w:webHidden/>
          </w:rPr>
          <w:fldChar w:fldCharType="end"/>
        </w:r>
      </w:hyperlink>
    </w:p>
    <w:p w14:paraId="7CD4EB57" w14:textId="14C7320C" w:rsidR="00FE2D46" w:rsidRDefault="008E07C6">
      <w:pPr>
        <w:pStyle w:val="TOC1"/>
        <w:rPr>
          <w:rFonts w:eastAsiaTheme="minorEastAsia"/>
          <w:b w:val="0"/>
          <w:noProof/>
          <w:color w:val="auto"/>
          <w:kern w:val="0"/>
          <w:sz w:val="22"/>
          <w:szCs w:val="22"/>
          <w:u w:val="none"/>
          <w:lang w:eastAsia="en-AU"/>
        </w:rPr>
      </w:pPr>
      <w:hyperlink w:anchor="_Toc100326792" w:history="1">
        <w:r w:rsidR="00FE2D46" w:rsidRPr="00774757">
          <w:rPr>
            <w:rStyle w:val="Hyperlink"/>
            <w:noProof/>
          </w:rPr>
          <w:t>Chapter 3: Policy options considered</w:t>
        </w:r>
        <w:r w:rsidR="00FE2D46">
          <w:rPr>
            <w:noProof/>
            <w:webHidden/>
          </w:rPr>
          <w:tab/>
        </w:r>
        <w:r w:rsidR="00FE2D46">
          <w:rPr>
            <w:noProof/>
            <w:webHidden/>
          </w:rPr>
          <w:fldChar w:fldCharType="begin"/>
        </w:r>
        <w:r w:rsidR="00FE2D46">
          <w:rPr>
            <w:noProof/>
            <w:webHidden/>
          </w:rPr>
          <w:instrText xml:space="preserve"> PAGEREF _Toc100326792 \h </w:instrText>
        </w:r>
        <w:r w:rsidR="00FE2D46">
          <w:rPr>
            <w:noProof/>
            <w:webHidden/>
          </w:rPr>
        </w:r>
        <w:r w:rsidR="00FE2D46">
          <w:rPr>
            <w:noProof/>
            <w:webHidden/>
          </w:rPr>
          <w:fldChar w:fldCharType="separate"/>
        </w:r>
        <w:r>
          <w:rPr>
            <w:noProof/>
            <w:webHidden/>
          </w:rPr>
          <w:t>21</w:t>
        </w:r>
        <w:r w:rsidR="00FE2D46">
          <w:rPr>
            <w:noProof/>
            <w:webHidden/>
          </w:rPr>
          <w:fldChar w:fldCharType="end"/>
        </w:r>
      </w:hyperlink>
    </w:p>
    <w:p w14:paraId="0F5573AD" w14:textId="4395B42F" w:rsidR="00FE2D46" w:rsidRDefault="008E07C6">
      <w:pPr>
        <w:pStyle w:val="TOC2"/>
        <w:tabs>
          <w:tab w:val="right" w:pos="9854"/>
        </w:tabs>
        <w:rPr>
          <w:rFonts w:eastAsiaTheme="minorEastAsia"/>
          <w:noProof/>
          <w:color w:val="auto"/>
          <w:kern w:val="0"/>
          <w:sz w:val="22"/>
          <w:szCs w:val="22"/>
          <w:lang w:eastAsia="en-AU"/>
        </w:rPr>
      </w:pPr>
      <w:hyperlink w:anchor="_Toc100326793" w:history="1">
        <w:r w:rsidR="00FE2D46" w:rsidRPr="00774757">
          <w:rPr>
            <w:rStyle w:val="Hyperlink"/>
            <w:noProof/>
          </w:rPr>
          <w:t>Summary of options</w:t>
        </w:r>
        <w:r w:rsidR="00FE2D46">
          <w:rPr>
            <w:noProof/>
            <w:webHidden/>
          </w:rPr>
          <w:tab/>
        </w:r>
        <w:r w:rsidR="00FE2D46">
          <w:rPr>
            <w:noProof/>
            <w:webHidden/>
          </w:rPr>
          <w:fldChar w:fldCharType="begin"/>
        </w:r>
        <w:r w:rsidR="00FE2D46">
          <w:rPr>
            <w:noProof/>
            <w:webHidden/>
          </w:rPr>
          <w:instrText xml:space="preserve"> PAGEREF _Toc100326793 \h </w:instrText>
        </w:r>
        <w:r w:rsidR="00FE2D46">
          <w:rPr>
            <w:noProof/>
            <w:webHidden/>
          </w:rPr>
        </w:r>
        <w:r w:rsidR="00FE2D46">
          <w:rPr>
            <w:noProof/>
            <w:webHidden/>
          </w:rPr>
          <w:fldChar w:fldCharType="separate"/>
        </w:r>
        <w:r>
          <w:rPr>
            <w:noProof/>
            <w:webHidden/>
          </w:rPr>
          <w:t>21</w:t>
        </w:r>
        <w:r w:rsidR="00FE2D46">
          <w:rPr>
            <w:noProof/>
            <w:webHidden/>
          </w:rPr>
          <w:fldChar w:fldCharType="end"/>
        </w:r>
      </w:hyperlink>
    </w:p>
    <w:p w14:paraId="5C436C1E" w14:textId="46543A54" w:rsidR="00FE2D46" w:rsidRDefault="008E07C6">
      <w:pPr>
        <w:pStyle w:val="TOC2"/>
        <w:tabs>
          <w:tab w:val="right" w:pos="9854"/>
        </w:tabs>
        <w:rPr>
          <w:rFonts w:eastAsiaTheme="minorEastAsia"/>
          <w:noProof/>
          <w:color w:val="auto"/>
          <w:kern w:val="0"/>
          <w:sz w:val="22"/>
          <w:szCs w:val="22"/>
          <w:lang w:eastAsia="en-AU"/>
        </w:rPr>
      </w:pPr>
      <w:hyperlink w:anchor="_Toc100326794" w:history="1">
        <w:r w:rsidR="00FE2D46" w:rsidRPr="00774757">
          <w:rPr>
            <w:rStyle w:val="Hyperlink"/>
            <w:noProof/>
          </w:rPr>
          <w:t>Discussion of options</w:t>
        </w:r>
        <w:r w:rsidR="00FE2D46">
          <w:rPr>
            <w:noProof/>
            <w:webHidden/>
          </w:rPr>
          <w:tab/>
        </w:r>
        <w:r w:rsidR="00FE2D46">
          <w:rPr>
            <w:noProof/>
            <w:webHidden/>
          </w:rPr>
          <w:fldChar w:fldCharType="begin"/>
        </w:r>
        <w:r w:rsidR="00FE2D46">
          <w:rPr>
            <w:noProof/>
            <w:webHidden/>
          </w:rPr>
          <w:instrText xml:space="preserve"> PAGEREF _Toc100326794 \h </w:instrText>
        </w:r>
        <w:r w:rsidR="00FE2D46">
          <w:rPr>
            <w:noProof/>
            <w:webHidden/>
          </w:rPr>
        </w:r>
        <w:r w:rsidR="00FE2D46">
          <w:rPr>
            <w:noProof/>
            <w:webHidden/>
          </w:rPr>
          <w:fldChar w:fldCharType="separate"/>
        </w:r>
        <w:r>
          <w:rPr>
            <w:noProof/>
            <w:webHidden/>
          </w:rPr>
          <w:t>21</w:t>
        </w:r>
        <w:r w:rsidR="00FE2D46">
          <w:rPr>
            <w:noProof/>
            <w:webHidden/>
          </w:rPr>
          <w:fldChar w:fldCharType="end"/>
        </w:r>
      </w:hyperlink>
    </w:p>
    <w:p w14:paraId="2197A48D" w14:textId="66D78FA2" w:rsidR="00FE2D46" w:rsidRDefault="008E07C6">
      <w:pPr>
        <w:pStyle w:val="TOC1"/>
        <w:rPr>
          <w:rFonts w:eastAsiaTheme="minorEastAsia"/>
          <w:b w:val="0"/>
          <w:noProof/>
          <w:color w:val="auto"/>
          <w:kern w:val="0"/>
          <w:sz w:val="22"/>
          <w:szCs w:val="22"/>
          <w:u w:val="none"/>
          <w:lang w:eastAsia="en-AU"/>
        </w:rPr>
      </w:pPr>
      <w:hyperlink w:anchor="_Toc100326795" w:history="1">
        <w:r w:rsidR="00FE2D46" w:rsidRPr="00774757">
          <w:rPr>
            <w:rStyle w:val="Hyperlink"/>
            <w:noProof/>
          </w:rPr>
          <w:t>Chapter 4: Likely net benefit of each option</w:t>
        </w:r>
        <w:r w:rsidR="00FE2D46">
          <w:rPr>
            <w:noProof/>
            <w:webHidden/>
          </w:rPr>
          <w:tab/>
        </w:r>
        <w:r w:rsidR="00FE2D46">
          <w:rPr>
            <w:noProof/>
            <w:webHidden/>
          </w:rPr>
          <w:fldChar w:fldCharType="begin"/>
        </w:r>
        <w:r w:rsidR="00FE2D46">
          <w:rPr>
            <w:noProof/>
            <w:webHidden/>
          </w:rPr>
          <w:instrText xml:space="preserve"> PAGEREF _Toc100326795 \h </w:instrText>
        </w:r>
        <w:r w:rsidR="00FE2D46">
          <w:rPr>
            <w:noProof/>
            <w:webHidden/>
          </w:rPr>
        </w:r>
        <w:r w:rsidR="00FE2D46">
          <w:rPr>
            <w:noProof/>
            <w:webHidden/>
          </w:rPr>
          <w:fldChar w:fldCharType="separate"/>
        </w:r>
        <w:r>
          <w:rPr>
            <w:noProof/>
            <w:webHidden/>
          </w:rPr>
          <w:t>24</w:t>
        </w:r>
        <w:r w:rsidR="00FE2D46">
          <w:rPr>
            <w:noProof/>
            <w:webHidden/>
          </w:rPr>
          <w:fldChar w:fldCharType="end"/>
        </w:r>
      </w:hyperlink>
    </w:p>
    <w:p w14:paraId="51906D0B" w14:textId="1377ADF6" w:rsidR="00FE2D46" w:rsidRDefault="008E07C6">
      <w:pPr>
        <w:pStyle w:val="TOC2"/>
        <w:tabs>
          <w:tab w:val="right" w:pos="9854"/>
        </w:tabs>
        <w:rPr>
          <w:rFonts w:eastAsiaTheme="minorEastAsia"/>
          <w:noProof/>
          <w:color w:val="auto"/>
          <w:kern w:val="0"/>
          <w:sz w:val="22"/>
          <w:szCs w:val="22"/>
          <w:lang w:eastAsia="en-AU"/>
        </w:rPr>
      </w:pPr>
      <w:hyperlink w:anchor="_Toc100326796" w:history="1">
        <w:r w:rsidR="00FE2D46" w:rsidRPr="00774757">
          <w:rPr>
            <w:rStyle w:val="Hyperlink"/>
            <w:noProof/>
          </w:rPr>
          <w:t>Benefit-cost analysis</w:t>
        </w:r>
        <w:r w:rsidR="00FE2D46">
          <w:rPr>
            <w:noProof/>
            <w:webHidden/>
          </w:rPr>
          <w:tab/>
        </w:r>
        <w:r w:rsidR="00FE2D46">
          <w:rPr>
            <w:noProof/>
            <w:webHidden/>
          </w:rPr>
          <w:fldChar w:fldCharType="begin"/>
        </w:r>
        <w:r w:rsidR="00FE2D46">
          <w:rPr>
            <w:noProof/>
            <w:webHidden/>
          </w:rPr>
          <w:instrText xml:space="preserve"> PAGEREF _Toc100326796 \h </w:instrText>
        </w:r>
        <w:r w:rsidR="00FE2D46">
          <w:rPr>
            <w:noProof/>
            <w:webHidden/>
          </w:rPr>
        </w:r>
        <w:r w:rsidR="00FE2D46">
          <w:rPr>
            <w:noProof/>
            <w:webHidden/>
          </w:rPr>
          <w:fldChar w:fldCharType="separate"/>
        </w:r>
        <w:r>
          <w:rPr>
            <w:noProof/>
            <w:webHidden/>
          </w:rPr>
          <w:t>24</w:t>
        </w:r>
        <w:r w:rsidR="00FE2D46">
          <w:rPr>
            <w:noProof/>
            <w:webHidden/>
          </w:rPr>
          <w:fldChar w:fldCharType="end"/>
        </w:r>
      </w:hyperlink>
    </w:p>
    <w:p w14:paraId="2CB42533" w14:textId="0FD682C8" w:rsidR="00FE2D46" w:rsidRDefault="008E07C6">
      <w:pPr>
        <w:pStyle w:val="TOC2"/>
        <w:tabs>
          <w:tab w:val="right" w:pos="9854"/>
        </w:tabs>
        <w:rPr>
          <w:rFonts w:eastAsiaTheme="minorEastAsia"/>
          <w:noProof/>
          <w:color w:val="auto"/>
          <w:kern w:val="0"/>
          <w:sz w:val="22"/>
          <w:szCs w:val="22"/>
          <w:lang w:eastAsia="en-AU"/>
        </w:rPr>
      </w:pPr>
      <w:hyperlink w:anchor="_Toc100326797" w:history="1">
        <w:r w:rsidR="00FE2D46" w:rsidRPr="00774757">
          <w:rPr>
            <w:rStyle w:val="Hyperlink"/>
            <w:noProof/>
          </w:rPr>
          <w:t>Economic aspects - impact analysis</w:t>
        </w:r>
        <w:r w:rsidR="00FE2D46">
          <w:rPr>
            <w:noProof/>
            <w:webHidden/>
          </w:rPr>
          <w:tab/>
        </w:r>
        <w:r w:rsidR="00FE2D46">
          <w:rPr>
            <w:noProof/>
            <w:webHidden/>
          </w:rPr>
          <w:fldChar w:fldCharType="begin"/>
        </w:r>
        <w:r w:rsidR="00FE2D46">
          <w:rPr>
            <w:noProof/>
            <w:webHidden/>
          </w:rPr>
          <w:instrText xml:space="preserve"> PAGEREF _Toc100326797 \h </w:instrText>
        </w:r>
        <w:r w:rsidR="00FE2D46">
          <w:rPr>
            <w:noProof/>
            <w:webHidden/>
          </w:rPr>
        </w:r>
        <w:r w:rsidR="00FE2D46">
          <w:rPr>
            <w:noProof/>
            <w:webHidden/>
          </w:rPr>
          <w:fldChar w:fldCharType="separate"/>
        </w:r>
        <w:r>
          <w:rPr>
            <w:noProof/>
            <w:webHidden/>
          </w:rPr>
          <w:t>24</w:t>
        </w:r>
        <w:r w:rsidR="00FE2D46">
          <w:rPr>
            <w:noProof/>
            <w:webHidden/>
          </w:rPr>
          <w:fldChar w:fldCharType="end"/>
        </w:r>
      </w:hyperlink>
    </w:p>
    <w:p w14:paraId="1603E614" w14:textId="18F9899D" w:rsidR="00FE2D46" w:rsidRDefault="008E07C6">
      <w:pPr>
        <w:pStyle w:val="TOC3"/>
        <w:tabs>
          <w:tab w:val="right" w:pos="9854"/>
        </w:tabs>
        <w:rPr>
          <w:rFonts w:eastAsiaTheme="minorEastAsia"/>
          <w:noProof/>
          <w:color w:val="auto"/>
          <w:kern w:val="0"/>
          <w:sz w:val="22"/>
          <w:szCs w:val="22"/>
          <w:lang w:eastAsia="en-AU"/>
        </w:rPr>
      </w:pPr>
      <w:hyperlink w:anchor="_Toc100326798" w:history="1">
        <w:r w:rsidR="00FE2D46" w:rsidRPr="00774757">
          <w:rPr>
            <w:rStyle w:val="Hyperlink"/>
            <w:noProof/>
            <w:lang w:val="en-US"/>
          </w:rPr>
          <w:t>Business</w:t>
        </w:r>
        <w:r w:rsidR="00FE2D46">
          <w:rPr>
            <w:noProof/>
            <w:webHidden/>
          </w:rPr>
          <w:tab/>
        </w:r>
        <w:r w:rsidR="00FE2D46">
          <w:rPr>
            <w:noProof/>
            <w:webHidden/>
          </w:rPr>
          <w:fldChar w:fldCharType="begin"/>
        </w:r>
        <w:r w:rsidR="00FE2D46">
          <w:rPr>
            <w:noProof/>
            <w:webHidden/>
          </w:rPr>
          <w:instrText xml:space="preserve"> PAGEREF _Toc100326798 \h </w:instrText>
        </w:r>
        <w:r w:rsidR="00FE2D46">
          <w:rPr>
            <w:noProof/>
            <w:webHidden/>
          </w:rPr>
        </w:r>
        <w:r w:rsidR="00FE2D46">
          <w:rPr>
            <w:noProof/>
            <w:webHidden/>
          </w:rPr>
          <w:fldChar w:fldCharType="separate"/>
        </w:r>
        <w:r>
          <w:rPr>
            <w:noProof/>
            <w:webHidden/>
          </w:rPr>
          <w:t>24</w:t>
        </w:r>
        <w:r w:rsidR="00FE2D46">
          <w:rPr>
            <w:noProof/>
            <w:webHidden/>
          </w:rPr>
          <w:fldChar w:fldCharType="end"/>
        </w:r>
      </w:hyperlink>
    </w:p>
    <w:p w14:paraId="2E9E4ADC" w14:textId="6866AEB0" w:rsidR="00FE2D46" w:rsidRDefault="008E07C6">
      <w:pPr>
        <w:pStyle w:val="TOC3"/>
        <w:tabs>
          <w:tab w:val="right" w:pos="9854"/>
        </w:tabs>
        <w:rPr>
          <w:rFonts w:eastAsiaTheme="minorEastAsia"/>
          <w:noProof/>
          <w:color w:val="auto"/>
          <w:kern w:val="0"/>
          <w:sz w:val="22"/>
          <w:szCs w:val="22"/>
          <w:lang w:eastAsia="en-AU"/>
        </w:rPr>
      </w:pPr>
      <w:hyperlink w:anchor="_Toc100326799" w:history="1">
        <w:r w:rsidR="00FE2D46" w:rsidRPr="00774757">
          <w:rPr>
            <w:rStyle w:val="Hyperlink"/>
            <w:noProof/>
            <w:lang w:val="en-US"/>
          </w:rPr>
          <w:t>Governments</w:t>
        </w:r>
        <w:r w:rsidR="00FE2D46">
          <w:rPr>
            <w:noProof/>
            <w:webHidden/>
          </w:rPr>
          <w:tab/>
        </w:r>
        <w:r w:rsidR="00FE2D46">
          <w:rPr>
            <w:noProof/>
            <w:webHidden/>
          </w:rPr>
          <w:fldChar w:fldCharType="begin"/>
        </w:r>
        <w:r w:rsidR="00FE2D46">
          <w:rPr>
            <w:noProof/>
            <w:webHidden/>
          </w:rPr>
          <w:instrText xml:space="preserve"> PAGEREF _Toc100326799 \h </w:instrText>
        </w:r>
        <w:r w:rsidR="00FE2D46">
          <w:rPr>
            <w:noProof/>
            <w:webHidden/>
          </w:rPr>
        </w:r>
        <w:r w:rsidR="00FE2D46">
          <w:rPr>
            <w:noProof/>
            <w:webHidden/>
          </w:rPr>
          <w:fldChar w:fldCharType="separate"/>
        </w:r>
        <w:r>
          <w:rPr>
            <w:noProof/>
            <w:webHidden/>
          </w:rPr>
          <w:t>25</w:t>
        </w:r>
        <w:r w:rsidR="00FE2D46">
          <w:rPr>
            <w:noProof/>
            <w:webHidden/>
          </w:rPr>
          <w:fldChar w:fldCharType="end"/>
        </w:r>
      </w:hyperlink>
    </w:p>
    <w:p w14:paraId="09AA993D" w14:textId="64A16F34" w:rsidR="00FE2D46" w:rsidRDefault="008E07C6">
      <w:pPr>
        <w:pStyle w:val="TOC3"/>
        <w:tabs>
          <w:tab w:val="right" w:pos="9854"/>
        </w:tabs>
        <w:rPr>
          <w:rFonts w:eastAsiaTheme="minorEastAsia"/>
          <w:noProof/>
          <w:color w:val="auto"/>
          <w:kern w:val="0"/>
          <w:sz w:val="22"/>
          <w:szCs w:val="22"/>
          <w:lang w:eastAsia="en-AU"/>
        </w:rPr>
      </w:pPr>
      <w:hyperlink w:anchor="_Toc100326800" w:history="1">
        <w:r w:rsidR="00FE2D46" w:rsidRPr="00774757">
          <w:rPr>
            <w:rStyle w:val="Hyperlink"/>
            <w:noProof/>
            <w:lang w:val="en-US"/>
          </w:rPr>
          <w:t>Impact of viable options</w:t>
        </w:r>
        <w:r w:rsidR="00FE2D46">
          <w:rPr>
            <w:noProof/>
            <w:webHidden/>
          </w:rPr>
          <w:tab/>
        </w:r>
        <w:r w:rsidR="00FE2D46">
          <w:rPr>
            <w:noProof/>
            <w:webHidden/>
          </w:rPr>
          <w:fldChar w:fldCharType="begin"/>
        </w:r>
        <w:r w:rsidR="00FE2D46">
          <w:rPr>
            <w:noProof/>
            <w:webHidden/>
          </w:rPr>
          <w:instrText xml:space="preserve"> PAGEREF _Toc100326800 \h </w:instrText>
        </w:r>
        <w:r w:rsidR="00FE2D46">
          <w:rPr>
            <w:noProof/>
            <w:webHidden/>
          </w:rPr>
        </w:r>
        <w:r w:rsidR="00FE2D46">
          <w:rPr>
            <w:noProof/>
            <w:webHidden/>
          </w:rPr>
          <w:fldChar w:fldCharType="separate"/>
        </w:r>
        <w:r>
          <w:rPr>
            <w:noProof/>
            <w:webHidden/>
          </w:rPr>
          <w:t>25</w:t>
        </w:r>
        <w:r w:rsidR="00FE2D46">
          <w:rPr>
            <w:noProof/>
            <w:webHidden/>
          </w:rPr>
          <w:fldChar w:fldCharType="end"/>
        </w:r>
      </w:hyperlink>
    </w:p>
    <w:p w14:paraId="70C57F4A" w14:textId="07D2AEA8" w:rsidR="00FE2D46" w:rsidRDefault="008E07C6">
      <w:pPr>
        <w:pStyle w:val="TOC3"/>
        <w:tabs>
          <w:tab w:val="right" w:pos="9854"/>
        </w:tabs>
        <w:rPr>
          <w:rFonts w:eastAsiaTheme="minorEastAsia"/>
          <w:noProof/>
          <w:color w:val="auto"/>
          <w:kern w:val="0"/>
          <w:sz w:val="22"/>
          <w:szCs w:val="22"/>
          <w:lang w:eastAsia="en-AU"/>
        </w:rPr>
      </w:pPr>
      <w:hyperlink w:anchor="_Toc100326801" w:history="1">
        <w:r w:rsidR="00FE2D46" w:rsidRPr="00774757">
          <w:rPr>
            <w:rStyle w:val="Hyperlink"/>
            <w:noProof/>
            <w:lang w:val="en-US"/>
          </w:rPr>
          <w:t>Fitment effect of Option 2</w:t>
        </w:r>
        <w:r w:rsidR="00FE2D46">
          <w:rPr>
            <w:noProof/>
            <w:webHidden/>
          </w:rPr>
          <w:tab/>
        </w:r>
        <w:r w:rsidR="00FE2D46">
          <w:rPr>
            <w:noProof/>
            <w:webHidden/>
          </w:rPr>
          <w:fldChar w:fldCharType="begin"/>
        </w:r>
        <w:r w:rsidR="00FE2D46">
          <w:rPr>
            <w:noProof/>
            <w:webHidden/>
          </w:rPr>
          <w:instrText xml:space="preserve"> PAGEREF _Toc100326801 \h </w:instrText>
        </w:r>
        <w:r w:rsidR="00FE2D46">
          <w:rPr>
            <w:noProof/>
            <w:webHidden/>
          </w:rPr>
        </w:r>
        <w:r w:rsidR="00FE2D46">
          <w:rPr>
            <w:noProof/>
            <w:webHidden/>
          </w:rPr>
          <w:fldChar w:fldCharType="separate"/>
        </w:r>
        <w:r>
          <w:rPr>
            <w:noProof/>
            <w:webHidden/>
          </w:rPr>
          <w:t>26</w:t>
        </w:r>
        <w:r w:rsidR="00FE2D46">
          <w:rPr>
            <w:noProof/>
            <w:webHidden/>
          </w:rPr>
          <w:fldChar w:fldCharType="end"/>
        </w:r>
      </w:hyperlink>
    </w:p>
    <w:p w14:paraId="63B13AAF" w14:textId="18BB42A0" w:rsidR="00FE2D46" w:rsidRDefault="008E07C6">
      <w:pPr>
        <w:pStyle w:val="TOC2"/>
        <w:tabs>
          <w:tab w:val="right" w:pos="9854"/>
        </w:tabs>
        <w:rPr>
          <w:rFonts w:eastAsiaTheme="minorEastAsia"/>
          <w:noProof/>
          <w:color w:val="auto"/>
          <w:kern w:val="0"/>
          <w:sz w:val="22"/>
          <w:szCs w:val="22"/>
          <w:lang w:eastAsia="en-AU"/>
        </w:rPr>
      </w:pPr>
      <w:hyperlink w:anchor="_Toc100326802" w:history="1">
        <w:r w:rsidR="00FE2D46" w:rsidRPr="00774757">
          <w:rPr>
            <w:rStyle w:val="Hyperlink"/>
            <w:noProof/>
          </w:rPr>
          <w:t>Regulatory burden and cost offsets</w:t>
        </w:r>
        <w:r w:rsidR="00FE2D46">
          <w:rPr>
            <w:noProof/>
            <w:webHidden/>
          </w:rPr>
          <w:tab/>
        </w:r>
        <w:r w:rsidR="00FE2D46">
          <w:rPr>
            <w:noProof/>
            <w:webHidden/>
          </w:rPr>
          <w:fldChar w:fldCharType="begin"/>
        </w:r>
        <w:r w:rsidR="00FE2D46">
          <w:rPr>
            <w:noProof/>
            <w:webHidden/>
          </w:rPr>
          <w:instrText xml:space="preserve"> PAGEREF _Toc100326802 \h </w:instrText>
        </w:r>
        <w:r w:rsidR="00FE2D46">
          <w:rPr>
            <w:noProof/>
            <w:webHidden/>
          </w:rPr>
        </w:r>
        <w:r w:rsidR="00FE2D46">
          <w:rPr>
            <w:noProof/>
            <w:webHidden/>
          </w:rPr>
          <w:fldChar w:fldCharType="separate"/>
        </w:r>
        <w:r>
          <w:rPr>
            <w:noProof/>
            <w:webHidden/>
          </w:rPr>
          <w:t>28</w:t>
        </w:r>
        <w:r w:rsidR="00FE2D46">
          <w:rPr>
            <w:noProof/>
            <w:webHidden/>
          </w:rPr>
          <w:fldChar w:fldCharType="end"/>
        </w:r>
      </w:hyperlink>
    </w:p>
    <w:p w14:paraId="21252EB5" w14:textId="528C491E" w:rsidR="00FE2D46" w:rsidRDefault="008E07C6">
      <w:pPr>
        <w:pStyle w:val="TOC1"/>
        <w:rPr>
          <w:rFonts w:eastAsiaTheme="minorEastAsia"/>
          <w:b w:val="0"/>
          <w:noProof/>
          <w:color w:val="auto"/>
          <w:kern w:val="0"/>
          <w:sz w:val="22"/>
          <w:szCs w:val="22"/>
          <w:u w:val="none"/>
          <w:lang w:eastAsia="en-AU"/>
        </w:rPr>
      </w:pPr>
      <w:hyperlink w:anchor="_Toc100326803" w:history="1">
        <w:r w:rsidR="00FE2D46" w:rsidRPr="00774757">
          <w:rPr>
            <w:rStyle w:val="Hyperlink"/>
            <w:noProof/>
          </w:rPr>
          <w:t>Chapter 5: Consultation</w:t>
        </w:r>
        <w:r w:rsidR="00FE2D46">
          <w:rPr>
            <w:noProof/>
            <w:webHidden/>
          </w:rPr>
          <w:tab/>
        </w:r>
        <w:r w:rsidR="00FE2D46">
          <w:rPr>
            <w:noProof/>
            <w:webHidden/>
          </w:rPr>
          <w:fldChar w:fldCharType="begin"/>
        </w:r>
        <w:r w:rsidR="00FE2D46">
          <w:rPr>
            <w:noProof/>
            <w:webHidden/>
          </w:rPr>
          <w:instrText xml:space="preserve"> PAGEREF _Toc100326803 \h </w:instrText>
        </w:r>
        <w:r w:rsidR="00FE2D46">
          <w:rPr>
            <w:noProof/>
            <w:webHidden/>
          </w:rPr>
        </w:r>
        <w:r w:rsidR="00FE2D46">
          <w:rPr>
            <w:noProof/>
            <w:webHidden/>
          </w:rPr>
          <w:fldChar w:fldCharType="separate"/>
        </w:r>
        <w:r>
          <w:rPr>
            <w:noProof/>
            <w:webHidden/>
          </w:rPr>
          <w:t>29</w:t>
        </w:r>
        <w:r w:rsidR="00FE2D46">
          <w:rPr>
            <w:noProof/>
            <w:webHidden/>
          </w:rPr>
          <w:fldChar w:fldCharType="end"/>
        </w:r>
      </w:hyperlink>
    </w:p>
    <w:p w14:paraId="2A7D9525" w14:textId="5B2BFD5E" w:rsidR="00FE2D46" w:rsidRDefault="008E07C6">
      <w:pPr>
        <w:pStyle w:val="TOC2"/>
        <w:tabs>
          <w:tab w:val="right" w:pos="9854"/>
        </w:tabs>
        <w:rPr>
          <w:rFonts w:eastAsiaTheme="minorEastAsia"/>
          <w:noProof/>
          <w:color w:val="auto"/>
          <w:kern w:val="0"/>
          <w:sz w:val="22"/>
          <w:szCs w:val="22"/>
          <w:lang w:eastAsia="en-AU"/>
        </w:rPr>
      </w:pPr>
      <w:hyperlink w:anchor="_Toc100326804" w:history="1">
        <w:r w:rsidR="00FE2D46" w:rsidRPr="00774757">
          <w:rPr>
            <w:rStyle w:val="Hyperlink"/>
            <w:noProof/>
          </w:rPr>
          <w:t>Consultative committees</w:t>
        </w:r>
        <w:r w:rsidR="00FE2D46">
          <w:rPr>
            <w:noProof/>
            <w:webHidden/>
          </w:rPr>
          <w:tab/>
        </w:r>
        <w:r w:rsidR="00FE2D46">
          <w:rPr>
            <w:noProof/>
            <w:webHidden/>
          </w:rPr>
          <w:fldChar w:fldCharType="begin"/>
        </w:r>
        <w:r w:rsidR="00FE2D46">
          <w:rPr>
            <w:noProof/>
            <w:webHidden/>
          </w:rPr>
          <w:instrText xml:space="preserve"> PAGEREF _Toc100326804 \h </w:instrText>
        </w:r>
        <w:r w:rsidR="00FE2D46">
          <w:rPr>
            <w:noProof/>
            <w:webHidden/>
          </w:rPr>
        </w:r>
        <w:r w:rsidR="00FE2D46">
          <w:rPr>
            <w:noProof/>
            <w:webHidden/>
          </w:rPr>
          <w:fldChar w:fldCharType="separate"/>
        </w:r>
        <w:r>
          <w:rPr>
            <w:noProof/>
            <w:webHidden/>
          </w:rPr>
          <w:t>29</w:t>
        </w:r>
        <w:r w:rsidR="00FE2D46">
          <w:rPr>
            <w:noProof/>
            <w:webHidden/>
          </w:rPr>
          <w:fldChar w:fldCharType="end"/>
        </w:r>
      </w:hyperlink>
    </w:p>
    <w:p w14:paraId="2ECF798B" w14:textId="47941EE4" w:rsidR="00FE2D46" w:rsidRDefault="008E07C6">
      <w:pPr>
        <w:pStyle w:val="TOC2"/>
        <w:tabs>
          <w:tab w:val="right" w:pos="9854"/>
        </w:tabs>
        <w:rPr>
          <w:rFonts w:eastAsiaTheme="minorEastAsia"/>
          <w:noProof/>
          <w:color w:val="auto"/>
          <w:kern w:val="0"/>
          <w:sz w:val="22"/>
          <w:szCs w:val="22"/>
          <w:lang w:eastAsia="en-AU"/>
        </w:rPr>
      </w:pPr>
      <w:hyperlink w:anchor="_Toc100326805" w:history="1">
        <w:r w:rsidR="00FE2D46" w:rsidRPr="00774757">
          <w:rPr>
            <w:rStyle w:val="Hyperlink"/>
            <w:noProof/>
          </w:rPr>
          <w:t>Public comment</w:t>
        </w:r>
        <w:r w:rsidR="00FE2D46">
          <w:rPr>
            <w:noProof/>
            <w:webHidden/>
          </w:rPr>
          <w:tab/>
        </w:r>
        <w:r w:rsidR="00FE2D46">
          <w:rPr>
            <w:noProof/>
            <w:webHidden/>
          </w:rPr>
          <w:fldChar w:fldCharType="begin"/>
        </w:r>
        <w:r w:rsidR="00FE2D46">
          <w:rPr>
            <w:noProof/>
            <w:webHidden/>
          </w:rPr>
          <w:instrText xml:space="preserve"> PAGEREF _Toc100326805 \h </w:instrText>
        </w:r>
        <w:r w:rsidR="00FE2D46">
          <w:rPr>
            <w:noProof/>
            <w:webHidden/>
          </w:rPr>
        </w:r>
        <w:r w:rsidR="00FE2D46">
          <w:rPr>
            <w:noProof/>
            <w:webHidden/>
          </w:rPr>
          <w:fldChar w:fldCharType="separate"/>
        </w:r>
        <w:r>
          <w:rPr>
            <w:noProof/>
            <w:webHidden/>
          </w:rPr>
          <w:t>29</w:t>
        </w:r>
        <w:r w:rsidR="00FE2D46">
          <w:rPr>
            <w:noProof/>
            <w:webHidden/>
          </w:rPr>
          <w:fldChar w:fldCharType="end"/>
        </w:r>
      </w:hyperlink>
    </w:p>
    <w:p w14:paraId="68769FD0" w14:textId="641F40FB" w:rsidR="00FE2D46" w:rsidRDefault="008E07C6">
      <w:pPr>
        <w:pStyle w:val="TOC1"/>
        <w:rPr>
          <w:rFonts w:eastAsiaTheme="minorEastAsia"/>
          <w:b w:val="0"/>
          <w:noProof/>
          <w:color w:val="auto"/>
          <w:kern w:val="0"/>
          <w:sz w:val="22"/>
          <w:szCs w:val="22"/>
          <w:u w:val="none"/>
          <w:lang w:eastAsia="en-AU"/>
        </w:rPr>
      </w:pPr>
      <w:hyperlink w:anchor="_Toc100326806" w:history="1">
        <w:r w:rsidR="00FE2D46" w:rsidRPr="00774757">
          <w:rPr>
            <w:rStyle w:val="Hyperlink"/>
            <w:noProof/>
          </w:rPr>
          <w:t>Chapter 6: What is the best option?</w:t>
        </w:r>
        <w:r w:rsidR="00FE2D46">
          <w:rPr>
            <w:noProof/>
            <w:webHidden/>
          </w:rPr>
          <w:tab/>
        </w:r>
        <w:r w:rsidR="00FE2D46">
          <w:rPr>
            <w:noProof/>
            <w:webHidden/>
          </w:rPr>
          <w:fldChar w:fldCharType="begin"/>
        </w:r>
        <w:r w:rsidR="00FE2D46">
          <w:rPr>
            <w:noProof/>
            <w:webHidden/>
          </w:rPr>
          <w:instrText xml:space="preserve"> PAGEREF _Toc100326806 \h </w:instrText>
        </w:r>
        <w:r w:rsidR="00FE2D46">
          <w:rPr>
            <w:noProof/>
            <w:webHidden/>
          </w:rPr>
        </w:r>
        <w:r w:rsidR="00FE2D46">
          <w:rPr>
            <w:noProof/>
            <w:webHidden/>
          </w:rPr>
          <w:fldChar w:fldCharType="separate"/>
        </w:r>
        <w:r>
          <w:rPr>
            <w:noProof/>
            <w:webHidden/>
          </w:rPr>
          <w:t>31</w:t>
        </w:r>
        <w:r w:rsidR="00FE2D46">
          <w:rPr>
            <w:noProof/>
            <w:webHidden/>
          </w:rPr>
          <w:fldChar w:fldCharType="end"/>
        </w:r>
      </w:hyperlink>
    </w:p>
    <w:p w14:paraId="29DDD1FE" w14:textId="6E457441" w:rsidR="00FE2D46" w:rsidRDefault="008E07C6">
      <w:pPr>
        <w:pStyle w:val="TOC2"/>
        <w:tabs>
          <w:tab w:val="right" w:pos="9854"/>
        </w:tabs>
        <w:rPr>
          <w:rFonts w:eastAsiaTheme="minorEastAsia"/>
          <w:noProof/>
          <w:color w:val="auto"/>
          <w:kern w:val="0"/>
          <w:sz w:val="22"/>
          <w:szCs w:val="22"/>
          <w:lang w:eastAsia="en-AU"/>
        </w:rPr>
      </w:pPr>
      <w:hyperlink w:anchor="_Toc100326807" w:history="1">
        <w:r w:rsidR="00FE2D46" w:rsidRPr="00774757">
          <w:rPr>
            <w:rStyle w:val="Hyperlink"/>
            <w:noProof/>
          </w:rPr>
          <w:t>Net benefits</w:t>
        </w:r>
        <w:r w:rsidR="00FE2D46">
          <w:rPr>
            <w:noProof/>
            <w:webHidden/>
          </w:rPr>
          <w:tab/>
        </w:r>
        <w:r w:rsidR="00FE2D46">
          <w:rPr>
            <w:noProof/>
            <w:webHidden/>
          </w:rPr>
          <w:fldChar w:fldCharType="begin"/>
        </w:r>
        <w:r w:rsidR="00FE2D46">
          <w:rPr>
            <w:noProof/>
            <w:webHidden/>
          </w:rPr>
          <w:instrText xml:space="preserve"> PAGEREF _Toc100326807 \h </w:instrText>
        </w:r>
        <w:r w:rsidR="00FE2D46">
          <w:rPr>
            <w:noProof/>
            <w:webHidden/>
          </w:rPr>
        </w:r>
        <w:r w:rsidR="00FE2D46">
          <w:rPr>
            <w:noProof/>
            <w:webHidden/>
          </w:rPr>
          <w:fldChar w:fldCharType="separate"/>
        </w:r>
        <w:r>
          <w:rPr>
            <w:noProof/>
            <w:webHidden/>
          </w:rPr>
          <w:t>31</w:t>
        </w:r>
        <w:r w:rsidR="00FE2D46">
          <w:rPr>
            <w:noProof/>
            <w:webHidden/>
          </w:rPr>
          <w:fldChar w:fldCharType="end"/>
        </w:r>
      </w:hyperlink>
    </w:p>
    <w:p w14:paraId="3DCDD889" w14:textId="39A320EF" w:rsidR="00FE2D46" w:rsidRDefault="008E07C6">
      <w:pPr>
        <w:pStyle w:val="TOC2"/>
        <w:tabs>
          <w:tab w:val="right" w:pos="9854"/>
        </w:tabs>
        <w:rPr>
          <w:rFonts w:eastAsiaTheme="minorEastAsia"/>
          <w:noProof/>
          <w:color w:val="auto"/>
          <w:kern w:val="0"/>
          <w:sz w:val="22"/>
          <w:szCs w:val="22"/>
          <w:lang w:eastAsia="en-AU"/>
        </w:rPr>
      </w:pPr>
      <w:hyperlink w:anchor="_Toc100326808" w:history="1">
        <w:r w:rsidR="00FE2D46" w:rsidRPr="00774757">
          <w:rPr>
            <w:rStyle w:val="Hyperlink"/>
            <w:noProof/>
          </w:rPr>
          <w:t>Casualty reductions</w:t>
        </w:r>
        <w:r w:rsidR="00FE2D46">
          <w:rPr>
            <w:noProof/>
            <w:webHidden/>
          </w:rPr>
          <w:tab/>
        </w:r>
        <w:r w:rsidR="00FE2D46">
          <w:rPr>
            <w:noProof/>
            <w:webHidden/>
          </w:rPr>
          <w:fldChar w:fldCharType="begin"/>
        </w:r>
        <w:r w:rsidR="00FE2D46">
          <w:rPr>
            <w:noProof/>
            <w:webHidden/>
          </w:rPr>
          <w:instrText xml:space="preserve"> PAGEREF _Toc100326808 \h </w:instrText>
        </w:r>
        <w:r w:rsidR="00FE2D46">
          <w:rPr>
            <w:noProof/>
            <w:webHidden/>
          </w:rPr>
        </w:r>
        <w:r w:rsidR="00FE2D46">
          <w:rPr>
            <w:noProof/>
            <w:webHidden/>
          </w:rPr>
          <w:fldChar w:fldCharType="separate"/>
        </w:r>
        <w:r>
          <w:rPr>
            <w:noProof/>
            <w:webHidden/>
          </w:rPr>
          <w:t>31</w:t>
        </w:r>
        <w:r w:rsidR="00FE2D46">
          <w:rPr>
            <w:noProof/>
            <w:webHidden/>
          </w:rPr>
          <w:fldChar w:fldCharType="end"/>
        </w:r>
      </w:hyperlink>
    </w:p>
    <w:p w14:paraId="1CF8E2C1" w14:textId="413D960A" w:rsidR="00FE2D46" w:rsidRDefault="008E07C6">
      <w:pPr>
        <w:pStyle w:val="TOC2"/>
        <w:tabs>
          <w:tab w:val="right" w:pos="9854"/>
        </w:tabs>
        <w:rPr>
          <w:rFonts w:eastAsiaTheme="minorEastAsia"/>
          <w:noProof/>
          <w:color w:val="auto"/>
          <w:kern w:val="0"/>
          <w:sz w:val="22"/>
          <w:szCs w:val="22"/>
          <w:lang w:eastAsia="en-AU"/>
        </w:rPr>
      </w:pPr>
      <w:hyperlink w:anchor="_Toc100326809" w:history="1">
        <w:r w:rsidR="00FE2D46" w:rsidRPr="00774757">
          <w:rPr>
            <w:rStyle w:val="Hyperlink"/>
            <w:noProof/>
          </w:rPr>
          <w:t>Recommendation</w:t>
        </w:r>
        <w:r w:rsidR="00FE2D46">
          <w:rPr>
            <w:noProof/>
            <w:webHidden/>
          </w:rPr>
          <w:tab/>
        </w:r>
        <w:r w:rsidR="00FE2D46">
          <w:rPr>
            <w:noProof/>
            <w:webHidden/>
          </w:rPr>
          <w:fldChar w:fldCharType="begin"/>
        </w:r>
        <w:r w:rsidR="00FE2D46">
          <w:rPr>
            <w:noProof/>
            <w:webHidden/>
          </w:rPr>
          <w:instrText xml:space="preserve"> PAGEREF _Toc100326809 \h </w:instrText>
        </w:r>
        <w:r w:rsidR="00FE2D46">
          <w:rPr>
            <w:noProof/>
            <w:webHidden/>
          </w:rPr>
        </w:r>
        <w:r w:rsidR="00FE2D46">
          <w:rPr>
            <w:noProof/>
            <w:webHidden/>
          </w:rPr>
          <w:fldChar w:fldCharType="separate"/>
        </w:r>
        <w:r>
          <w:rPr>
            <w:noProof/>
            <w:webHidden/>
          </w:rPr>
          <w:t>31</w:t>
        </w:r>
        <w:r w:rsidR="00FE2D46">
          <w:rPr>
            <w:noProof/>
            <w:webHidden/>
          </w:rPr>
          <w:fldChar w:fldCharType="end"/>
        </w:r>
      </w:hyperlink>
    </w:p>
    <w:p w14:paraId="131FB792" w14:textId="2A062141" w:rsidR="00FE2D46" w:rsidRDefault="008E07C6">
      <w:pPr>
        <w:pStyle w:val="TOC2"/>
        <w:tabs>
          <w:tab w:val="right" w:pos="9854"/>
        </w:tabs>
        <w:rPr>
          <w:rFonts w:eastAsiaTheme="minorEastAsia"/>
          <w:noProof/>
          <w:color w:val="auto"/>
          <w:kern w:val="0"/>
          <w:sz w:val="22"/>
          <w:szCs w:val="22"/>
          <w:lang w:eastAsia="en-AU"/>
        </w:rPr>
      </w:pPr>
      <w:hyperlink w:anchor="_Toc100326810" w:history="1">
        <w:r w:rsidR="00FE2D46" w:rsidRPr="00774757">
          <w:rPr>
            <w:rStyle w:val="Hyperlink"/>
            <w:noProof/>
          </w:rPr>
          <w:t>Scope of the recommended option</w:t>
        </w:r>
        <w:r w:rsidR="00FE2D46">
          <w:rPr>
            <w:noProof/>
            <w:webHidden/>
          </w:rPr>
          <w:tab/>
        </w:r>
        <w:r w:rsidR="00FE2D46">
          <w:rPr>
            <w:noProof/>
            <w:webHidden/>
          </w:rPr>
          <w:fldChar w:fldCharType="begin"/>
        </w:r>
        <w:r w:rsidR="00FE2D46">
          <w:rPr>
            <w:noProof/>
            <w:webHidden/>
          </w:rPr>
          <w:instrText xml:space="preserve"> PAGEREF _Toc100326810 \h </w:instrText>
        </w:r>
        <w:r w:rsidR="00FE2D46">
          <w:rPr>
            <w:noProof/>
            <w:webHidden/>
          </w:rPr>
        </w:r>
        <w:r w:rsidR="00FE2D46">
          <w:rPr>
            <w:noProof/>
            <w:webHidden/>
          </w:rPr>
          <w:fldChar w:fldCharType="separate"/>
        </w:r>
        <w:r>
          <w:rPr>
            <w:noProof/>
            <w:webHidden/>
          </w:rPr>
          <w:t>32</w:t>
        </w:r>
        <w:r w:rsidR="00FE2D46">
          <w:rPr>
            <w:noProof/>
            <w:webHidden/>
          </w:rPr>
          <w:fldChar w:fldCharType="end"/>
        </w:r>
      </w:hyperlink>
    </w:p>
    <w:p w14:paraId="42D20B05" w14:textId="6DD09B81" w:rsidR="00FE2D46" w:rsidRDefault="008E07C6">
      <w:pPr>
        <w:pStyle w:val="TOC2"/>
        <w:tabs>
          <w:tab w:val="right" w:pos="9854"/>
        </w:tabs>
        <w:rPr>
          <w:rFonts w:eastAsiaTheme="minorEastAsia"/>
          <w:noProof/>
          <w:color w:val="auto"/>
          <w:kern w:val="0"/>
          <w:sz w:val="22"/>
          <w:szCs w:val="22"/>
          <w:lang w:eastAsia="en-AU"/>
        </w:rPr>
      </w:pPr>
      <w:hyperlink w:anchor="_Toc100326811" w:history="1">
        <w:r w:rsidR="00FE2D46" w:rsidRPr="00774757">
          <w:rPr>
            <w:rStyle w:val="Hyperlink"/>
            <w:noProof/>
          </w:rPr>
          <w:t>Timing of the recommended option</w:t>
        </w:r>
        <w:r w:rsidR="00FE2D46">
          <w:rPr>
            <w:noProof/>
            <w:webHidden/>
          </w:rPr>
          <w:tab/>
        </w:r>
        <w:r w:rsidR="00FE2D46">
          <w:rPr>
            <w:noProof/>
            <w:webHidden/>
          </w:rPr>
          <w:fldChar w:fldCharType="begin"/>
        </w:r>
        <w:r w:rsidR="00FE2D46">
          <w:rPr>
            <w:noProof/>
            <w:webHidden/>
          </w:rPr>
          <w:instrText xml:space="preserve"> PAGEREF _Toc100326811 \h </w:instrText>
        </w:r>
        <w:r w:rsidR="00FE2D46">
          <w:rPr>
            <w:noProof/>
            <w:webHidden/>
          </w:rPr>
        </w:r>
        <w:r w:rsidR="00FE2D46">
          <w:rPr>
            <w:noProof/>
            <w:webHidden/>
          </w:rPr>
          <w:fldChar w:fldCharType="separate"/>
        </w:r>
        <w:r>
          <w:rPr>
            <w:noProof/>
            <w:webHidden/>
          </w:rPr>
          <w:t>32</w:t>
        </w:r>
        <w:r w:rsidR="00FE2D46">
          <w:rPr>
            <w:noProof/>
            <w:webHidden/>
          </w:rPr>
          <w:fldChar w:fldCharType="end"/>
        </w:r>
      </w:hyperlink>
    </w:p>
    <w:p w14:paraId="0EFD9463" w14:textId="208E49FB" w:rsidR="00FE2D46" w:rsidRDefault="008E07C6">
      <w:pPr>
        <w:pStyle w:val="TOC1"/>
        <w:rPr>
          <w:rFonts w:eastAsiaTheme="minorEastAsia"/>
          <w:b w:val="0"/>
          <w:noProof/>
          <w:color w:val="auto"/>
          <w:kern w:val="0"/>
          <w:sz w:val="22"/>
          <w:szCs w:val="22"/>
          <w:u w:val="none"/>
          <w:lang w:eastAsia="en-AU"/>
        </w:rPr>
      </w:pPr>
      <w:hyperlink w:anchor="_Toc100326812" w:history="1">
        <w:r w:rsidR="00FE2D46" w:rsidRPr="00774757">
          <w:rPr>
            <w:rStyle w:val="Hyperlink"/>
            <w:noProof/>
          </w:rPr>
          <w:t>Chapter 7:  Implementation and Evaluation</w:t>
        </w:r>
        <w:r w:rsidR="00FE2D46">
          <w:rPr>
            <w:noProof/>
            <w:webHidden/>
          </w:rPr>
          <w:tab/>
        </w:r>
        <w:r w:rsidR="00FE2D46">
          <w:rPr>
            <w:noProof/>
            <w:webHidden/>
          </w:rPr>
          <w:fldChar w:fldCharType="begin"/>
        </w:r>
        <w:r w:rsidR="00FE2D46">
          <w:rPr>
            <w:noProof/>
            <w:webHidden/>
          </w:rPr>
          <w:instrText xml:space="preserve"> PAGEREF _Toc100326812 \h </w:instrText>
        </w:r>
        <w:r w:rsidR="00FE2D46">
          <w:rPr>
            <w:noProof/>
            <w:webHidden/>
          </w:rPr>
        </w:r>
        <w:r w:rsidR="00FE2D46">
          <w:rPr>
            <w:noProof/>
            <w:webHidden/>
          </w:rPr>
          <w:fldChar w:fldCharType="separate"/>
        </w:r>
        <w:r>
          <w:rPr>
            <w:noProof/>
            <w:webHidden/>
          </w:rPr>
          <w:t>33</w:t>
        </w:r>
        <w:r w:rsidR="00FE2D46">
          <w:rPr>
            <w:noProof/>
            <w:webHidden/>
          </w:rPr>
          <w:fldChar w:fldCharType="end"/>
        </w:r>
      </w:hyperlink>
    </w:p>
    <w:p w14:paraId="31325E13" w14:textId="07C9BBFC" w:rsidR="00FE2D46" w:rsidRDefault="008E07C6">
      <w:pPr>
        <w:pStyle w:val="TOC2"/>
        <w:tabs>
          <w:tab w:val="right" w:pos="9854"/>
        </w:tabs>
        <w:rPr>
          <w:rFonts w:eastAsiaTheme="minorEastAsia"/>
          <w:noProof/>
          <w:color w:val="auto"/>
          <w:kern w:val="0"/>
          <w:sz w:val="22"/>
          <w:szCs w:val="22"/>
          <w:lang w:eastAsia="en-AU"/>
        </w:rPr>
      </w:pPr>
      <w:hyperlink w:anchor="_Toc100326813" w:history="1">
        <w:r w:rsidR="00FE2D46" w:rsidRPr="00774757">
          <w:rPr>
            <w:rStyle w:val="Hyperlink"/>
            <w:noProof/>
          </w:rPr>
          <w:t>Sunsetting of ADRs</w:t>
        </w:r>
        <w:r w:rsidR="00FE2D46">
          <w:rPr>
            <w:noProof/>
            <w:webHidden/>
          </w:rPr>
          <w:tab/>
        </w:r>
        <w:r w:rsidR="00FE2D46">
          <w:rPr>
            <w:noProof/>
            <w:webHidden/>
          </w:rPr>
          <w:fldChar w:fldCharType="begin"/>
        </w:r>
        <w:r w:rsidR="00FE2D46">
          <w:rPr>
            <w:noProof/>
            <w:webHidden/>
          </w:rPr>
          <w:instrText xml:space="preserve"> PAGEREF _Toc100326813 \h </w:instrText>
        </w:r>
        <w:r w:rsidR="00FE2D46">
          <w:rPr>
            <w:noProof/>
            <w:webHidden/>
          </w:rPr>
        </w:r>
        <w:r w:rsidR="00FE2D46">
          <w:rPr>
            <w:noProof/>
            <w:webHidden/>
          </w:rPr>
          <w:fldChar w:fldCharType="separate"/>
        </w:r>
        <w:r>
          <w:rPr>
            <w:noProof/>
            <w:webHidden/>
          </w:rPr>
          <w:t>33</w:t>
        </w:r>
        <w:r w:rsidR="00FE2D46">
          <w:rPr>
            <w:noProof/>
            <w:webHidden/>
          </w:rPr>
          <w:fldChar w:fldCharType="end"/>
        </w:r>
      </w:hyperlink>
    </w:p>
    <w:p w14:paraId="744FDD02" w14:textId="0940DFB8" w:rsidR="00FE2D46" w:rsidRDefault="008E07C6">
      <w:pPr>
        <w:pStyle w:val="TOC1"/>
        <w:rPr>
          <w:rFonts w:eastAsiaTheme="minorEastAsia"/>
          <w:b w:val="0"/>
          <w:noProof/>
          <w:color w:val="auto"/>
          <w:kern w:val="0"/>
          <w:sz w:val="22"/>
          <w:szCs w:val="22"/>
          <w:u w:val="none"/>
          <w:lang w:eastAsia="en-AU"/>
        </w:rPr>
      </w:pPr>
      <w:hyperlink w:anchor="_Toc100326814" w:history="1">
        <w:r w:rsidR="00FE2D46" w:rsidRPr="00774757">
          <w:rPr>
            <w:rStyle w:val="Hyperlink"/>
            <w:noProof/>
          </w:rPr>
          <w:t>Chapter 8: Conclusion and recommended option</w:t>
        </w:r>
        <w:r w:rsidR="00FE2D46">
          <w:rPr>
            <w:noProof/>
            <w:webHidden/>
          </w:rPr>
          <w:tab/>
        </w:r>
        <w:r w:rsidR="00FE2D46">
          <w:rPr>
            <w:noProof/>
            <w:webHidden/>
          </w:rPr>
          <w:fldChar w:fldCharType="begin"/>
        </w:r>
        <w:r w:rsidR="00FE2D46">
          <w:rPr>
            <w:noProof/>
            <w:webHidden/>
          </w:rPr>
          <w:instrText xml:space="preserve"> PAGEREF _Toc100326814 \h </w:instrText>
        </w:r>
        <w:r w:rsidR="00FE2D46">
          <w:rPr>
            <w:noProof/>
            <w:webHidden/>
          </w:rPr>
        </w:r>
        <w:r w:rsidR="00FE2D46">
          <w:rPr>
            <w:noProof/>
            <w:webHidden/>
          </w:rPr>
          <w:fldChar w:fldCharType="separate"/>
        </w:r>
        <w:r>
          <w:rPr>
            <w:noProof/>
            <w:webHidden/>
          </w:rPr>
          <w:t>34</w:t>
        </w:r>
        <w:r w:rsidR="00FE2D46">
          <w:rPr>
            <w:noProof/>
            <w:webHidden/>
          </w:rPr>
          <w:fldChar w:fldCharType="end"/>
        </w:r>
      </w:hyperlink>
    </w:p>
    <w:p w14:paraId="36DE9B53" w14:textId="7F684129" w:rsidR="00FE2D46" w:rsidRDefault="008E07C6">
      <w:pPr>
        <w:pStyle w:val="TOC2"/>
        <w:tabs>
          <w:tab w:val="right" w:pos="9854"/>
        </w:tabs>
        <w:rPr>
          <w:rFonts w:eastAsiaTheme="minorEastAsia"/>
          <w:noProof/>
          <w:color w:val="auto"/>
          <w:kern w:val="0"/>
          <w:sz w:val="22"/>
          <w:szCs w:val="22"/>
          <w:lang w:eastAsia="en-AU"/>
        </w:rPr>
      </w:pPr>
      <w:hyperlink w:anchor="_Toc100326815" w:history="1">
        <w:r w:rsidR="00FE2D46" w:rsidRPr="00774757">
          <w:rPr>
            <w:rStyle w:val="Hyperlink"/>
            <w:noProof/>
          </w:rPr>
          <w:t>Conclusion</w:t>
        </w:r>
        <w:r w:rsidR="00FE2D46">
          <w:rPr>
            <w:noProof/>
            <w:webHidden/>
          </w:rPr>
          <w:tab/>
        </w:r>
        <w:r w:rsidR="00FE2D46">
          <w:rPr>
            <w:noProof/>
            <w:webHidden/>
          </w:rPr>
          <w:fldChar w:fldCharType="begin"/>
        </w:r>
        <w:r w:rsidR="00FE2D46">
          <w:rPr>
            <w:noProof/>
            <w:webHidden/>
          </w:rPr>
          <w:instrText xml:space="preserve"> PAGEREF _Toc100326815 \h </w:instrText>
        </w:r>
        <w:r w:rsidR="00FE2D46">
          <w:rPr>
            <w:noProof/>
            <w:webHidden/>
          </w:rPr>
        </w:r>
        <w:r w:rsidR="00FE2D46">
          <w:rPr>
            <w:noProof/>
            <w:webHidden/>
          </w:rPr>
          <w:fldChar w:fldCharType="separate"/>
        </w:r>
        <w:r>
          <w:rPr>
            <w:noProof/>
            <w:webHidden/>
          </w:rPr>
          <w:t>34</w:t>
        </w:r>
        <w:r w:rsidR="00FE2D46">
          <w:rPr>
            <w:noProof/>
            <w:webHidden/>
          </w:rPr>
          <w:fldChar w:fldCharType="end"/>
        </w:r>
      </w:hyperlink>
    </w:p>
    <w:p w14:paraId="14F993E6" w14:textId="484F8B59" w:rsidR="00FE2D46" w:rsidRDefault="008E07C6">
      <w:pPr>
        <w:pStyle w:val="TOC1"/>
        <w:rPr>
          <w:rFonts w:eastAsiaTheme="minorEastAsia"/>
          <w:b w:val="0"/>
          <w:noProof/>
          <w:color w:val="auto"/>
          <w:kern w:val="0"/>
          <w:sz w:val="22"/>
          <w:szCs w:val="22"/>
          <w:u w:val="none"/>
          <w:lang w:eastAsia="en-AU"/>
        </w:rPr>
      </w:pPr>
      <w:hyperlink w:anchor="_Toc100326816" w:history="1">
        <w:r w:rsidR="00FE2D46" w:rsidRPr="00774757">
          <w:rPr>
            <w:rStyle w:val="Hyperlink"/>
            <w:noProof/>
          </w:rPr>
          <w:t>Appendix A – References</w:t>
        </w:r>
        <w:r w:rsidR="00FE2D46">
          <w:rPr>
            <w:noProof/>
            <w:webHidden/>
          </w:rPr>
          <w:tab/>
        </w:r>
        <w:r w:rsidR="00FE2D46">
          <w:rPr>
            <w:noProof/>
            <w:webHidden/>
          </w:rPr>
          <w:fldChar w:fldCharType="begin"/>
        </w:r>
        <w:r w:rsidR="00FE2D46">
          <w:rPr>
            <w:noProof/>
            <w:webHidden/>
          </w:rPr>
          <w:instrText xml:space="preserve"> PAGEREF _Toc100326816 \h </w:instrText>
        </w:r>
        <w:r w:rsidR="00FE2D46">
          <w:rPr>
            <w:noProof/>
            <w:webHidden/>
          </w:rPr>
        </w:r>
        <w:r w:rsidR="00FE2D46">
          <w:rPr>
            <w:noProof/>
            <w:webHidden/>
          </w:rPr>
          <w:fldChar w:fldCharType="separate"/>
        </w:r>
        <w:r>
          <w:rPr>
            <w:noProof/>
            <w:webHidden/>
          </w:rPr>
          <w:t>35</w:t>
        </w:r>
        <w:r w:rsidR="00FE2D46">
          <w:rPr>
            <w:noProof/>
            <w:webHidden/>
          </w:rPr>
          <w:fldChar w:fldCharType="end"/>
        </w:r>
      </w:hyperlink>
    </w:p>
    <w:p w14:paraId="45ABA2BD" w14:textId="097CB72C" w:rsidR="00FE2D46" w:rsidRDefault="008E07C6">
      <w:pPr>
        <w:pStyle w:val="TOC1"/>
        <w:rPr>
          <w:rFonts w:eastAsiaTheme="minorEastAsia"/>
          <w:b w:val="0"/>
          <w:noProof/>
          <w:color w:val="auto"/>
          <w:kern w:val="0"/>
          <w:sz w:val="22"/>
          <w:szCs w:val="22"/>
          <w:u w:val="none"/>
          <w:lang w:eastAsia="en-AU"/>
        </w:rPr>
      </w:pPr>
      <w:hyperlink w:anchor="_Toc100326817" w:history="1">
        <w:r w:rsidR="00FE2D46" w:rsidRPr="00774757">
          <w:rPr>
            <w:rStyle w:val="Hyperlink"/>
            <w:noProof/>
          </w:rPr>
          <w:t>Appendix B – Strategic Vehicle Safety and Environment Group</w:t>
        </w:r>
        <w:r w:rsidR="00FE2D46">
          <w:rPr>
            <w:noProof/>
            <w:webHidden/>
          </w:rPr>
          <w:tab/>
        </w:r>
        <w:r w:rsidR="00FE2D46">
          <w:rPr>
            <w:noProof/>
            <w:webHidden/>
          </w:rPr>
          <w:fldChar w:fldCharType="begin"/>
        </w:r>
        <w:r w:rsidR="00FE2D46">
          <w:rPr>
            <w:noProof/>
            <w:webHidden/>
          </w:rPr>
          <w:instrText xml:space="preserve"> PAGEREF _Toc100326817 \h </w:instrText>
        </w:r>
        <w:r w:rsidR="00FE2D46">
          <w:rPr>
            <w:noProof/>
            <w:webHidden/>
          </w:rPr>
        </w:r>
        <w:r w:rsidR="00FE2D46">
          <w:rPr>
            <w:noProof/>
            <w:webHidden/>
          </w:rPr>
          <w:fldChar w:fldCharType="separate"/>
        </w:r>
        <w:r>
          <w:rPr>
            <w:noProof/>
            <w:webHidden/>
          </w:rPr>
          <w:t>38</w:t>
        </w:r>
        <w:r w:rsidR="00FE2D46">
          <w:rPr>
            <w:noProof/>
            <w:webHidden/>
          </w:rPr>
          <w:fldChar w:fldCharType="end"/>
        </w:r>
      </w:hyperlink>
    </w:p>
    <w:p w14:paraId="648F11BD" w14:textId="5D57CDE4" w:rsidR="00FE2D46" w:rsidRDefault="008E07C6">
      <w:pPr>
        <w:pStyle w:val="TOC1"/>
        <w:rPr>
          <w:rFonts w:eastAsiaTheme="minorEastAsia"/>
          <w:b w:val="0"/>
          <w:noProof/>
          <w:color w:val="auto"/>
          <w:kern w:val="0"/>
          <w:sz w:val="22"/>
          <w:szCs w:val="22"/>
          <w:u w:val="none"/>
          <w:lang w:eastAsia="en-AU"/>
        </w:rPr>
      </w:pPr>
      <w:hyperlink w:anchor="_Toc100326818" w:history="1">
        <w:r w:rsidR="00FE2D46" w:rsidRPr="00774757">
          <w:rPr>
            <w:rStyle w:val="Hyperlink"/>
            <w:noProof/>
          </w:rPr>
          <w:t>Appendix C – Technical Liaison Group</w:t>
        </w:r>
        <w:r w:rsidR="00FE2D46">
          <w:rPr>
            <w:noProof/>
            <w:webHidden/>
          </w:rPr>
          <w:tab/>
        </w:r>
        <w:r w:rsidR="00FE2D46">
          <w:rPr>
            <w:noProof/>
            <w:webHidden/>
          </w:rPr>
          <w:fldChar w:fldCharType="begin"/>
        </w:r>
        <w:r w:rsidR="00FE2D46">
          <w:rPr>
            <w:noProof/>
            <w:webHidden/>
          </w:rPr>
          <w:instrText xml:space="preserve"> PAGEREF _Toc100326818 \h </w:instrText>
        </w:r>
        <w:r w:rsidR="00FE2D46">
          <w:rPr>
            <w:noProof/>
            <w:webHidden/>
          </w:rPr>
        </w:r>
        <w:r w:rsidR="00FE2D46">
          <w:rPr>
            <w:noProof/>
            <w:webHidden/>
          </w:rPr>
          <w:fldChar w:fldCharType="separate"/>
        </w:r>
        <w:r>
          <w:rPr>
            <w:noProof/>
            <w:webHidden/>
          </w:rPr>
          <w:t>39</w:t>
        </w:r>
        <w:r w:rsidR="00FE2D46">
          <w:rPr>
            <w:noProof/>
            <w:webHidden/>
          </w:rPr>
          <w:fldChar w:fldCharType="end"/>
        </w:r>
      </w:hyperlink>
    </w:p>
    <w:p w14:paraId="5FA85AC5" w14:textId="07B3DCEC" w:rsidR="00FE2D46" w:rsidRDefault="008E07C6">
      <w:pPr>
        <w:pStyle w:val="TOC1"/>
        <w:rPr>
          <w:rFonts w:eastAsiaTheme="minorEastAsia"/>
          <w:b w:val="0"/>
          <w:noProof/>
          <w:color w:val="auto"/>
          <w:kern w:val="0"/>
          <w:sz w:val="22"/>
          <w:szCs w:val="22"/>
          <w:u w:val="none"/>
          <w:lang w:eastAsia="en-AU"/>
        </w:rPr>
      </w:pPr>
      <w:hyperlink w:anchor="_Toc100326819" w:history="1">
        <w:r w:rsidR="00FE2D46" w:rsidRPr="00774757">
          <w:rPr>
            <w:rStyle w:val="Hyperlink"/>
            <w:noProof/>
          </w:rPr>
          <w:t>Appendix D – UN Regulation No. 130 performance requirements</w:t>
        </w:r>
        <w:r w:rsidR="00FE2D46">
          <w:rPr>
            <w:noProof/>
            <w:webHidden/>
          </w:rPr>
          <w:tab/>
        </w:r>
        <w:r w:rsidR="00FE2D46">
          <w:rPr>
            <w:noProof/>
            <w:webHidden/>
          </w:rPr>
          <w:fldChar w:fldCharType="begin"/>
        </w:r>
        <w:r w:rsidR="00FE2D46">
          <w:rPr>
            <w:noProof/>
            <w:webHidden/>
          </w:rPr>
          <w:instrText xml:space="preserve"> PAGEREF _Toc100326819 \h </w:instrText>
        </w:r>
        <w:r w:rsidR="00FE2D46">
          <w:rPr>
            <w:noProof/>
            <w:webHidden/>
          </w:rPr>
        </w:r>
        <w:r w:rsidR="00FE2D46">
          <w:rPr>
            <w:noProof/>
            <w:webHidden/>
          </w:rPr>
          <w:fldChar w:fldCharType="separate"/>
        </w:r>
        <w:r>
          <w:rPr>
            <w:noProof/>
            <w:webHidden/>
          </w:rPr>
          <w:t>40</w:t>
        </w:r>
        <w:r w:rsidR="00FE2D46">
          <w:rPr>
            <w:noProof/>
            <w:webHidden/>
          </w:rPr>
          <w:fldChar w:fldCharType="end"/>
        </w:r>
      </w:hyperlink>
    </w:p>
    <w:p w14:paraId="58AF32F9" w14:textId="18B4A6C8" w:rsidR="00FE2D46" w:rsidRDefault="008E07C6">
      <w:pPr>
        <w:pStyle w:val="TOC2"/>
        <w:tabs>
          <w:tab w:val="right" w:pos="9854"/>
        </w:tabs>
        <w:rPr>
          <w:rFonts w:eastAsiaTheme="minorEastAsia"/>
          <w:noProof/>
          <w:color w:val="auto"/>
          <w:kern w:val="0"/>
          <w:sz w:val="22"/>
          <w:szCs w:val="22"/>
          <w:lang w:eastAsia="en-AU"/>
        </w:rPr>
      </w:pPr>
      <w:hyperlink w:anchor="_Toc100326820" w:history="1">
        <w:r w:rsidR="00FE2D46" w:rsidRPr="00774757">
          <w:rPr>
            <w:rStyle w:val="Hyperlink"/>
            <w:noProof/>
          </w:rPr>
          <w:t>European mandate of UN Regulation No. 130</w:t>
        </w:r>
        <w:r w:rsidR="00FE2D46">
          <w:rPr>
            <w:noProof/>
            <w:webHidden/>
          </w:rPr>
          <w:tab/>
        </w:r>
        <w:r w:rsidR="00FE2D46">
          <w:rPr>
            <w:noProof/>
            <w:webHidden/>
          </w:rPr>
          <w:fldChar w:fldCharType="begin"/>
        </w:r>
        <w:r w:rsidR="00FE2D46">
          <w:rPr>
            <w:noProof/>
            <w:webHidden/>
          </w:rPr>
          <w:instrText xml:space="preserve"> PAGEREF _Toc100326820 \h </w:instrText>
        </w:r>
        <w:r w:rsidR="00FE2D46">
          <w:rPr>
            <w:noProof/>
            <w:webHidden/>
          </w:rPr>
        </w:r>
        <w:r w:rsidR="00FE2D46">
          <w:rPr>
            <w:noProof/>
            <w:webHidden/>
          </w:rPr>
          <w:fldChar w:fldCharType="separate"/>
        </w:r>
        <w:r>
          <w:rPr>
            <w:noProof/>
            <w:webHidden/>
          </w:rPr>
          <w:t>42</w:t>
        </w:r>
        <w:r w:rsidR="00FE2D46">
          <w:rPr>
            <w:noProof/>
            <w:webHidden/>
          </w:rPr>
          <w:fldChar w:fldCharType="end"/>
        </w:r>
      </w:hyperlink>
    </w:p>
    <w:p w14:paraId="54435A84" w14:textId="6FF43FB3" w:rsidR="00FE2D46" w:rsidRDefault="008E07C6">
      <w:pPr>
        <w:pStyle w:val="TOC1"/>
        <w:rPr>
          <w:rFonts w:eastAsiaTheme="minorEastAsia"/>
          <w:b w:val="0"/>
          <w:noProof/>
          <w:color w:val="auto"/>
          <w:kern w:val="0"/>
          <w:sz w:val="22"/>
          <w:szCs w:val="22"/>
          <w:u w:val="none"/>
          <w:lang w:eastAsia="en-AU"/>
        </w:rPr>
      </w:pPr>
      <w:hyperlink w:anchor="_Toc100326821" w:history="1">
        <w:r w:rsidR="00FE2D46" w:rsidRPr="00774757">
          <w:rPr>
            <w:rStyle w:val="Hyperlink"/>
            <w:noProof/>
          </w:rPr>
          <w:t>Appendix E – Benefit-cost analysis</w:t>
        </w:r>
        <w:r w:rsidR="00FE2D46">
          <w:rPr>
            <w:noProof/>
            <w:webHidden/>
          </w:rPr>
          <w:tab/>
        </w:r>
        <w:r w:rsidR="00FE2D46">
          <w:rPr>
            <w:noProof/>
            <w:webHidden/>
          </w:rPr>
          <w:fldChar w:fldCharType="begin"/>
        </w:r>
        <w:r w:rsidR="00FE2D46">
          <w:rPr>
            <w:noProof/>
            <w:webHidden/>
          </w:rPr>
          <w:instrText xml:space="preserve"> PAGEREF _Toc100326821 \h </w:instrText>
        </w:r>
        <w:r w:rsidR="00FE2D46">
          <w:rPr>
            <w:noProof/>
            <w:webHidden/>
          </w:rPr>
        </w:r>
        <w:r w:rsidR="00FE2D46">
          <w:rPr>
            <w:noProof/>
            <w:webHidden/>
          </w:rPr>
          <w:fldChar w:fldCharType="separate"/>
        </w:r>
        <w:r>
          <w:rPr>
            <w:noProof/>
            <w:webHidden/>
          </w:rPr>
          <w:t>43</w:t>
        </w:r>
        <w:r w:rsidR="00FE2D46">
          <w:rPr>
            <w:noProof/>
            <w:webHidden/>
          </w:rPr>
          <w:fldChar w:fldCharType="end"/>
        </w:r>
      </w:hyperlink>
    </w:p>
    <w:p w14:paraId="36F44E8C" w14:textId="19114AAC" w:rsidR="00FE2D46" w:rsidRDefault="008E07C6">
      <w:pPr>
        <w:pStyle w:val="TOC1"/>
        <w:rPr>
          <w:rFonts w:eastAsiaTheme="minorEastAsia"/>
          <w:b w:val="0"/>
          <w:noProof/>
          <w:color w:val="auto"/>
          <w:kern w:val="0"/>
          <w:sz w:val="22"/>
          <w:szCs w:val="22"/>
          <w:u w:val="none"/>
          <w:lang w:eastAsia="en-AU"/>
        </w:rPr>
      </w:pPr>
      <w:hyperlink w:anchor="_Toc100326822" w:history="1">
        <w:r w:rsidR="00FE2D46" w:rsidRPr="00774757">
          <w:rPr>
            <w:rStyle w:val="Hyperlink"/>
            <w:noProof/>
          </w:rPr>
          <w:t>Appendix F – Acronyms and abbreviations</w:t>
        </w:r>
        <w:r w:rsidR="00FE2D46">
          <w:rPr>
            <w:noProof/>
            <w:webHidden/>
          </w:rPr>
          <w:tab/>
        </w:r>
        <w:r w:rsidR="00FE2D46">
          <w:rPr>
            <w:noProof/>
            <w:webHidden/>
          </w:rPr>
          <w:fldChar w:fldCharType="begin"/>
        </w:r>
        <w:r w:rsidR="00FE2D46">
          <w:rPr>
            <w:noProof/>
            <w:webHidden/>
          </w:rPr>
          <w:instrText xml:space="preserve"> PAGEREF _Toc100326822 \h </w:instrText>
        </w:r>
        <w:r w:rsidR="00FE2D46">
          <w:rPr>
            <w:noProof/>
            <w:webHidden/>
          </w:rPr>
        </w:r>
        <w:r w:rsidR="00FE2D46">
          <w:rPr>
            <w:noProof/>
            <w:webHidden/>
          </w:rPr>
          <w:fldChar w:fldCharType="separate"/>
        </w:r>
        <w:r>
          <w:rPr>
            <w:noProof/>
            <w:webHidden/>
          </w:rPr>
          <w:t>51</w:t>
        </w:r>
        <w:r w:rsidR="00FE2D46">
          <w:rPr>
            <w:noProof/>
            <w:webHidden/>
          </w:rPr>
          <w:fldChar w:fldCharType="end"/>
        </w:r>
      </w:hyperlink>
    </w:p>
    <w:p w14:paraId="55762D78" w14:textId="5961BAFE" w:rsidR="00FE2D46" w:rsidRDefault="008E07C6">
      <w:pPr>
        <w:pStyle w:val="TOC1"/>
        <w:rPr>
          <w:rFonts w:eastAsiaTheme="minorEastAsia"/>
          <w:b w:val="0"/>
          <w:noProof/>
          <w:color w:val="auto"/>
          <w:kern w:val="0"/>
          <w:sz w:val="22"/>
          <w:szCs w:val="22"/>
          <w:u w:val="none"/>
          <w:lang w:eastAsia="en-AU"/>
        </w:rPr>
      </w:pPr>
      <w:hyperlink w:anchor="_Toc100326823" w:history="1">
        <w:r w:rsidR="00FE2D46" w:rsidRPr="00774757">
          <w:rPr>
            <w:rStyle w:val="Hyperlink"/>
            <w:noProof/>
          </w:rPr>
          <w:t>Appendix G – Glossary of terms</w:t>
        </w:r>
        <w:r w:rsidR="00FE2D46">
          <w:rPr>
            <w:noProof/>
            <w:webHidden/>
          </w:rPr>
          <w:tab/>
        </w:r>
        <w:r w:rsidR="00FE2D46">
          <w:rPr>
            <w:noProof/>
            <w:webHidden/>
          </w:rPr>
          <w:fldChar w:fldCharType="begin"/>
        </w:r>
        <w:r w:rsidR="00FE2D46">
          <w:rPr>
            <w:noProof/>
            <w:webHidden/>
          </w:rPr>
          <w:instrText xml:space="preserve"> PAGEREF _Toc100326823 \h </w:instrText>
        </w:r>
        <w:r w:rsidR="00FE2D46">
          <w:rPr>
            <w:noProof/>
            <w:webHidden/>
          </w:rPr>
        </w:r>
        <w:r w:rsidR="00FE2D46">
          <w:rPr>
            <w:noProof/>
            <w:webHidden/>
          </w:rPr>
          <w:fldChar w:fldCharType="separate"/>
        </w:r>
        <w:r>
          <w:rPr>
            <w:noProof/>
            <w:webHidden/>
          </w:rPr>
          <w:t>53</w:t>
        </w:r>
        <w:r w:rsidR="00FE2D46">
          <w:rPr>
            <w:noProof/>
            <w:webHidden/>
          </w:rPr>
          <w:fldChar w:fldCharType="end"/>
        </w:r>
      </w:hyperlink>
    </w:p>
    <w:p w14:paraId="31BB41EA" w14:textId="24A41E5B" w:rsidR="00FE2D46" w:rsidRDefault="008E07C6">
      <w:pPr>
        <w:pStyle w:val="TOC1"/>
        <w:rPr>
          <w:rFonts w:eastAsiaTheme="minorEastAsia"/>
          <w:b w:val="0"/>
          <w:noProof/>
          <w:color w:val="auto"/>
          <w:kern w:val="0"/>
          <w:sz w:val="22"/>
          <w:szCs w:val="22"/>
          <w:u w:val="none"/>
          <w:lang w:eastAsia="en-AU"/>
        </w:rPr>
      </w:pPr>
      <w:hyperlink w:anchor="_Toc100326824" w:history="1">
        <w:r w:rsidR="00FE2D46" w:rsidRPr="00774757">
          <w:rPr>
            <w:rStyle w:val="Hyperlink"/>
            <w:noProof/>
          </w:rPr>
          <w:t>Appendix H – Heavy vehicle categories</w:t>
        </w:r>
        <w:r w:rsidR="00FE2D46">
          <w:rPr>
            <w:noProof/>
            <w:webHidden/>
          </w:rPr>
          <w:tab/>
        </w:r>
        <w:r w:rsidR="00FE2D46">
          <w:rPr>
            <w:noProof/>
            <w:webHidden/>
          </w:rPr>
          <w:fldChar w:fldCharType="begin"/>
        </w:r>
        <w:r w:rsidR="00FE2D46">
          <w:rPr>
            <w:noProof/>
            <w:webHidden/>
          </w:rPr>
          <w:instrText xml:space="preserve"> PAGEREF _Toc100326824 \h </w:instrText>
        </w:r>
        <w:r w:rsidR="00FE2D46">
          <w:rPr>
            <w:noProof/>
            <w:webHidden/>
          </w:rPr>
        </w:r>
        <w:r w:rsidR="00FE2D46">
          <w:rPr>
            <w:noProof/>
            <w:webHidden/>
          </w:rPr>
          <w:fldChar w:fldCharType="separate"/>
        </w:r>
        <w:r>
          <w:rPr>
            <w:noProof/>
            <w:webHidden/>
          </w:rPr>
          <w:t>55</w:t>
        </w:r>
        <w:r w:rsidR="00FE2D46">
          <w:rPr>
            <w:noProof/>
            <w:webHidden/>
          </w:rPr>
          <w:fldChar w:fldCharType="end"/>
        </w:r>
      </w:hyperlink>
    </w:p>
    <w:p w14:paraId="1BC5A163" w14:textId="23EF71CD" w:rsidR="00DE4FE2" w:rsidRDefault="00A95970">
      <w:r>
        <w:fldChar w:fldCharType="end"/>
      </w:r>
    </w:p>
    <w:p w14:paraId="07CD047F" w14:textId="77777777" w:rsidR="005912BE" w:rsidRDefault="002D3DC4" w:rsidP="00C66D0C">
      <w:pPr>
        <w:pStyle w:val="TOCHeading"/>
      </w:pPr>
      <w:r>
        <w:t xml:space="preserve">List of </w:t>
      </w:r>
      <w:r w:rsidR="0093261E">
        <w:t>t</w:t>
      </w:r>
      <w:r w:rsidR="006E1ECA">
        <w:t>ables</w:t>
      </w:r>
    </w:p>
    <w:p w14:paraId="4A1C930B" w14:textId="020F578F" w:rsidR="00FE2D46" w:rsidRDefault="00C66D0C">
      <w:pPr>
        <w:pStyle w:val="TableofFigures"/>
        <w:tabs>
          <w:tab w:val="right" w:leader="dot" w:pos="9854"/>
        </w:tabs>
        <w:rPr>
          <w:rFonts w:eastAsiaTheme="minorEastAsia"/>
          <w:noProof/>
          <w:color w:val="auto"/>
          <w:kern w:val="0"/>
          <w:sz w:val="22"/>
          <w:szCs w:val="22"/>
          <w:lang w:eastAsia="en-AU"/>
        </w:rPr>
      </w:pPr>
      <w:r>
        <w:fldChar w:fldCharType="begin"/>
      </w:r>
      <w:r>
        <w:instrText xml:space="preserve"> TOC \h \z \c "Table" </w:instrText>
      </w:r>
      <w:r>
        <w:fldChar w:fldCharType="separate"/>
      </w:r>
      <w:hyperlink w:anchor="_Toc100326831" w:history="1">
        <w:r w:rsidR="00FE2D46" w:rsidRPr="00E44C92">
          <w:rPr>
            <w:rStyle w:val="Hyperlink"/>
            <w:noProof/>
          </w:rPr>
          <w:t>Table 1: Summary of gross and net benefits for each option</w:t>
        </w:r>
        <w:r w:rsidR="00FE2D46">
          <w:rPr>
            <w:noProof/>
            <w:webHidden/>
          </w:rPr>
          <w:tab/>
        </w:r>
        <w:r w:rsidR="00FE2D46">
          <w:rPr>
            <w:noProof/>
            <w:webHidden/>
          </w:rPr>
          <w:fldChar w:fldCharType="begin"/>
        </w:r>
        <w:r w:rsidR="00FE2D46">
          <w:rPr>
            <w:noProof/>
            <w:webHidden/>
          </w:rPr>
          <w:instrText xml:space="preserve"> PAGEREF _Toc100326831 \h </w:instrText>
        </w:r>
        <w:r w:rsidR="00FE2D46">
          <w:rPr>
            <w:noProof/>
            <w:webHidden/>
          </w:rPr>
        </w:r>
        <w:r w:rsidR="00FE2D46">
          <w:rPr>
            <w:noProof/>
            <w:webHidden/>
          </w:rPr>
          <w:fldChar w:fldCharType="separate"/>
        </w:r>
        <w:r w:rsidR="008E07C6">
          <w:rPr>
            <w:noProof/>
            <w:webHidden/>
          </w:rPr>
          <w:t>6</w:t>
        </w:r>
        <w:r w:rsidR="00FE2D46">
          <w:rPr>
            <w:noProof/>
            <w:webHidden/>
          </w:rPr>
          <w:fldChar w:fldCharType="end"/>
        </w:r>
      </w:hyperlink>
    </w:p>
    <w:p w14:paraId="4541F239" w14:textId="60EEDBEF" w:rsidR="00FE2D46" w:rsidRDefault="008E07C6">
      <w:pPr>
        <w:pStyle w:val="TableofFigures"/>
        <w:tabs>
          <w:tab w:val="right" w:leader="dot" w:pos="9854"/>
        </w:tabs>
        <w:rPr>
          <w:rFonts w:eastAsiaTheme="minorEastAsia"/>
          <w:noProof/>
          <w:color w:val="auto"/>
          <w:kern w:val="0"/>
          <w:sz w:val="22"/>
          <w:szCs w:val="22"/>
          <w:lang w:eastAsia="en-AU"/>
        </w:rPr>
      </w:pPr>
      <w:hyperlink w:anchor="_Toc100326832" w:history="1">
        <w:r w:rsidR="00FE2D46" w:rsidRPr="00E44C92">
          <w:rPr>
            <w:rStyle w:val="Hyperlink"/>
            <w:noProof/>
          </w:rPr>
          <w:t>Table 2: Summary of costs and benefits-cost ratios for each option</w:t>
        </w:r>
        <w:r w:rsidR="00FE2D46">
          <w:rPr>
            <w:noProof/>
            <w:webHidden/>
          </w:rPr>
          <w:tab/>
        </w:r>
        <w:r w:rsidR="00FE2D46">
          <w:rPr>
            <w:noProof/>
            <w:webHidden/>
          </w:rPr>
          <w:fldChar w:fldCharType="begin"/>
        </w:r>
        <w:r w:rsidR="00FE2D46">
          <w:rPr>
            <w:noProof/>
            <w:webHidden/>
          </w:rPr>
          <w:instrText xml:space="preserve"> PAGEREF _Toc100326832 \h </w:instrText>
        </w:r>
        <w:r w:rsidR="00FE2D46">
          <w:rPr>
            <w:noProof/>
            <w:webHidden/>
          </w:rPr>
        </w:r>
        <w:r w:rsidR="00FE2D46">
          <w:rPr>
            <w:noProof/>
            <w:webHidden/>
          </w:rPr>
          <w:fldChar w:fldCharType="separate"/>
        </w:r>
        <w:r>
          <w:rPr>
            <w:noProof/>
            <w:webHidden/>
          </w:rPr>
          <w:t>6</w:t>
        </w:r>
        <w:r w:rsidR="00FE2D46">
          <w:rPr>
            <w:noProof/>
            <w:webHidden/>
          </w:rPr>
          <w:fldChar w:fldCharType="end"/>
        </w:r>
      </w:hyperlink>
    </w:p>
    <w:p w14:paraId="0DF65DC3" w14:textId="11CC8C72" w:rsidR="00FE2D46" w:rsidRDefault="008E07C6">
      <w:pPr>
        <w:pStyle w:val="TableofFigures"/>
        <w:tabs>
          <w:tab w:val="right" w:leader="dot" w:pos="9854"/>
        </w:tabs>
        <w:rPr>
          <w:rFonts w:eastAsiaTheme="minorEastAsia"/>
          <w:noProof/>
          <w:color w:val="auto"/>
          <w:kern w:val="0"/>
          <w:sz w:val="22"/>
          <w:szCs w:val="22"/>
          <w:lang w:eastAsia="en-AU"/>
        </w:rPr>
      </w:pPr>
      <w:hyperlink w:anchor="_Toc100326833" w:history="1">
        <w:r w:rsidR="00FE2D46" w:rsidRPr="00E44C92">
          <w:rPr>
            <w:rStyle w:val="Hyperlink"/>
            <w:noProof/>
          </w:rPr>
          <w:t>Table 3: Summary of lives saved and serious injuries (hospital admissions) avoided</w:t>
        </w:r>
        <w:r w:rsidR="00FE2D46">
          <w:rPr>
            <w:noProof/>
            <w:webHidden/>
          </w:rPr>
          <w:tab/>
        </w:r>
        <w:r w:rsidR="00FE2D46">
          <w:rPr>
            <w:noProof/>
            <w:webHidden/>
          </w:rPr>
          <w:fldChar w:fldCharType="begin"/>
        </w:r>
        <w:r w:rsidR="00FE2D46">
          <w:rPr>
            <w:noProof/>
            <w:webHidden/>
          </w:rPr>
          <w:instrText xml:space="preserve"> PAGEREF _Toc100326833 \h </w:instrText>
        </w:r>
        <w:r w:rsidR="00FE2D46">
          <w:rPr>
            <w:noProof/>
            <w:webHidden/>
          </w:rPr>
        </w:r>
        <w:r w:rsidR="00FE2D46">
          <w:rPr>
            <w:noProof/>
            <w:webHidden/>
          </w:rPr>
          <w:fldChar w:fldCharType="separate"/>
        </w:r>
        <w:r>
          <w:rPr>
            <w:noProof/>
            <w:webHidden/>
          </w:rPr>
          <w:t>6</w:t>
        </w:r>
        <w:r w:rsidR="00FE2D46">
          <w:rPr>
            <w:noProof/>
            <w:webHidden/>
          </w:rPr>
          <w:fldChar w:fldCharType="end"/>
        </w:r>
      </w:hyperlink>
    </w:p>
    <w:p w14:paraId="3F77A847" w14:textId="50871D6F" w:rsidR="00FE2D46" w:rsidRDefault="008E07C6">
      <w:pPr>
        <w:pStyle w:val="TableofFigures"/>
        <w:tabs>
          <w:tab w:val="right" w:leader="dot" w:pos="9854"/>
        </w:tabs>
        <w:rPr>
          <w:rFonts w:eastAsiaTheme="minorEastAsia"/>
          <w:noProof/>
          <w:color w:val="auto"/>
          <w:kern w:val="0"/>
          <w:sz w:val="22"/>
          <w:szCs w:val="22"/>
          <w:lang w:eastAsia="en-AU"/>
        </w:rPr>
      </w:pPr>
      <w:hyperlink w:anchor="_Toc100326834" w:history="1">
        <w:r w:rsidR="00FE2D46" w:rsidRPr="00E44C92">
          <w:rPr>
            <w:rStyle w:val="Hyperlink"/>
            <w:noProof/>
          </w:rPr>
          <w:t>Table 4: Industry reported LDWS fitment to heavy vehicles (TIC, 2021)</w:t>
        </w:r>
        <w:r w:rsidR="00FE2D46">
          <w:rPr>
            <w:noProof/>
            <w:webHidden/>
          </w:rPr>
          <w:tab/>
        </w:r>
        <w:r w:rsidR="00FE2D46">
          <w:rPr>
            <w:noProof/>
            <w:webHidden/>
          </w:rPr>
          <w:fldChar w:fldCharType="begin"/>
        </w:r>
        <w:r w:rsidR="00FE2D46">
          <w:rPr>
            <w:noProof/>
            <w:webHidden/>
          </w:rPr>
          <w:instrText xml:space="preserve"> PAGEREF _Toc100326834 \h </w:instrText>
        </w:r>
        <w:r w:rsidR="00FE2D46">
          <w:rPr>
            <w:noProof/>
            <w:webHidden/>
          </w:rPr>
        </w:r>
        <w:r w:rsidR="00FE2D46">
          <w:rPr>
            <w:noProof/>
            <w:webHidden/>
          </w:rPr>
          <w:fldChar w:fldCharType="separate"/>
        </w:r>
        <w:r>
          <w:rPr>
            <w:noProof/>
            <w:webHidden/>
          </w:rPr>
          <w:t>18</w:t>
        </w:r>
        <w:r w:rsidR="00FE2D46">
          <w:rPr>
            <w:noProof/>
            <w:webHidden/>
          </w:rPr>
          <w:fldChar w:fldCharType="end"/>
        </w:r>
      </w:hyperlink>
    </w:p>
    <w:p w14:paraId="6C7F8C99" w14:textId="7128FF84" w:rsidR="00FE2D46" w:rsidRDefault="008E07C6">
      <w:pPr>
        <w:pStyle w:val="TableofFigures"/>
        <w:tabs>
          <w:tab w:val="right" w:leader="dot" w:pos="9854"/>
        </w:tabs>
        <w:rPr>
          <w:rFonts w:eastAsiaTheme="minorEastAsia"/>
          <w:noProof/>
          <w:color w:val="auto"/>
          <w:kern w:val="0"/>
          <w:sz w:val="22"/>
          <w:szCs w:val="22"/>
          <w:lang w:eastAsia="en-AU"/>
        </w:rPr>
      </w:pPr>
      <w:hyperlink w:anchor="_Toc100326835" w:history="1">
        <w:r w:rsidR="00FE2D46" w:rsidRPr="00E44C92">
          <w:rPr>
            <w:rStyle w:val="Hyperlink"/>
            <w:noProof/>
          </w:rPr>
          <w:t>Table 5: Regulatory burden and cost offset estimates - Options 1 and 2</w:t>
        </w:r>
        <w:r w:rsidR="00FE2D46">
          <w:rPr>
            <w:noProof/>
            <w:webHidden/>
          </w:rPr>
          <w:tab/>
        </w:r>
        <w:r w:rsidR="00FE2D46">
          <w:rPr>
            <w:noProof/>
            <w:webHidden/>
          </w:rPr>
          <w:fldChar w:fldCharType="begin"/>
        </w:r>
        <w:r w:rsidR="00FE2D46">
          <w:rPr>
            <w:noProof/>
            <w:webHidden/>
          </w:rPr>
          <w:instrText xml:space="preserve"> PAGEREF _Toc100326835 \h </w:instrText>
        </w:r>
        <w:r w:rsidR="00FE2D46">
          <w:rPr>
            <w:noProof/>
            <w:webHidden/>
          </w:rPr>
        </w:r>
        <w:r w:rsidR="00FE2D46">
          <w:rPr>
            <w:noProof/>
            <w:webHidden/>
          </w:rPr>
          <w:fldChar w:fldCharType="separate"/>
        </w:r>
        <w:r>
          <w:rPr>
            <w:noProof/>
            <w:webHidden/>
          </w:rPr>
          <w:t>28</w:t>
        </w:r>
        <w:r w:rsidR="00FE2D46">
          <w:rPr>
            <w:noProof/>
            <w:webHidden/>
          </w:rPr>
          <w:fldChar w:fldCharType="end"/>
        </w:r>
      </w:hyperlink>
    </w:p>
    <w:p w14:paraId="68B0D535" w14:textId="763AD57A" w:rsidR="00C66D0C" w:rsidRPr="00C66D0C" w:rsidRDefault="00C66D0C" w:rsidP="00C66D0C">
      <w:pPr>
        <w:sectPr w:rsidR="00C66D0C" w:rsidRPr="00C66D0C" w:rsidSect="00DC0C3E">
          <w:headerReference w:type="default" r:id="rId23"/>
          <w:footerReference w:type="default" r:id="rId24"/>
          <w:headerReference w:type="first" r:id="rId25"/>
          <w:footerReference w:type="first" r:id="rId26"/>
          <w:pgSz w:w="11906" w:h="16838" w:code="9"/>
          <w:pgMar w:top="1021" w:right="1021" w:bottom="1021" w:left="1021" w:header="510" w:footer="567" w:gutter="0"/>
          <w:cols w:space="708"/>
          <w:docGrid w:linePitch="360"/>
        </w:sectPr>
      </w:pPr>
      <w:r>
        <w:fldChar w:fldCharType="end"/>
      </w:r>
    </w:p>
    <w:p w14:paraId="62F04D6F" w14:textId="77777777" w:rsidR="005F794B" w:rsidRPr="005F794B" w:rsidRDefault="002D7327" w:rsidP="00DE4362">
      <w:pPr>
        <w:pStyle w:val="Heading1"/>
        <w:spacing w:before="0"/>
      </w:pPr>
      <w:bookmarkStart w:id="0" w:name="_Toc100326766"/>
      <w:r>
        <w:lastRenderedPageBreak/>
        <w:t>Executive Summary</w:t>
      </w:r>
      <w:bookmarkEnd w:id="0"/>
    </w:p>
    <w:p w14:paraId="37D78CD7" w14:textId="77777777" w:rsidR="005F5B06" w:rsidRPr="004725A9" w:rsidRDefault="005F5B06" w:rsidP="004725A9">
      <w:pPr>
        <w:pStyle w:val="Heading2"/>
        <w:rPr>
          <w:lang w:val="en-US"/>
        </w:rPr>
      </w:pPr>
      <w:bookmarkStart w:id="1" w:name="_Toc100326767"/>
      <w:r w:rsidRPr="004725A9">
        <w:rPr>
          <w:lang w:val="en-US"/>
        </w:rPr>
        <w:t>Heavy vehicle road trauma</w:t>
      </w:r>
      <w:bookmarkEnd w:id="1"/>
    </w:p>
    <w:p w14:paraId="6342F510" w14:textId="0B5F96DE" w:rsidR="003435D5" w:rsidRPr="006F6683" w:rsidRDefault="002D7327" w:rsidP="006F6683">
      <w:pPr>
        <w:rPr>
          <w:lang w:val="x-none"/>
        </w:rPr>
      </w:pPr>
      <w:r w:rsidRPr="006F6683">
        <w:rPr>
          <w:lang w:val="x-none"/>
        </w:rPr>
        <w:t xml:space="preserve">Improvements to heavy vehicle design and safety </w:t>
      </w:r>
      <w:r w:rsidR="009B63A9">
        <w:rPr>
          <w:lang w:val="en-US"/>
        </w:rPr>
        <w:t>technologies</w:t>
      </w:r>
      <w:r w:rsidR="009B63A9" w:rsidRPr="006F6683">
        <w:rPr>
          <w:lang w:val="x-none"/>
        </w:rPr>
        <w:t xml:space="preserve"> </w:t>
      </w:r>
      <w:r w:rsidRPr="006F6683">
        <w:rPr>
          <w:lang w:val="x-none"/>
        </w:rPr>
        <w:t>have reduc</w:t>
      </w:r>
      <w:r w:rsidR="000A0EB7">
        <w:rPr>
          <w:lang w:val="en-US"/>
        </w:rPr>
        <w:t>ed</w:t>
      </w:r>
      <w:r w:rsidRPr="006F6683">
        <w:rPr>
          <w:lang w:val="x-none"/>
        </w:rPr>
        <w:t xml:space="preserve"> the number and severity of crashes on Australian roads.</w:t>
      </w:r>
      <w:r w:rsidR="005F5B06" w:rsidRPr="006F6683">
        <w:rPr>
          <w:lang w:val="x-none"/>
        </w:rPr>
        <w:t xml:space="preserve"> </w:t>
      </w:r>
      <w:r w:rsidR="003435D5" w:rsidRPr="006F6683">
        <w:rPr>
          <w:lang w:val="x-none"/>
        </w:rPr>
        <w:t>However,</w:t>
      </w:r>
      <w:r w:rsidR="005F5B06" w:rsidRPr="006F6683">
        <w:rPr>
          <w:lang w:val="x-none"/>
        </w:rPr>
        <w:t xml:space="preserve"> the impact of road </w:t>
      </w:r>
      <w:r w:rsidR="00134ED8" w:rsidRPr="006F6683">
        <w:rPr>
          <w:lang w:val="x-none"/>
        </w:rPr>
        <w:t>trauma</w:t>
      </w:r>
      <w:r w:rsidR="005F5B06" w:rsidRPr="006F6683">
        <w:rPr>
          <w:lang w:val="x-none"/>
        </w:rPr>
        <w:t xml:space="preserve"> on individuals as well as society as a whole is significant, costing the Australian economy </w:t>
      </w:r>
      <w:r w:rsidR="00134ED8" w:rsidRPr="006F6683">
        <w:rPr>
          <w:lang w:val="x-none"/>
        </w:rPr>
        <w:t>approximately</w:t>
      </w:r>
      <w:r w:rsidR="005F5B06" w:rsidRPr="006F6683">
        <w:rPr>
          <w:lang w:val="x-none"/>
        </w:rPr>
        <w:t xml:space="preserve"> $</w:t>
      </w:r>
      <w:r w:rsidR="00134ED8" w:rsidRPr="006F6683">
        <w:rPr>
          <w:lang w:val="x-none"/>
        </w:rPr>
        <w:t>30</w:t>
      </w:r>
      <w:r w:rsidR="005F5B06" w:rsidRPr="006F6683">
        <w:rPr>
          <w:lang w:val="x-none"/>
        </w:rPr>
        <w:t xml:space="preserve"> billion per </w:t>
      </w:r>
      <w:r w:rsidR="004D63B7" w:rsidRPr="006F6683">
        <w:rPr>
          <w:lang w:val="x-none"/>
        </w:rPr>
        <w:t>year</w:t>
      </w:r>
      <w:r w:rsidR="005F5B06" w:rsidRPr="006F6683">
        <w:rPr>
          <w:lang w:val="x-none"/>
        </w:rPr>
        <w:t xml:space="preserve"> </w:t>
      </w:r>
      <w:r w:rsidR="005F5B06" w:rsidRPr="001C41BD">
        <w:rPr>
          <w:lang w:val="x-none"/>
        </w:rPr>
        <w:t>(</w:t>
      </w:r>
      <w:r w:rsidR="004B1FA1">
        <w:rPr>
          <w:lang w:val="en-US"/>
        </w:rPr>
        <w:t>DITRDC</w:t>
      </w:r>
      <w:r w:rsidR="005F5B06" w:rsidRPr="001C41BD">
        <w:rPr>
          <w:lang w:val="x-none"/>
        </w:rPr>
        <w:t>, 20</w:t>
      </w:r>
      <w:r w:rsidR="00134ED8" w:rsidRPr="001C41BD">
        <w:rPr>
          <w:lang w:val="x-none"/>
        </w:rPr>
        <w:t>21</w:t>
      </w:r>
      <w:r w:rsidR="005F5B06" w:rsidRPr="006F6683">
        <w:rPr>
          <w:lang w:val="x-none"/>
        </w:rPr>
        <w:t>)</w:t>
      </w:r>
      <w:r w:rsidR="00B961F5" w:rsidRPr="006F6683">
        <w:rPr>
          <w:lang w:val="x-none"/>
        </w:rPr>
        <w:t xml:space="preserve"> up from $27 billion per annum in 2014 </w:t>
      </w:r>
      <w:r w:rsidR="00B961F5" w:rsidRPr="001C41BD">
        <w:rPr>
          <w:lang w:val="x-none"/>
        </w:rPr>
        <w:t>(BITRE, 2014)</w:t>
      </w:r>
      <w:r w:rsidR="008A4C96" w:rsidRPr="001C41BD">
        <w:rPr>
          <w:lang w:val="x-none"/>
        </w:rPr>
        <w:t>.</w:t>
      </w:r>
      <w:r w:rsidR="008A4C96" w:rsidRPr="006F6683">
        <w:rPr>
          <w:lang w:val="x-none"/>
        </w:rPr>
        <w:t xml:space="preserve"> This equates to around 1,200 fatalities each year on our roads, and almost 40,000 serious injuries</w:t>
      </w:r>
      <w:r w:rsidR="004345C7" w:rsidRPr="006F6683">
        <w:rPr>
          <w:lang w:val="x-none"/>
        </w:rPr>
        <w:t xml:space="preserve"> </w:t>
      </w:r>
      <w:r w:rsidR="004345C7" w:rsidRPr="00BD6E54">
        <w:rPr>
          <w:lang w:val="x-none"/>
        </w:rPr>
        <w:t>(</w:t>
      </w:r>
      <w:r w:rsidR="004B1FA1">
        <w:rPr>
          <w:lang w:val="en-US"/>
        </w:rPr>
        <w:t>DITRCD</w:t>
      </w:r>
      <w:r w:rsidR="004345C7" w:rsidRPr="001C41BD">
        <w:rPr>
          <w:lang w:val="x-none"/>
        </w:rPr>
        <w:t>, 2021</w:t>
      </w:r>
      <w:r w:rsidR="004345C7" w:rsidRPr="006F6683">
        <w:rPr>
          <w:lang w:val="x-none"/>
        </w:rPr>
        <w:t>)</w:t>
      </w:r>
      <w:r w:rsidR="007B3670">
        <w:rPr>
          <w:lang w:val="x-none"/>
        </w:rPr>
        <w:t xml:space="preserve"> with an approximate cost of $</w:t>
      </w:r>
      <w:r w:rsidR="00036D76" w:rsidRPr="006F6683">
        <w:rPr>
          <w:lang w:val="x-none"/>
        </w:rPr>
        <w:t xml:space="preserve">80 million per day </w:t>
      </w:r>
      <w:r w:rsidR="00C37011" w:rsidRPr="006F6683">
        <w:rPr>
          <w:lang w:val="x-none"/>
        </w:rPr>
        <w:t>to</w:t>
      </w:r>
      <w:r w:rsidR="00036D76" w:rsidRPr="006F6683">
        <w:rPr>
          <w:lang w:val="x-none"/>
        </w:rPr>
        <w:t xml:space="preserve"> the Australian economy.</w:t>
      </w:r>
    </w:p>
    <w:p w14:paraId="1AC0424D" w14:textId="77777777" w:rsidR="005F5B06" w:rsidRPr="006F6683" w:rsidRDefault="005F5B06" w:rsidP="006F6683">
      <w:pPr>
        <w:rPr>
          <w:lang w:val="x-none"/>
        </w:rPr>
      </w:pPr>
      <w:r w:rsidRPr="006F6683">
        <w:rPr>
          <w:lang w:val="x-none"/>
        </w:rPr>
        <w:t>Heavy vehicle crashes constitute around $1.5 billion of this, including around $</w:t>
      </w:r>
      <w:r w:rsidR="007B3670">
        <w:rPr>
          <w:lang w:val="x-none"/>
        </w:rPr>
        <w:t>63</w:t>
      </w:r>
      <w:r w:rsidR="007B3670">
        <w:rPr>
          <w:lang w:val="en-US"/>
        </w:rPr>
        <w:t xml:space="preserve"> </w:t>
      </w:r>
      <w:r w:rsidR="000A0EB7" w:rsidRPr="006F6683">
        <w:rPr>
          <w:lang w:val="x-none"/>
        </w:rPr>
        <w:t xml:space="preserve">million </w:t>
      </w:r>
      <w:r w:rsidR="007B3670">
        <w:rPr>
          <w:lang w:val="en-US"/>
        </w:rPr>
        <w:t>(</w:t>
      </w:r>
      <w:r w:rsidR="00A70107" w:rsidRPr="001C41BD">
        <w:rPr>
          <w:lang w:val="x-none"/>
        </w:rPr>
        <w:t>Budd &amp; Newstead</w:t>
      </w:r>
      <w:r w:rsidR="007B3670" w:rsidRPr="001C41BD">
        <w:rPr>
          <w:lang w:val="en-US"/>
        </w:rPr>
        <w:t>, 2014</w:t>
      </w:r>
      <w:r w:rsidR="007B3670">
        <w:rPr>
          <w:lang w:val="en-US"/>
        </w:rPr>
        <w:t>)</w:t>
      </w:r>
      <w:r w:rsidRPr="006F6683">
        <w:rPr>
          <w:lang w:val="x-none"/>
        </w:rPr>
        <w:t xml:space="preserve"> </w:t>
      </w:r>
      <w:r w:rsidR="005B52F7">
        <w:rPr>
          <w:lang w:val="x-none"/>
        </w:rPr>
        <w:t>from crashes involving h</w:t>
      </w:r>
      <w:r w:rsidRPr="006F6683">
        <w:rPr>
          <w:lang w:val="x-none"/>
        </w:rPr>
        <w:t>eavy vehicle</w:t>
      </w:r>
      <w:r w:rsidR="005B52F7">
        <w:rPr>
          <w:lang w:val="en-US"/>
        </w:rPr>
        <w:t>s</w:t>
      </w:r>
      <w:r w:rsidRPr="006F6683">
        <w:rPr>
          <w:lang w:val="x-none"/>
        </w:rPr>
        <w:t xml:space="preserve"> </w:t>
      </w:r>
      <w:r w:rsidR="00CB2B98" w:rsidRPr="006F6683">
        <w:rPr>
          <w:lang w:val="x-none"/>
        </w:rPr>
        <w:t>drifting outside their lane</w:t>
      </w:r>
      <w:r w:rsidR="007B3670">
        <w:rPr>
          <w:lang w:val="x-none"/>
        </w:rPr>
        <w:t xml:space="preserve">. </w:t>
      </w:r>
      <w:r w:rsidR="007B3670">
        <w:rPr>
          <w:lang w:val="en-US"/>
        </w:rPr>
        <w:t>T</w:t>
      </w:r>
      <w:r w:rsidRPr="006F6683">
        <w:rPr>
          <w:lang w:val="x-none"/>
        </w:rPr>
        <w:t>his is the specific road safety problem that has been considered in this</w:t>
      </w:r>
      <w:r w:rsidR="006F2400" w:rsidRPr="006F6683">
        <w:rPr>
          <w:lang w:val="x-none"/>
        </w:rPr>
        <w:t xml:space="preserve"> Consultation </w:t>
      </w:r>
      <w:r w:rsidRPr="006F6683">
        <w:rPr>
          <w:lang w:val="x-none"/>
        </w:rPr>
        <w:t>Regulation Impact Statement (RIS).</w:t>
      </w:r>
      <w:r w:rsidR="00274C1D" w:rsidRPr="006F6683">
        <w:rPr>
          <w:lang w:val="x-none"/>
        </w:rPr>
        <w:t xml:space="preserve"> </w:t>
      </w:r>
    </w:p>
    <w:p w14:paraId="5CBC557E" w14:textId="0735C994" w:rsidR="0069165A" w:rsidRDefault="00BC2949" w:rsidP="002A496E">
      <w:pPr>
        <w:rPr>
          <w:lang w:val="x-none"/>
        </w:rPr>
      </w:pPr>
      <w:r>
        <w:rPr>
          <w:lang w:val="en-US"/>
        </w:rPr>
        <w:t>H</w:t>
      </w:r>
      <w:proofErr w:type="spellStart"/>
      <w:r w:rsidR="00F27032">
        <w:rPr>
          <w:lang w:val="x-none"/>
        </w:rPr>
        <w:t>eavy</w:t>
      </w:r>
      <w:proofErr w:type="spellEnd"/>
      <w:r w:rsidR="00F27032">
        <w:rPr>
          <w:lang w:val="x-none"/>
        </w:rPr>
        <w:t xml:space="preserve"> vehicle drivers, other road users</w:t>
      </w:r>
      <w:r w:rsidR="00F27032">
        <w:rPr>
          <w:lang w:val="en-US"/>
        </w:rPr>
        <w:t xml:space="preserve"> and the community in general</w:t>
      </w:r>
      <w:r w:rsidR="002D50A6" w:rsidRPr="006F6683">
        <w:rPr>
          <w:lang w:val="x-none"/>
        </w:rPr>
        <w:t xml:space="preserve"> </w:t>
      </w:r>
      <w:r w:rsidR="008A0DBB" w:rsidRPr="006F6683">
        <w:rPr>
          <w:lang w:val="x-none"/>
        </w:rPr>
        <w:t>will benefit from the fitment of a L</w:t>
      </w:r>
      <w:r w:rsidR="004A0E84">
        <w:rPr>
          <w:lang w:val="en-US"/>
        </w:rPr>
        <w:t xml:space="preserve">ane </w:t>
      </w:r>
      <w:r w:rsidR="008A0DBB" w:rsidRPr="006F6683">
        <w:rPr>
          <w:lang w:val="x-none"/>
        </w:rPr>
        <w:t>D</w:t>
      </w:r>
      <w:r w:rsidR="004A0E84">
        <w:rPr>
          <w:lang w:val="en-US"/>
        </w:rPr>
        <w:t xml:space="preserve">eparture </w:t>
      </w:r>
      <w:r w:rsidR="008A0DBB" w:rsidRPr="006F6683">
        <w:rPr>
          <w:lang w:val="x-none"/>
        </w:rPr>
        <w:t>W</w:t>
      </w:r>
      <w:r w:rsidR="004A0E84">
        <w:rPr>
          <w:lang w:val="en-US"/>
        </w:rPr>
        <w:t xml:space="preserve">arning </w:t>
      </w:r>
      <w:r w:rsidR="008A0DBB" w:rsidRPr="006F6683">
        <w:rPr>
          <w:lang w:val="x-none"/>
        </w:rPr>
        <w:t>S</w:t>
      </w:r>
      <w:r w:rsidR="004A0E84">
        <w:rPr>
          <w:lang w:val="en-US"/>
        </w:rPr>
        <w:t>ystem (LDWS</w:t>
      </w:r>
      <w:r w:rsidR="00F27032">
        <w:rPr>
          <w:lang w:val="en-US"/>
        </w:rPr>
        <w:t>)</w:t>
      </w:r>
      <w:r w:rsidR="00F27032" w:rsidRPr="006F6683">
        <w:rPr>
          <w:lang w:val="x-none"/>
        </w:rPr>
        <w:t xml:space="preserve"> that</w:t>
      </w:r>
      <w:r w:rsidR="00F27032">
        <w:rPr>
          <w:lang w:val="en-US"/>
        </w:rPr>
        <w:t xml:space="preserve"> warns the driver of an unintentional lane departure</w:t>
      </w:r>
      <w:r w:rsidR="008A0DBB" w:rsidRPr="006F6683">
        <w:rPr>
          <w:lang w:val="x-none"/>
        </w:rPr>
        <w:t xml:space="preserve"> especially in the field of monotonous driving situations</w:t>
      </w:r>
      <w:r w:rsidR="004A0E84">
        <w:rPr>
          <w:lang w:val="en-US"/>
        </w:rPr>
        <w:t xml:space="preserve"> such as on national or state highways and arterial roads</w:t>
      </w:r>
      <w:r w:rsidR="008A0DBB" w:rsidRPr="006F6683">
        <w:rPr>
          <w:lang w:val="x-none"/>
        </w:rPr>
        <w:t>.</w:t>
      </w:r>
      <w:r w:rsidR="002D50A6" w:rsidRPr="006F6683">
        <w:rPr>
          <w:lang w:val="x-none"/>
        </w:rPr>
        <w:t xml:space="preserve"> </w:t>
      </w:r>
      <w:r w:rsidR="006F6683">
        <w:rPr>
          <w:lang w:val="x-none"/>
        </w:rPr>
        <w:t xml:space="preserve">The </w:t>
      </w:r>
      <w:r w:rsidR="008A0DBB" w:rsidRPr="006F6683">
        <w:rPr>
          <w:lang w:val="x-none"/>
        </w:rPr>
        <w:t xml:space="preserve">crashes prevented by LDWS include </w:t>
      </w:r>
      <w:r w:rsidR="0069165A" w:rsidRPr="0069165A">
        <w:rPr>
          <w:lang w:val="x-none"/>
        </w:rPr>
        <w:t>same direction and opposite direction lane departure multiple-vehicle crashes and single-vehicle roadway departures</w:t>
      </w:r>
      <w:r w:rsidR="0069165A">
        <w:rPr>
          <w:lang w:val="en-US"/>
        </w:rPr>
        <w:t xml:space="preserve"> </w:t>
      </w:r>
      <w:r w:rsidR="0069165A">
        <w:rPr>
          <w:lang w:val="x-none"/>
        </w:rPr>
        <w:t>crashes.</w:t>
      </w:r>
    </w:p>
    <w:p w14:paraId="4028B497" w14:textId="77777777" w:rsidR="0088319F" w:rsidRPr="006F6683" w:rsidRDefault="000C601C" w:rsidP="006F6683">
      <w:pPr>
        <w:rPr>
          <w:lang w:val="x-none"/>
        </w:rPr>
      </w:pPr>
      <w:r w:rsidRPr="002A496E">
        <w:rPr>
          <w:lang w:val="x-none"/>
        </w:rPr>
        <w:t xml:space="preserve">LDWS </w:t>
      </w:r>
      <w:r w:rsidR="00125A8E">
        <w:rPr>
          <w:lang w:val="en-US"/>
        </w:rPr>
        <w:t>in combination</w:t>
      </w:r>
      <w:r w:rsidRPr="002A496E">
        <w:rPr>
          <w:lang w:val="x-none"/>
        </w:rPr>
        <w:t xml:space="preserve"> with </w:t>
      </w:r>
      <w:r w:rsidR="00E940FA" w:rsidRPr="002A496E">
        <w:rPr>
          <w:lang w:val="x-none"/>
        </w:rPr>
        <w:t>A</w:t>
      </w:r>
      <w:r w:rsidR="00E940FA">
        <w:rPr>
          <w:lang w:val="en-US"/>
        </w:rPr>
        <w:t>dvanced</w:t>
      </w:r>
      <w:r w:rsidR="00E940FA" w:rsidRPr="002A496E">
        <w:rPr>
          <w:lang w:val="x-none"/>
        </w:rPr>
        <w:t xml:space="preserve"> </w:t>
      </w:r>
      <w:r w:rsidRPr="002A496E">
        <w:rPr>
          <w:lang w:val="x-none"/>
        </w:rPr>
        <w:t>Emergency Braking Systems (AEBS) help</w:t>
      </w:r>
      <w:r>
        <w:rPr>
          <w:lang w:val="en-US"/>
        </w:rPr>
        <w:t xml:space="preserve"> </w:t>
      </w:r>
      <w:r w:rsidRPr="002A496E">
        <w:rPr>
          <w:lang w:val="x-none"/>
        </w:rPr>
        <w:t>prevent fatigue related crashes</w:t>
      </w:r>
      <w:r>
        <w:rPr>
          <w:lang w:val="en-US"/>
        </w:rPr>
        <w:t xml:space="preserve">. </w:t>
      </w:r>
      <w:r w:rsidR="00F311DF">
        <w:rPr>
          <w:lang w:val="en-US"/>
        </w:rPr>
        <w:t>Research shows it can also be effective in</w:t>
      </w:r>
      <w:r w:rsidR="00F311DF" w:rsidRPr="00F311DF">
        <w:rPr>
          <w:lang w:val="x-none"/>
        </w:rPr>
        <w:t xml:space="preserve"> distraction monitoring by alerting a driver at the early stages of a loss of concentration.</w:t>
      </w:r>
      <w:r w:rsidR="00F311DF">
        <w:rPr>
          <w:lang w:val="en-US"/>
        </w:rPr>
        <w:t xml:space="preserve"> </w:t>
      </w:r>
      <w:r w:rsidR="008A0DBB" w:rsidRPr="006F6683">
        <w:rPr>
          <w:lang w:val="x-none"/>
        </w:rPr>
        <w:t xml:space="preserve">These crash types include </w:t>
      </w:r>
      <w:r w:rsidR="002D50A6" w:rsidRPr="006F6683">
        <w:rPr>
          <w:lang w:val="x-none"/>
        </w:rPr>
        <w:t>sideswipes, opposite sideswipes, run off road</w:t>
      </w:r>
      <w:r w:rsidR="008A0DBB" w:rsidRPr="006F6683">
        <w:rPr>
          <w:lang w:val="x-none"/>
        </w:rPr>
        <w:t>,</w:t>
      </w:r>
      <w:r w:rsidR="002D50A6" w:rsidRPr="006F6683">
        <w:rPr>
          <w:lang w:val="x-none"/>
        </w:rPr>
        <w:t xml:space="preserve"> </w:t>
      </w:r>
      <w:r w:rsidR="008A0DBB" w:rsidRPr="006F6683">
        <w:rPr>
          <w:lang w:val="x-none"/>
        </w:rPr>
        <w:t xml:space="preserve">rollover and </w:t>
      </w:r>
      <w:r w:rsidR="002D50A6" w:rsidRPr="006F6683">
        <w:rPr>
          <w:lang w:val="x-none"/>
        </w:rPr>
        <w:t>head-on</w:t>
      </w:r>
      <w:r w:rsidR="008A0DBB" w:rsidRPr="006F6683">
        <w:rPr>
          <w:lang w:val="x-none"/>
        </w:rPr>
        <w:t xml:space="preserve"> </w:t>
      </w:r>
      <w:r w:rsidR="002D50A6" w:rsidRPr="006F6683">
        <w:rPr>
          <w:lang w:val="x-none"/>
        </w:rPr>
        <w:t xml:space="preserve">crash outcomes. Australian research notes that </w:t>
      </w:r>
      <w:r w:rsidR="0088319F" w:rsidRPr="006F6683">
        <w:rPr>
          <w:lang w:val="x-none"/>
        </w:rPr>
        <w:t xml:space="preserve">LDWS will be most effective in higher friction situations on edge marked roads in fine </w:t>
      </w:r>
      <w:r w:rsidR="00CA317D" w:rsidRPr="006F6683">
        <w:rPr>
          <w:lang w:val="x-none"/>
        </w:rPr>
        <w:t>conditions and at higher speeds</w:t>
      </w:r>
      <w:r w:rsidR="0088319F" w:rsidRPr="006F6683">
        <w:rPr>
          <w:lang w:val="x-none"/>
        </w:rPr>
        <w:t xml:space="preserve"> (</w:t>
      </w:r>
      <w:r w:rsidR="00CA317D" w:rsidRPr="001C41BD">
        <w:rPr>
          <w:lang w:val="x-none"/>
        </w:rPr>
        <w:t>Budd &amp; Newstead</w:t>
      </w:r>
      <w:r w:rsidR="0088319F" w:rsidRPr="001C41BD">
        <w:rPr>
          <w:lang w:val="x-none"/>
        </w:rPr>
        <w:t>, 2014</w:t>
      </w:r>
      <w:r w:rsidR="0088319F" w:rsidRPr="006F6683">
        <w:rPr>
          <w:lang w:val="x-none"/>
        </w:rPr>
        <w:t>)</w:t>
      </w:r>
      <w:r w:rsidR="00CA317D" w:rsidRPr="006F6683">
        <w:rPr>
          <w:lang w:val="x-none"/>
        </w:rPr>
        <w:t>.</w:t>
      </w:r>
    </w:p>
    <w:p w14:paraId="74A4DB52" w14:textId="77777777" w:rsidR="005F5B06" w:rsidRPr="004725A9" w:rsidRDefault="005F5B06" w:rsidP="004725A9">
      <w:pPr>
        <w:pStyle w:val="Heading2"/>
        <w:rPr>
          <w:lang w:val="en-US"/>
        </w:rPr>
      </w:pPr>
      <w:bookmarkStart w:id="2" w:name="_Toc100326768"/>
      <w:r w:rsidRPr="004725A9">
        <w:rPr>
          <w:lang w:val="en-US"/>
        </w:rPr>
        <w:t>Lane Departure Warning S</w:t>
      </w:r>
      <w:r w:rsidR="006B708B" w:rsidRPr="004725A9">
        <w:rPr>
          <w:lang w:val="en-US"/>
        </w:rPr>
        <w:t>ystems</w:t>
      </w:r>
      <w:bookmarkEnd w:id="2"/>
    </w:p>
    <w:p w14:paraId="737ECA27" w14:textId="77777777" w:rsidR="001144EE" w:rsidRDefault="001144EE" w:rsidP="006F6683">
      <w:pPr>
        <w:rPr>
          <w:lang w:val="en-US"/>
        </w:rPr>
      </w:pPr>
      <w:r w:rsidRPr="006F6683">
        <w:rPr>
          <w:lang w:val="x-none"/>
        </w:rPr>
        <w:t xml:space="preserve">Heavy vehicles with advanced safety technologies are rapidly entering the marketplace and the impact of new features are transforming safety on roadways. Among the several safety related technologies currently available in the market, this RIS </w:t>
      </w:r>
      <w:r w:rsidR="0079519A">
        <w:rPr>
          <w:lang w:val="en-US"/>
        </w:rPr>
        <w:t>examine</w:t>
      </w:r>
      <w:r w:rsidR="00564A8B">
        <w:rPr>
          <w:lang w:val="en-US"/>
        </w:rPr>
        <w:t>s</w:t>
      </w:r>
      <w:r w:rsidR="0079519A">
        <w:rPr>
          <w:lang w:val="en-US"/>
        </w:rPr>
        <w:t xml:space="preserve"> the case for mandating LDWS in heavy vehicles</w:t>
      </w:r>
      <w:r w:rsidR="00A81EA1" w:rsidRPr="006F6683">
        <w:rPr>
          <w:lang w:val="x-none"/>
        </w:rPr>
        <w:t>.</w:t>
      </w:r>
    </w:p>
    <w:p w14:paraId="621E33A0" w14:textId="17C9190F" w:rsidR="00717A6A" w:rsidRPr="005C18CA" w:rsidRDefault="00B86743" w:rsidP="006F6683">
      <w:pPr>
        <w:rPr>
          <w:lang w:val="en-US"/>
        </w:rPr>
      </w:pPr>
      <w:r>
        <w:rPr>
          <w:lang w:val="x-none"/>
        </w:rPr>
        <w:t>LDWS</w:t>
      </w:r>
      <w:r w:rsidR="00717A6A" w:rsidRPr="006F6683">
        <w:rPr>
          <w:lang w:val="x-none"/>
        </w:rPr>
        <w:t xml:space="preserve"> </w:t>
      </w:r>
      <w:r w:rsidR="00DF1FA0">
        <w:t>is a</w:t>
      </w:r>
      <w:r w:rsidR="00DF1FA0" w:rsidRPr="006F6683">
        <w:rPr>
          <w:lang w:val="x-none"/>
        </w:rPr>
        <w:t xml:space="preserve"> </w:t>
      </w:r>
      <w:r w:rsidR="0079519A">
        <w:rPr>
          <w:lang w:val="x-none"/>
        </w:rPr>
        <w:t>passive safety system</w:t>
      </w:r>
      <w:r w:rsidR="0079519A" w:rsidRPr="006F6683">
        <w:rPr>
          <w:lang w:val="x-none"/>
        </w:rPr>
        <w:t xml:space="preserve"> </w:t>
      </w:r>
      <w:r w:rsidR="0079519A">
        <w:rPr>
          <w:lang w:val="en-US"/>
        </w:rPr>
        <w:t xml:space="preserve">and </w:t>
      </w:r>
      <w:r w:rsidR="00717A6A" w:rsidRPr="006F6683">
        <w:rPr>
          <w:lang w:val="x-none"/>
        </w:rPr>
        <w:t>fit under the broad definition of A</w:t>
      </w:r>
      <w:r w:rsidR="00DA29A0">
        <w:rPr>
          <w:lang w:val="en-US"/>
        </w:rPr>
        <w:t xml:space="preserve">dvanced </w:t>
      </w:r>
      <w:r w:rsidR="00717A6A" w:rsidRPr="006F6683">
        <w:rPr>
          <w:lang w:val="x-none"/>
        </w:rPr>
        <w:t>D</w:t>
      </w:r>
      <w:r w:rsidR="00DA29A0">
        <w:rPr>
          <w:lang w:val="en-US"/>
        </w:rPr>
        <w:t xml:space="preserve">river </w:t>
      </w:r>
      <w:r w:rsidR="00717A6A" w:rsidRPr="006F6683">
        <w:rPr>
          <w:lang w:val="x-none"/>
        </w:rPr>
        <w:t>A</w:t>
      </w:r>
      <w:r w:rsidR="00DA29A0">
        <w:rPr>
          <w:lang w:val="en-US"/>
        </w:rPr>
        <w:t xml:space="preserve">ssistance </w:t>
      </w:r>
      <w:r w:rsidR="00717A6A" w:rsidRPr="006F6683">
        <w:rPr>
          <w:lang w:val="x-none"/>
        </w:rPr>
        <w:t>S</w:t>
      </w:r>
      <w:r w:rsidR="00DA29A0">
        <w:rPr>
          <w:lang w:val="en-US"/>
        </w:rPr>
        <w:t>ystems (ADAS)</w:t>
      </w:r>
      <w:r w:rsidR="006F6683">
        <w:rPr>
          <w:lang w:val="x-none"/>
        </w:rPr>
        <w:t xml:space="preserve">. </w:t>
      </w:r>
      <w:r w:rsidR="0079519A">
        <w:rPr>
          <w:lang w:val="en-US"/>
        </w:rPr>
        <w:t xml:space="preserve">This means that the system </w:t>
      </w:r>
      <w:r w:rsidR="00717A6A" w:rsidRPr="006F6683">
        <w:rPr>
          <w:lang w:val="x-none"/>
        </w:rPr>
        <w:t>alert</w:t>
      </w:r>
      <w:r w:rsidR="00DF1FA0">
        <w:t>s</w:t>
      </w:r>
      <w:r w:rsidR="00717A6A" w:rsidRPr="006F6683">
        <w:rPr>
          <w:lang w:val="x-none"/>
        </w:rPr>
        <w:t xml:space="preserve"> the driver to a potential threat </w:t>
      </w:r>
      <w:r w:rsidR="0079519A">
        <w:rPr>
          <w:lang w:val="en-US"/>
        </w:rPr>
        <w:t xml:space="preserve">but </w:t>
      </w:r>
      <w:r w:rsidR="00717A6A" w:rsidRPr="006F6683">
        <w:rPr>
          <w:lang w:val="x-none"/>
        </w:rPr>
        <w:t>do</w:t>
      </w:r>
      <w:r w:rsidR="00DF1FA0">
        <w:t>es</w:t>
      </w:r>
      <w:r w:rsidR="00717A6A" w:rsidRPr="006F6683">
        <w:rPr>
          <w:lang w:val="x-none"/>
        </w:rPr>
        <w:t xml:space="preserve"> not assume control over any aspect of the vehicle. </w:t>
      </w:r>
      <w:r w:rsidR="005C18CA">
        <w:rPr>
          <w:lang w:val="en-US"/>
        </w:rPr>
        <w:t>LDWS</w:t>
      </w:r>
      <w:r w:rsidR="005C18CA" w:rsidRPr="005C18CA">
        <w:rPr>
          <w:lang w:val="en-US"/>
        </w:rPr>
        <w:t xml:space="preserve"> </w:t>
      </w:r>
      <w:r w:rsidR="005C18CA" w:rsidRPr="007740F3">
        <w:rPr>
          <w:lang w:val="en-US"/>
        </w:rPr>
        <w:t>is</w:t>
      </w:r>
      <w:r w:rsidR="005C18CA" w:rsidRPr="005C18CA">
        <w:rPr>
          <w:lang w:val="en-US"/>
        </w:rPr>
        <w:t xml:space="preserve"> particularly effective in situations where the road is continuously straight and drivers have a tendency</w:t>
      </w:r>
      <w:r w:rsidR="00DF1FA0">
        <w:rPr>
          <w:lang w:val="en-US"/>
        </w:rPr>
        <w:t xml:space="preserve"> not</w:t>
      </w:r>
      <w:r w:rsidR="005C18CA" w:rsidRPr="005C18CA">
        <w:rPr>
          <w:lang w:val="en-US"/>
        </w:rPr>
        <w:t xml:space="preserve"> </w:t>
      </w:r>
      <w:r w:rsidR="007740F3" w:rsidRPr="005C18CA">
        <w:rPr>
          <w:lang w:val="en-US"/>
        </w:rPr>
        <w:t xml:space="preserve">to </w:t>
      </w:r>
      <w:r w:rsidR="005C18CA" w:rsidRPr="005C18CA">
        <w:rPr>
          <w:lang w:val="en-US"/>
        </w:rPr>
        <w:t>pay sufficient attention to the road.</w:t>
      </w:r>
    </w:p>
    <w:p w14:paraId="3BAF6BE6" w14:textId="75DEC0CB" w:rsidR="006B708B" w:rsidRPr="006F6683" w:rsidRDefault="00717A6A" w:rsidP="006F6683">
      <w:pPr>
        <w:rPr>
          <w:lang w:val="x-none"/>
        </w:rPr>
      </w:pPr>
      <w:r w:rsidRPr="006F6683">
        <w:rPr>
          <w:lang w:val="x-none"/>
        </w:rPr>
        <w:t xml:space="preserve">LDWS </w:t>
      </w:r>
      <w:r w:rsidR="006B708B" w:rsidRPr="006F6683">
        <w:rPr>
          <w:lang w:val="x-none"/>
        </w:rPr>
        <w:t>are vision-based, in-vehicle electronic systems that monitor the heavy vehic</w:t>
      </w:r>
      <w:r w:rsidR="006F6683">
        <w:rPr>
          <w:lang w:val="x-none"/>
        </w:rPr>
        <w:t xml:space="preserve">le’s position within a roadway. </w:t>
      </w:r>
      <w:r w:rsidR="006B708B" w:rsidRPr="006F6683">
        <w:rPr>
          <w:lang w:val="x-none"/>
        </w:rPr>
        <w:t xml:space="preserve">Based on lane markings, LDWS warns a driver if the vehicle deviates or is about to unintentionally deviate outside </w:t>
      </w:r>
      <w:r w:rsidR="008742A6">
        <w:rPr>
          <w:lang w:val="en-GB"/>
        </w:rPr>
        <w:t>of its</w:t>
      </w:r>
      <w:r w:rsidR="008742A6" w:rsidRPr="006F6683">
        <w:rPr>
          <w:lang w:val="x-none"/>
        </w:rPr>
        <w:t xml:space="preserve"> </w:t>
      </w:r>
      <w:r w:rsidR="006B708B" w:rsidRPr="006F6683">
        <w:rPr>
          <w:lang w:val="x-none"/>
        </w:rPr>
        <w:t xml:space="preserve">lane. </w:t>
      </w:r>
    </w:p>
    <w:p w14:paraId="53CB2A2C" w14:textId="1B1B396A" w:rsidR="00CD2331" w:rsidRPr="006F6683" w:rsidRDefault="00472BC4" w:rsidP="006F6683">
      <w:pPr>
        <w:rPr>
          <w:lang w:val="x-none"/>
        </w:rPr>
      </w:pPr>
      <w:r w:rsidRPr="006F6683">
        <w:rPr>
          <w:lang w:val="x-none"/>
        </w:rPr>
        <w:t>In addition to its lane departure warning function, o</w:t>
      </w:r>
      <w:r w:rsidR="00CD2331" w:rsidRPr="006F6683">
        <w:rPr>
          <w:lang w:val="x-none"/>
        </w:rPr>
        <w:t xml:space="preserve">ne of the applications for LDWS is as a fatigue monitor </w:t>
      </w:r>
      <w:r w:rsidRPr="006F6683">
        <w:rPr>
          <w:lang w:val="x-none"/>
        </w:rPr>
        <w:t>since</w:t>
      </w:r>
      <w:r w:rsidR="00CD2331" w:rsidRPr="006F6683">
        <w:rPr>
          <w:lang w:val="x-none"/>
        </w:rPr>
        <w:t xml:space="preserve"> </w:t>
      </w:r>
      <w:r w:rsidR="00DF1FA0">
        <w:t>tired drivers often drift on the road</w:t>
      </w:r>
      <w:r w:rsidR="00CD2331" w:rsidRPr="006F6683">
        <w:rPr>
          <w:lang w:val="x-none"/>
        </w:rPr>
        <w:t>. Another application of LDWS is as a distraction</w:t>
      </w:r>
      <w:r w:rsidR="002327CB">
        <w:rPr>
          <w:lang w:val="en-US"/>
        </w:rPr>
        <w:t xml:space="preserve"> prevention</w:t>
      </w:r>
      <w:r w:rsidR="00CD2331" w:rsidRPr="006F6683">
        <w:rPr>
          <w:lang w:val="x-none"/>
        </w:rPr>
        <w:t xml:space="preserve"> device. In either case, if the driver is distracted or tired and the heavy vehicle drifts out of its lane</w:t>
      </w:r>
      <w:r w:rsidR="00DF1FA0">
        <w:t>,</w:t>
      </w:r>
      <w:r w:rsidR="00CD2331" w:rsidRPr="006F6683">
        <w:rPr>
          <w:lang w:val="x-none"/>
        </w:rPr>
        <w:t xml:space="preserve"> the LDWS will give a warning in some form to the driver that the </w:t>
      </w:r>
      <w:r w:rsidR="008742A6">
        <w:rPr>
          <w:lang w:val="en-GB"/>
        </w:rPr>
        <w:t xml:space="preserve">vehicle is </w:t>
      </w:r>
      <w:r w:rsidR="007740F3">
        <w:rPr>
          <w:lang w:val="en-US"/>
        </w:rPr>
        <w:t>about to move</w:t>
      </w:r>
      <w:r w:rsidR="00CD2331" w:rsidRPr="006F6683">
        <w:rPr>
          <w:lang w:val="x-none"/>
        </w:rPr>
        <w:t xml:space="preserve"> out of </w:t>
      </w:r>
      <w:r w:rsidR="008742A6">
        <w:rPr>
          <w:lang w:val="en-GB"/>
        </w:rPr>
        <w:t>its</w:t>
      </w:r>
      <w:r w:rsidR="008742A6" w:rsidRPr="006F6683">
        <w:rPr>
          <w:lang w:val="x-none"/>
        </w:rPr>
        <w:t xml:space="preserve"> </w:t>
      </w:r>
      <w:r w:rsidR="00CD2331" w:rsidRPr="006F6683">
        <w:rPr>
          <w:lang w:val="x-none"/>
        </w:rPr>
        <w:t>lane.</w:t>
      </w:r>
    </w:p>
    <w:p w14:paraId="341DCF19" w14:textId="574268D7" w:rsidR="006A0067" w:rsidRPr="006F6683" w:rsidRDefault="006A0067" w:rsidP="006F6683">
      <w:pPr>
        <w:rPr>
          <w:lang w:val="x-none"/>
        </w:rPr>
      </w:pPr>
      <w:r w:rsidRPr="006F6683">
        <w:rPr>
          <w:lang w:val="x-none"/>
        </w:rPr>
        <w:t xml:space="preserve">This </w:t>
      </w:r>
      <w:r w:rsidR="006F6683">
        <w:rPr>
          <w:lang w:val="en-US"/>
        </w:rPr>
        <w:t xml:space="preserve">Consultation </w:t>
      </w:r>
      <w:r w:rsidRPr="006F6683">
        <w:rPr>
          <w:lang w:val="x-none"/>
        </w:rPr>
        <w:t xml:space="preserve">RIS presents the first estimations of the number of Australian crashes that could be reduced using LDWS and therefore could </w:t>
      </w:r>
      <w:r w:rsidR="00FE6024">
        <w:t>improve road safety outcomes</w:t>
      </w:r>
      <w:r w:rsidRPr="006F6683">
        <w:rPr>
          <w:lang w:val="x-none"/>
        </w:rPr>
        <w:t xml:space="preserve">. </w:t>
      </w:r>
      <w:r w:rsidR="008742A6">
        <w:rPr>
          <w:lang w:val="en-GB"/>
        </w:rPr>
        <w:t xml:space="preserve">Its </w:t>
      </w:r>
      <w:r w:rsidR="00FE6024">
        <w:t>intention</w:t>
      </w:r>
      <w:r w:rsidR="00FE6024" w:rsidRPr="006F6683">
        <w:rPr>
          <w:lang w:val="x-none"/>
        </w:rPr>
        <w:t xml:space="preserve"> </w:t>
      </w:r>
      <w:r w:rsidRPr="006F6683">
        <w:rPr>
          <w:lang w:val="x-none"/>
        </w:rPr>
        <w:t>is to inform policy making and regulatory approaches to improving motor vehicle safety in Australia and</w:t>
      </w:r>
      <w:r w:rsidR="008742A6">
        <w:rPr>
          <w:lang w:val="en-GB"/>
        </w:rPr>
        <w:t xml:space="preserve"> to</w:t>
      </w:r>
      <w:r w:rsidRPr="006F6683">
        <w:rPr>
          <w:lang w:val="x-none"/>
        </w:rPr>
        <w:t xml:space="preserve"> further recommend education and outreach activities to increase awareness on the benefits of LDWS.</w:t>
      </w:r>
    </w:p>
    <w:p w14:paraId="769EC83F" w14:textId="77777777" w:rsidR="00DF39A4" w:rsidRDefault="00DF39A4" w:rsidP="006F6683">
      <w:pPr>
        <w:rPr>
          <w:lang w:val="en-US"/>
        </w:rPr>
      </w:pPr>
      <w:r>
        <w:rPr>
          <w:lang w:val="en-US"/>
        </w:rPr>
        <w:t>T</w:t>
      </w:r>
      <w:r w:rsidRPr="006F6683">
        <w:rPr>
          <w:lang w:val="x-none"/>
        </w:rPr>
        <w:t xml:space="preserve">his </w:t>
      </w:r>
      <w:r>
        <w:rPr>
          <w:lang w:val="en-US"/>
        </w:rPr>
        <w:t xml:space="preserve">Consultation </w:t>
      </w:r>
      <w:r w:rsidRPr="006F6683">
        <w:rPr>
          <w:lang w:val="x-none"/>
        </w:rPr>
        <w:t xml:space="preserve">RIS considers </w:t>
      </w:r>
      <w:r>
        <w:rPr>
          <w:lang w:val="en-US"/>
        </w:rPr>
        <w:t>t</w:t>
      </w:r>
      <w:r>
        <w:t>wo</w:t>
      </w:r>
      <w:r w:rsidRPr="000910B7">
        <w:t xml:space="preserve"> options to increase the fitment of </w:t>
      </w:r>
      <w:r>
        <w:t xml:space="preserve">LDWS </w:t>
      </w:r>
      <w:r w:rsidR="00FE6024">
        <w:t>in</w:t>
      </w:r>
      <w:r w:rsidR="00FE6024" w:rsidRPr="000910B7">
        <w:t xml:space="preserve"> </w:t>
      </w:r>
      <w:r w:rsidRPr="000910B7">
        <w:t>new heavy vehicles supplied to the Australian market</w:t>
      </w:r>
      <w:r>
        <w:t>; a non-regulatory option of no intervention and a regulatory option</w:t>
      </w:r>
      <w:r w:rsidRPr="000910B7">
        <w:t xml:space="preserve">. </w:t>
      </w:r>
      <w:r w:rsidRPr="00550A4F">
        <w:t>The exclusion of other alternative options for this regulatory impact</w:t>
      </w:r>
      <w:r>
        <w:t xml:space="preserve"> </w:t>
      </w:r>
      <w:r w:rsidRPr="00550A4F">
        <w:t>assessment considering the introduction of a new vehicle standard was agreed with the Office of Best Practice</w:t>
      </w:r>
      <w:r>
        <w:t xml:space="preserve"> </w:t>
      </w:r>
      <w:r>
        <w:rPr>
          <w:rFonts w:ascii="Calibri" w:eastAsia="Times New Roman" w:hAnsi="Calibri" w:cs="Calibri"/>
          <w:color w:val="000000"/>
          <w:kern w:val="0"/>
          <w:szCs w:val="24"/>
          <w:lang w:val="x-none"/>
        </w:rPr>
        <w:t xml:space="preserve">Regulation </w:t>
      </w:r>
      <w:r>
        <w:rPr>
          <w:rFonts w:ascii="Calibri" w:eastAsia="Times New Roman" w:hAnsi="Calibri" w:cs="Calibri"/>
          <w:color w:val="000000"/>
          <w:kern w:val="0"/>
          <w:szCs w:val="24"/>
          <w:lang w:val="en-US"/>
        </w:rPr>
        <w:t xml:space="preserve">(OBPR) </w:t>
      </w:r>
      <w:r>
        <w:rPr>
          <w:rFonts w:ascii="Calibri" w:eastAsia="Times New Roman" w:hAnsi="Calibri" w:cs="Calibri"/>
          <w:color w:val="000000"/>
          <w:kern w:val="0"/>
          <w:szCs w:val="24"/>
          <w:lang w:val="x-none"/>
        </w:rPr>
        <w:t>in early 2020.</w:t>
      </w:r>
    </w:p>
    <w:p w14:paraId="447514BE" w14:textId="55AE84CB" w:rsidR="000D64DD" w:rsidRDefault="00E07EFE" w:rsidP="006F6683">
      <w:pPr>
        <w:rPr>
          <w:lang w:val="x-none"/>
        </w:rPr>
      </w:pPr>
      <w:r>
        <w:rPr>
          <w:lang w:val="en-US"/>
        </w:rPr>
        <w:lastRenderedPageBreak/>
        <w:t xml:space="preserve">Option 1 considers the Business As Usual (BAU) case where no intervention is made. </w:t>
      </w:r>
      <w:r w:rsidR="000D64DD">
        <w:rPr>
          <w:lang w:val="en-US"/>
        </w:rPr>
        <w:t xml:space="preserve">For </w:t>
      </w:r>
      <w:r w:rsidR="00C12912">
        <w:rPr>
          <w:lang w:val="en-US"/>
        </w:rPr>
        <w:t>Option 2</w:t>
      </w:r>
      <w:r w:rsidR="000D64DD">
        <w:rPr>
          <w:lang w:val="en-US"/>
        </w:rPr>
        <w:t xml:space="preserve"> the benefit-cost analysis assumes a </w:t>
      </w:r>
      <w:r w:rsidR="000D64DD">
        <w:rPr>
          <w:lang w:val="x-none"/>
        </w:rPr>
        <w:t>start date (2024</w:t>
      </w:r>
      <w:r w:rsidR="000D64DD" w:rsidRPr="000D64DD">
        <w:rPr>
          <w:lang w:val="x-none"/>
        </w:rPr>
        <w:t xml:space="preserve">), </w:t>
      </w:r>
      <w:r w:rsidR="000D64DD">
        <w:rPr>
          <w:lang w:val="en-US"/>
        </w:rPr>
        <w:t>followed by</w:t>
      </w:r>
      <w:r w:rsidR="000D64DD" w:rsidRPr="000D64DD">
        <w:rPr>
          <w:lang w:val="x-none"/>
        </w:rPr>
        <w:t xml:space="preserve"> 15 years of regulation (after which it is assumed the A</w:t>
      </w:r>
      <w:r w:rsidR="000D64DD">
        <w:rPr>
          <w:lang w:val="en-US"/>
        </w:rPr>
        <w:t xml:space="preserve">ustralian </w:t>
      </w:r>
      <w:r w:rsidR="000D64DD" w:rsidRPr="000D64DD">
        <w:rPr>
          <w:lang w:val="x-none"/>
        </w:rPr>
        <w:t>D</w:t>
      </w:r>
      <w:r w:rsidR="000D64DD">
        <w:rPr>
          <w:lang w:val="en-US"/>
        </w:rPr>
        <w:t xml:space="preserve">esign </w:t>
      </w:r>
      <w:r w:rsidR="000D64DD" w:rsidRPr="000D64DD">
        <w:rPr>
          <w:lang w:val="x-none"/>
        </w:rPr>
        <w:t>R</w:t>
      </w:r>
      <w:r w:rsidR="000D64DD">
        <w:rPr>
          <w:lang w:val="en-US"/>
        </w:rPr>
        <w:t>ule</w:t>
      </w:r>
      <w:r w:rsidR="008742A6">
        <w:rPr>
          <w:lang w:val="en-US"/>
        </w:rPr>
        <w:t xml:space="preserve"> (ADR)</w:t>
      </w:r>
      <w:r w:rsidR="00106450">
        <w:rPr>
          <w:lang w:val="x-none"/>
        </w:rPr>
        <w:t xml:space="preserve"> would be reviewed). The analysis includes </w:t>
      </w:r>
      <w:r w:rsidR="00106450">
        <w:rPr>
          <w:lang w:val="en-US"/>
        </w:rPr>
        <w:t xml:space="preserve">another </w:t>
      </w:r>
      <w:r w:rsidR="00106450">
        <w:rPr>
          <w:lang w:val="x-none"/>
        </w:rPr>
        <w:t>2</w:t>
      </w:r>
      <w:r w:rsidR="000D64DD" w:rsidRPr="000D64DD">
        <w:rPr>
          <w:lang w:val="x-none"/>
        </w:rPr>
        <w:t>0 years past</w:t>
      </w:r>
      <w:r w:rsidR="00106450">
        <w:rPr>
          <w:lang w:val="en-US"/>
        </w:rPr>
        <w:t xml:space="preserve"> the period of regulation</w:t>
      </w:r>
      <w:r w:rsidR="00106450">
        <w:rPr>
          <w:lang w:val="x-none"/>
        </w:rPr>
        <w:t xml:space="preserve"> to capture</w:t>
      </w:r>
      <w:r w:rsidR="000D64DD" w:rsidRPr="000D64DD">
        <w:rPr>
          <w:lang w:val="x-none"/>
        </w:rPr>
        <w:t xml:space="preserve"> </w:t>
      </w:r>
      <w:r w:rsidR="00106450">
        <w:rPr>
          <w:lang w:val="x-none"/>
        </w:rPr>
        <w:t>the benefits from the 2</w:t>
      </w:r>
      <w:r w:rsidR="000D64DD" w:rsidRPr="000D64DD">
        <w:rPr>
          <w:lang w:val="x-none"/>
        </w:rPr>
        <w:t xml:space="preserve">0 years of the crash </w:t>
      </w:r>
      <w:r w:rsidR="00106450">
        <w:rPr>
          <w:lang w:val="x-none"/>
        </w:rPr>
        <w:t>profile of the last lot</w:t>
      </w:r>
      <w:r w:rsidR="000D64DD" w:rsidRPr="000D64DD">
        <w:rPr>
          <w:lang w:val="x-none"/>
        </w:rPr>
        <w:t xml:space="preserve"> o</w:t>
      </w:r>
      <w:r w:rsidR="00106450">
        <w:rPr>
          <w:lang w:val="x-none"/>
        </w:rPr>
        <w:t>f</w:t>
      </w:r>
      <w:r w:rsidR="00106450">
        <w:rPr>
          <w:lang w:val="en-US"/>
        </w:rPr>
        <w:t xml:space="preserve"> heavy</w:t>
      </w:r>
      <w:r w:rsidR="00106450">
        <w:rPr>
          <w:lang w:val="x-none"/>
        </w:rPr>
        <w:t xml:space="preserve"> vehicles to be fitted with </w:t>
      </w:r>
      <w:r w:rsidR="00106450">
        <w:rPr>
          <w:lang w:val="en-US"/>
        </w:rPr>
        <w:t>LDWS</w:t>
      </w:r>
      <w:r w:rsidR="000D64DD" w:rsidRPr="000D64DD">
        <w:rPr>
          <w:lang w:val="x-none"/>
        </w:rPr>
        <w:t xml:space="preserve"> when the regulation stops</w:t>
      </w:r>
      <w:r w:rsidR="00106450">
        <w:rPr>
          <w:lang w:val="x-none"/>
        </w:rPr>
        <w:t>.</w:t>
      </w:r>
    </w:p>
    <w:p w14:paraId="5AA9A09A" w14:textId="77777777" w:rsidR="00326FD2" w:rsidRPr="006F6683" w:rsidRDefault="00326FD2" w:rsidP="006F6683">
      <w:pPr>
        <w:rPr>
          <w:lang w:val="x-none"/>
        </w:rPr>
      </w:pPr>
      <w:r w:rsidRPr="006F6683">
        <w:rPr>
          <w:lang w:val="x-none"/>
        </w:rPr>
        <w:t>The results of the</w:t>
      </w:r>
      <w:r w:rsidR="00106450">
        <w:rPr>
          <w:lang w:val="x-none"/>
        </w:rPr>
        <w:t xml:space="preserve"> benefit-cost analysis over a 37</w:t>
      </w:r>
      <w:r w:rsidRPr="006F6683">
        <w:rPr>
          <w:lang w:val="x-none"/>
        </w:rPr>
        <w:t xml:space="preserve"> year period for each of these options (assuming an intervention policy period of 15 years) are summarised in Table 1 to Table 3 below.</w:t>
      </w:r>
      <w:r w:rsidR="00602D3D" w:rsidRPr="00602D3D">
        <w:rPr>
          <w:lang w:val="x-none"/>
        </w:rPr>
        <w:t xml:space="preserve"> </w:t>
      </w:r>
      <w:r w:rsidR="00C12912">
        <w:rPr>
          <w:lang w:val="x-none"/>
        </w:rPr>
        <w:t>Option 2</w:t>
      </w:r>
      <w:bookmarkStart w:id="3" w:name="_GoBack"/>
      <w:r w:rsidR="00602D3D" w:rsidRPr="006F6683">
        <w:rPr>
          <w:lang w:val="x-none"/>
        </w:rPr>
        <w:t>: regulation generated the h</w:t>
      </w:r>
      <w:r w:rsidR="00B86743">
        <w:rPr>
          <w:lang w:val="x-none"/>
        </w:rPr>
        <w:t>ighest number of lives saved (63) and serious (1,732) and minor (5,389</w:t>
      </w:r>
      <w:r w:rsidR="00602D3D" w:rsidRPr="006F6683">
        <w:rPr>
          <w:lang w:val="x-none"/>
        </w:rPr>
        <w:t>) injuries avoided, as well as the</w:t>
      </w:r>
      <w:r w:rsidR="00B86743">
        <w:rPr>
          <w:lang w:val="x-none"/>
        </w:rPr>
        <w:t xml:space="preserve"> highest likely net benefit ($17.</w:t>
      </w:r>
      <w:r w:rsidR="00B86743">
        <w:rPr>
          <w:lang w:val="en-US"/>
        </w:rPr>
        <w:t xml:space="preserve">3 </w:t>
      </w:r>
      <w:r w:rsidR="00602D3D" w:rsidRPr="006F6683">
        <w:rPr>
          <w:lang w:val="x-none"/>
        </w:rPr>
        <w:t xml:space="preserve">million), while retaining </w:t>
      </w:r>
      <w:r w:rsidR="00B86743">
        <w:rPr>
          <w:lang w:val="x-none"/>
        </w:rPr>
        <w:t>a likely benefit-cost ratio (1.1</w:t>
      </w:r>
      <w:r w:rsidR="00602D3D" w:rsidRPr="006F6683">
        <w:rPr>
          <w:lang w:val="x-none"/>
        </w:rPr>
        <w:t>).</w:t>
      </w:r>
      <w:bookmarkEnd w:id="3"/>
    </w:p>
    <w:p w14:paraId="38831D25" w14:textId="2857E84C" w:rsidR="00041A6D" w:rsidRDefault="00041A6D" w:rsidP="00041A6D">
      <w:pPr>
        <w:pStyle w:val="Caption"/>
        <w:keepNext/>
      </w:pPr>
      <w:bookmarkStart w:id="4" w:name="_Toc100326831"/>
      <w:r>
        <w:t xml:space="preserve">Table </w:t>
      </w:r>
      <w:fldSimple w:instr=" SEQ Table \* ARABIC ">
        <w:r w:rsidR="008E07C6">
          <w:rPr>
            <w:noProof/>
          </w:rPr>
          <w:t>1</w:t>
        </w:r>
      </w:fldSimple>
      <w:r>
        <w:t>: Summary of gross and net benefits for each option</w:t>
      </w:r>
      <w:bookmarkEnd w:id="4"/>
    </w:p>
    <w:tbl>
      <w:tblPr>
        <w:tblStyle w:val="DefaultTable1"/>
        <w:tblW w:w="5000" w:type="pct"/>
        <w:tblLook w:val="04E0" w:firstRow="1" w:lastRow="1" w:firstColumn="1" w:lastColumn="0" w:noHBand="0" w:noVBand="1"/>
        <w:tblCaption w:val="Sample table"/>
        <w:tblDescription w:val="Sample table"/>
      </w:tblPr>
      <w:tblGrid>
        <w:gridCol w:w="3289"/>
        <w:gridCol w:w="3289"/>
        <w:gridCol w:w="1643"/>
        <w:gridCol w:w="1643"/>
      </w:tblGrid>
      <w:tr w:rsidR="00662D1A" w14:paraId="424AE584" w14:textId="77777777" w:rsidTr="00F606E3">
        <w:trPr>
          <w:cnfStyle w:val="100000000000" w:firstRow="1" w:lastRow="0" w:firstColumn="0" w:lastColumn="0" w:oddVBand="0" w:evenVBand="0" w:oddHBand="0" w:evenHBand="0" w:firstRowFirstColumn="0" w:firstRowLastColumn="0" w:lastRowFirstColumn="0" w:lastRowLastColumn="0"/>
          <w:trHeight w:val="221"/>
        </w:trPr>
        <w:tc>
          <w:tcPr>
            <w:cnfStyle w:val="001000000000" w:firstRow="0" w:lastRow="0" w:firstColumn="1" w:lastColumn="0" w:oddVBand="0" w:evenVBand="0" w:oddHBand="0" w:evenHBand="0" w:firstRowFirstColumn="0" w:firstRowLastColumn="0" w:lastRowFirstColumn="0" w:lastRowLastColumn="0"/>
            <w:tcW w:w="1667" w:type="pct"/>
            <w:vMerge w:val="restart"/>
          </w:tcPr>
          <w:p w14:paraId="1901EF2F" w14:textId="77777777" w:rsidR="00662D1A" w:rsidRDefault="00662D1A" w:rsidP="00041A6D"/>
        </w:tc>
        <w:tc>
          <w:tcPr>
            <w:tcW w:w="1667" w:type="pct"/>
            <w:vMerge w:val="restart"/>
          </w:tcPr>
          <w:p w14:paraId="7A419046" w14:textId="77777777" w:rsidR="00662D1A" w:rsidRDefault="00662D1A" w:rsidP="00F606E3">
            <w:pPr>
              <w:jc w:val="center"/>
              <w:cnfStyle w:val="100000000000" w:firstRow="1" w:lastRow="0" w:firstColumn="0" w:lastColumn="0" w:oddVBand="0" w:evenVBand="0" w:oddHBand="0" w:evenHBand="0" w:firstRowFirstColumn="0" w:firstRowLastColumn="0" w:lastRowFirstColumn="0" w:lastRowLastColumn="0"/>
            </w:pPr>
            <w:r>
              <w:t>Gross Benefits ($m)</w:t>
            </w:r>
          </w:p>
        </w:tc>
        <w:tc>
          <w:tcPr>
            <w:tcW w:w="1666" w:type="pct"/>
            <w:gridSpan w:val="2"/>
          </w:tcPr>
          <w:p w14:paraId="4048C218" w14:textId="77777777" w:rsidR="00662D1A" w:rsidRDefault="00662D1A" w:rsidP="00F606E3">
            <w:pPr>
              <w:jc w:val="center"/>
              <w:cnfStyle w:val="100000000000" w:firstRow="1" w:lastRow="0" w:firstColumn="0" w:lastColumn="0" w:oddVBand="0" w:evenVBand="0" w:oddHBand="0" w:evenHBand="0" w:firstRowFirstColumn="0" w:firstRowLastColumn="0" w:lastRowFirstColumn="0" w:lastRowLastColumn="0"/>
            </w:pPr>
            <w:r>
              <w:t>Net Benefits ($m)</w:t>
            </w:r>
          </w:p>
        </w:tc>
      </w:tr>
      <w:tr w:rsidR="00662D1A" w14:paraId="451D27ED" w14:textId="77777777" w:rsidTr="00662D1A">
        <w:trPr>
          <w:trHeight w:val="221"/>
        </w:trPr>
        <w:tc>
          <w:tcPr>
            <w:cnfStyle w:val="001000000000" w:firstRow="0" w:lastRow="0" w:firstColumn="1" w:lastColumn="0" w:oddVBand="0" w:evenVBand="0" w:oddHBand="0" w:evenHBand="0" w:firstRowFirstColumn="0" w:firstRowLastColumn="0" w:lastRowFirstColumn="0" w:lastRowLastColumn="0"/>
            <w:tcW w:w="1667" w:type="pct"/>
            <w:vMerge/>
          </w:tcPr>
          <w:p w14:paraId="4E53C7C7" w14:textId="77777777" w:rsidR="00662D1A" w:rsidRDefault="00662D1A" w:rsidP="00041A6D"/>
        </w:tc>
        <w:tc>
          <w:tcPr>
            <w:tcW w:w="1667" w:type="pct"/>
            <w:vMerge/>
          </w:tcPr>
          <w:p w14:paraId="7F23FA6D" w14:textId="77777777" w:rsidR="00662D1A" w:rsidRDefault="00662D1A" w:rsidP="00F606E3">
            <w:pPr>
              <w:jc w:val="center"/>
              <w:cnfStyle w:val="000000000000" w:firstRow="0" w:lastRow="0" w:firstColumn="0" w:lastColumn="0" w:oddVBand="0" w:evenVBand="0" w:oddHBand="0" w:evenHBand="0" w:firstRowFirstColumn="0" w:firstRowLastColumn="0" w:lastRowFirstColumn="0" w:lastRowLastColumn="0"/>
            </w:pPr>
          </w:p>
        </w:tc>
        <w:tc>
          <w:tcPr>
            <w:tcW w:w="833" w:type="pct"/>
            <w:tcBorders>
              <w:top w:val="nil"/>
            </w:tcBorders>
          </w:tcPr>
          <w:p w14:paraId="224B1F56" w14:textId="77777777" w:rsidR="00662D1A" w:rsidRPr="00041A6D" w:rsidRDefault="00662D1A" w:rsidP="00F606E3">
            <w:pPr>
              <w:jc w:val="center"/>
              <w:cnfStyle w:val="000000000000" w:firstRow="0" w:lastRow="0" w:firstColumn="0" w:lastColumn="0" w:oddVBand="0" w:evenVBand="0" w:oddHBand="0" w:evenHBand="0" w:firstRowFirstColumn="0" w:firstRowLastColumn="0" w:lastRowFirstColumn="0" w:lastRowLastColumn="0"/>
            </w:pPr>
            <w:r w:rsidRPr="00041A6D">
              <w:t>Best case</w:t>
            </w:r>
          </w:p>
        </w:tc>
        <w:tc>
          <w:tcPr>
            <w:tcW w:w="833" w:type="pct"/>
            <w:tcBorders>
              <w:top w:val="nil"/>
            </w:tcBorders>
          </w:tcPr>
          <w:p w14:paraId="36FDE3E9" w14:textId="77777777" w:rsidR="00662D1A" w:rsidRDefault="00662D1A" w:rsidP="00F606E3">
            <w:pPr>
              <w:jc w:val="center"/>
              <w:cnfStyle w:val="000000000000" w:firstRow="0" w:lastRow="0" w:firstColumn="0" w:lastColumn="0" w:oddVBand="0" w:evenVBand="0" w:oddHBand="0" w:evenHBand="0" w:firstRowFirstColumn="0" w:firstRowLastColumn="0" w:lastRowFirstColumn="0" w:lastRowLastColumn="0"/>
            </w:pPr>
            <w:r>
              <w:t>Likely case</w:t>
            </w:r>
          </w:p>
        </w:tc>
      </w:tr>
      <w:tr w:rsidR="00F606E3" w14:paraId="6B20E038" w14:textId="77777777" w:rsidTr="00F606E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tcPr>
          <w:p w14:paraId="0A91977A" w14:textId="77777777" w:rsidR="00F606E3" w:rsidRDefault="00F606E3" w:rsidP="00041A6D">
            <w:r>
              <w:t>Option 1: no intervention</w:t>
            </w:r>
          </w:p>
        </w:tc>
        <w:tc>
          <w:tcPr>
            <w:tcW w:w="1667" w:type="pct"/>
          </w:tcPr>
          <w:p w14:paraId="0E6CD7C6" w14:textId="77777777" w:rsidR="00F606E3" w:rsidRDefault="00F606E3" w:rsidP="00F606E3">
            <w:pPr>
              <w:jc w:val="center"/>
              <w:cnfStyle w:val="000000010000" w:firstRow="0" w:lastRow="0" w:firstColumn="0" w:lastColumn="0" w:oddVBand="0" w:evenVBand="0" w:oddHBand="0" w:evenHBand="1" w:firstRowFirstColumn="0" w:firstRowLastColumn="0" w:lastRowFirstColumn="0" w:lastRowLastColumn="0"/>
            </w:pPr>
            <w:r>
              <w:t>-</w:t>
            </w:r>
          </w:p>
        </w:tc>
        <w:tc>
          <w:tcPr>
            <w:tcW w:w="833" w:type="pct"/>
          </w:tcPr>
          <w:p w14:paraId="009E801B" w14:textId="77777777" w:rsidR="00F606E3" w:rsidRDefault="00F606E3" w:rsidP="00F606E3">
            <w:pPr>
              <w:jc w:val="center"/>
              <w:cnfStyle w:val="000000010000" w:firstRow="0" w:lastRow="0" w:firstColumn="0" w:lastColumn="0" w:oddVBand="0" w:evenVBand="0" w:oddHBand="0" w:evenHBand="1" w:firstRowFirstColumn="0" w:firstRowLastColumn="0" w:lastRowFirstColumn="0" w:lastRowLastColumn="0"/>
            </w:pPr>
            <w:r>
              <w:t>-</w:t>
            </w:r>
          </w:p>
        </w:tc>
        <w:tc>
          <w:tcPr>
            <w:tcW w:w="833" w:type="pct"/>
          </w:tcPr>
          <w:p w14:paraId="5BA52F9F" w14:textId="77777777" w:rsidR="00F606E3" w:rsidRDefault="00F606E3" w:rsidP="00F606E3">
            <w:pPr>
              <w:jc w:val="center"/>
              <w:cnfStyle w:val="000000010000" w:firstRow="0" w:lastRow="0" w:firstColumn="0" w:lastColumn="0" w:oddVBand="0" w:evenVBand="0" w:oddHBand="0" w:evenHBand="1" w:firstRowFirstColumn="0" w:firstRowLastColumn="0" w:lastRowFirstColumn="0" w:lastRowLastColumn="0"/>
            </w:pPr>
            <w:r>
              <w:t>-</w:t>
            </w:r>
          </w:p>
        </w:tc>
      </w:tr>
      <w:tr w:rsidR="00F606E3" w14:paraId="6CCAADC0" w14:textId="77777777" w:rsidTr="00F606E3">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tcPr>
          <w:p w14:paraId="6746BA81" w14:textId="77777777" w:rsidR="00F606E3" w:rsidRDefault="00C12912" w:rsidP="00041A6D">
            <w:r>
              <w:t>Option 2</w:t>
            </w:r>
            <w:r w:rsidR="00F606E3">
              <w:t>: regulation</w:t>
            </w:r>
          </w:p>
        </w:tc>
        <w:tc>
          <w:tcPr>
            <w:tcW w:w="1667" w:type="pct"/>
          </w:tcPr>
          <w:p w14:paraId="1F6DD1F0" w14:textId="77777777" w:rsidR="00F606E3" w:rsidRPr="00F606E3" w:rsidRDefault="00F331F2" w:rsidP="00F606E3">
            <w:pPr>
              <w:jc w:val="center"/>
              <w:cnfStyle w:val="010000000000" w:firstRow="0" w:lastRow="1" w:firstColumn="0" w:lastColumn="0" w:oddVBand="0" w:evenVBand="0" w:oddHBand="0" w:evenHBand="0" w:firstRowFirstColumn="0" w:firstRowLastColumn="0" w:lastRowFirstColumn="0" w:lastRowLastColumn="0"/>
              <w:rPr>
                <w:b w:val="0"/>
              </w:rPr>
            </w:pPr>
            <w:r>
              <w:rPr>
                <w:b w:val="0"/>
              </w:rPr>
              <w:t>221</w:t>
            </w:r>
          </w:p>
        </w:tc>
        <w:tc>
          <w:tcPr>
            <w:tcW w:w="833" w:type="pct"/>
          </w:tcPr>
          <w:p w14:paraId="531BAD51" w14:textId="77777777" w:rsidR="00F606E3" w:rsidRPr="00F606E3" w:rsidRDefault="00F331F2" w:rsidP="00F606E3">
            <w:pPr>
              <w:jc w:val="center"/>
              <w:cnfStyle w:val="010000000000" w:firstRow="0" w:lastRow="1" w:firstColumn="0" w:lastColumn="0" w:oddVBand="0" w:evenVBand="0" w:oddHBand="0" w:evenHBand="0" w:firstRowFirstColumn="0" w:firstRowLastColumn="0" w:lastRowFirstColumn="0" w:lastRowLastColumn="0"/>
            </w:pPr>
            <w:r>
              <w:rPr>
                <w:b w:val="0"/>
              </w:rPr>
              <w:t>58</w:t>
            </w:r>
          </w:p>
        </w:tc>
        <w:tc>
          <w:tcPr>
            <w:tcW w:w="833" w:type="pct"/>
          </w:tcPr>
          <w:p w14:paraId="67D4E10D" w14:textId="77777777" w:rsidR="00F606E3" w:rsidRPr="00F606E3" w:rsidRDefault="00F331F2" w:rsidP="00F606E3">
            <w:pPr>
              <w:jc w:val="center"/>
              <w:cnfStyle w:val="010000000000" w:firstRow="0" w:lastRow="1" w:firstColumn="0" w:lastColumn="0" w:oddVBand="0" w:evenVBand="0" w:oddHBand="0" w:evenHBand="0" w:firstRowFirstColumn="0" w:firstRowLastColumn="0" w:lastRowFirstColumn="0" w:lastRowLastColumn="0"/>
              <w:rPr>
                <w:b w:val="0"/>
              </w:rPr>
            </w:pPr>
            <w:r>
              <w:rPr>
                <w:b w:val="0"/>
              </w:rPr>
              <w:t>17m</w:t>
            </w:r>
          </w:p>
        </w:tc>
      </w:tr>
    </w:tbl>
    <w:p w14:paraId="36788C85" w14:textId="348FAC4D" w:rsidR="00A36337" w:rsidRDefault="00A36337" w:rsidP="00A36337">
      <w:pPr>
        <w:pStyle w:val="Caption"/>
        <w:keepNext/>
      </w:pPr>
      <w:bookmarkStart w:id="5" w:name="_Toc100326832"/>
      <w:r>
        <w:t xml:space="preserve">Table </w:t>
      </w:r>
      <w:fldSimple w:instr=" SEQ Table \* ARABIC ">
        <w:r w:rsidR="008E07C6">
          <w:rPr>
            <w:noProof/>
          </w:rPr>
          <w:t>2</w:t>
        </w:r>
      </w:fldSimple>
      <w:r>
        <w:t>: Summary of costs and benefits-cost ratios for each option</w:t>
      </w:r>
      <w:bookmarkEnd w:id="5"/>
    </w:p>
    <w:tbl>
      <w:tblPr>
        <w:tblStyle w:val="DefaultTable1"/>
        <w:tblW w:w="5000" w:type="pct"/>
        <w:tblLook w:val="04E0" w:firstRow="1" w:lastRow="1" w:firstColumn="1" w:lastColumn="0" w:noHBand="0" w:noVBand="1"/>
        <w:tblCaption w:val="Sample table"/>
        <w:tblDescription w:val="Sample table"/>
      </w:tblPr>
      <w:tblGrid>
        <w:gridCol w:w="3289"/>
        <w:gridCol w:w="3289"/>
        <w:gridCol w:w="1643"/>
        <w:gridCol w:w="1643"/>
      </w:tblGrid>
      <w:tr w:rsidR="00A36337" w14:paraId="7DFF9B54" w14:textId="77777777" w:rsidTr="00E74785">
        <w:trPr>
          <w:cnfStyle w:val="100000000000" w:firstRow="1" w:lastRow="0" w:firstColumn="0" w:lastColumn="0" w:oddVBand="0" w:evenVBand="0" w:oddHBand="0" w:evenHBand="0" w:firstRowFirstColumn="0" w:firstRowLastColumn="0" w:lastRowFirstColumn="0" w:lastRowLastColumn="0"/>
          <w:trHeight w:val="221"/>
        </w:trPr>
        <w:tc>
          <w:tcPr>
            <w:cnfStyle w:val="001000000000" w:firstRow="0" w:lastRow="0" w:firstColumn="1" w:lastColumn="0" w:oddVBand="0" w:evenVBand="0" w:oddHBand="0" w:evenHBand="0" w:firstRowFirstColumn="0" w:firstRowLastColumn="0" w:lastRowFirstColumn="0" w:lastRowLastColumn="0"/>
            <w:tcW w:w="1667" w:type="pct"/>
            <w:vMerge w:val="restart"/>
          </w:tcPr>
          <w:p w14:paraId="49B3A834" w14:textId="77777777" w:rsidR="00A36337" w:rsidRDefault="00A36337" w:rsidP="00E74785"/>
        </w:tc>
        <w:tc>
          <w:tcPr>
            <w:tcW w:w="1667" w:type="pct"/>
            <w:vMerge w:val="restart"/>
          </w:tcPr>
          <w:p w14:paraId="0C489D39" w14:textId="77777777" w:rsidR="00A36337" w:rsidRDefault="00D12A45" w:rsidP="00E74785">
            <w:pPr>
              <w:jc w:val="center"/>
              <w:cnfStyle w:val="100000000000" w:firstRow="1" w:lastRow="0" w:firstColumn="0" w:lastColumn="0" w:oddVBand="0" w:evenVBand="0" w:oddHBand="0" w:evenHBand="0" w:firstRowFirstColumn="0" w:firstRowLastColumn="0" w:lastRowFirstColumn="0" w:lastRowLastColumn="0"/>
            </w:pPr>
            <w:r>
              <w:t>Costs</w:t>
            </w:r>
            <w:r w:rsidR="00A36337">
              <w:t xml:space="preserve"> ($m)</w:t>
            </w:r>
          </w:p>
        </w:tc>
        <w:tc>
          <w:tcPr>
            <w:tcW w:w="1666" w:type="pct"/>
            <w:gridSpan w:val="2"/>
          </w:tcPr>
          <w:p w14:paraId="58C44E60" w14:textId="77777777" w:rsidR="00A36337" w:rsidRDefault="00D12A45" w:rsidP="00E74785">
            <w:pPr>
              <w:jc w:val="center"/>
              <w:cnfStyle w:val="100000000000" w:firstRow="1" w:lastRow="0" w:firstColumn="0" w:lastColumn="0" w:oddVBand="0" w:evenVBand="0" w:oddHBand="0" w:evenHBand="0" w:firstRowFirstColumn="0" w:firstRowLastColumn="0" w:lastRowFirstColumn="0" w:lastRowLastColumn="0"/>
            </w:pPr>
            <w:r>
              <w:t>Benefit-cost ratios</w:t>
            </w:r>
          </w:p>
        </w:tc>
      </w:tr>
      <w:tr w:rsidR="00A36337" w14:paraId="6B538AF0" w14:textId="77777777" w:rsidTr="00E74785">
        <w:trPr>
          <w:trHeight w:val="221"/>
        </w:trPr>
        <w:tc>
          <w:tcPr>
            <w:cnfStyle w:val="001000000000" w:firstRow="0" w:lastRow="0" w:firstColumn="1" w:lastColumn="0" w:oddVBand="0" w:evenVBand="0" w:oddHBand="0" w:evenHBand="0" w:firstRowFirstColumn="0" w:firstRowLastColumn="0" w:lastRowFirstColumn="0" w:lastRowLastColumn="0"/>
            <w:tcW w:w="1667" w:type="pct"/>
            <w:vMerge/>
          </w:tcPr>
          <w:p w14:paraId="51F6D947" w14:textId="77777777" w:rsidR="00A36337" w:rsidRDefault="00A36337" w:rsidP="00E74785"/>
        </w:tc>
        <w:tc>
          <w:tcPr>
            <w:tcW w:w="1667" w:type="pct"/>
            <w:vMerge/>
          </w:tcPr>
          <w:p w14:paraId="05FA6B10" w14:textId="77777777" w:rsidR="00A36337" w:rsidRDefault="00A36337" w:rsidP="00E74785">
            <w:pPr>
              <w:jc w:val="center"/>
              <w:cnfStyle w:val="000000000000" w:firstRow="0" w:lastRow="0" w:firstColumn="0" w:lastColumn="0" w:oddVBand="0" w:evenVBand="0" w:oddHBand="0" w:evenHBand="0" w:firstRowFirstColumn="0" w:firstRowLastColumn="0" w:lastRowFirstColumn="0" w:lastRowLastColumn="0"/>
            </w:pPr>
          </w:p>
        </w:tc>
        <w:tc>
          <w:tcPr>
            <w:tcW w:w="833" w:type="pct"/>
            <w:tcBorders>
              <w:top w:val="nil"/>
            </w:tcBorders>
          </w:tcPr>
          <w:p w14:paraId="72E9F85C" w14:textId="77777777" w:rsidR="00A36337" w:rsidRPr="00041A6D" w:rsidRDefault="00A36337" w:rsidP="00E74785">
            <w:pPr>
              <w:jc w:val="center"/>
              <w:cnfStyle w:val="000000000000" w:firstRow="0" w:lastRow="0" w:firstColumn="0" w:lastColumn="0" w:oddVBand="0" w:evenVBand="0" w:oddHBand="0" w:evenHBand="0" w:firstRowFirstColumn="0" w:firstRowLastColumn="0" w:lastRowFirstColumn="0" w:lastRowLastColumn="0"/>
            </w:pPr>
            <w:r w:rsidRPr="00041A6D">
              <w:t>Best case</w:t>
            </w:r>
          </w:p>
        </w:tc>
        <w:tc>
          <w:tcPr>
            <w:tcW w:w="833" w:type="pct"/>
            <w:tcBorders>
              <w:top w:val="nil"/>
            </w:tcBorders>
          </w:tcPr>
          <w:p w14:paraId="14E9E06E" w14:textId="77777777" w:rsidR="00A36337" w:rsidRDefault="00A36337" w:rsidP="00E74785">
            <w:pPr>
              <w:jc w:val="center"/>
              <w:cnfStyle w:val="000000000000" w:firstRow="0" w:lastRow="0" w:firstColumn="0" w:lastColumn="0" w:oddVBand="0" w:evenVBand="0" w:oddHBand="0" w:evenHBand="0" w:firstRowFirstColumn="0" w:firstRowLastColumn="0" w:lastRowFirstColumn="0" w:lastRowLastColumn="0"/>
            </w:pPr>
            <w:r>
              <w:t>Likely case</w:t>
            </w:r>
          </w:p>
        </w:tc>
      </w:tr>
      <w:tr w:rsidR="00A36337" w14:paraId="02155B9B" w14:textId="77777777" w:rsidTr="00E7478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tcPr>
          <w:p w14:paraId="7F06151E" w14:textId="77777777" w:rsidR="00A36337" w:rsidRDefault="00A36337" w:rsidP="00E74785">
            <w:r>
              <w:t>Option 1: no intervention</w:t>
            </w:r>
          </w:p>
        </w:tc>
        <w:tc>
          <w:tcPr>
            <w:tcW w:w="1667" w:type="pct"/>
          </w:tcPr>
          <w:p w14:paraId="27650A86" w14:textId="77777777" w:rsidR="00A36337" w:rsidRDefault="00A36337" w:rsidP="00E74785">
            <w:pPr>
              <w:jc w:val="center"/>
              <w:cnfStyle w:val="000000010000" w:firstRow="0" w:lastRow="0" w:firstColumn="0" w:lastColumn="0" w:oddVBand="0" w:evenVBand="0" w:oddHBand="0" w:evenHBand="1" w:firstRowFirstColumn="0" w:firstRowLastColumn="0" w:lastRowFirstColumn="0" w:lastRowLastColumn="0"/>
            </w:pPr>
            <w:r>
              <w:t>-</w:t>
            </w:r>
          </w:p>
        </w:tc>
        <w:tc>
          <w:tcPr>
            <w:tcW w:w="833" w:type="pct"/>
          </w:tcPr>
          <w:p w14:paraId="6A517C70" w14:textId="77777777" w:rsidR="00A36337" w:rsidRDefault="00A36337" w:rsidP="00E74785">
            <w:pPr>
              <w:jc w:val="center"/>
              <w:cnfStyle w:val="000000010000" w:firstRow="0" w:lastRow="0" w:firstColumn="0" w:lastColumn="0" w:oddVBand="0" w:evenVBand="0" w:oddHBand="0" w:evenHBand="1" w:firstRowFirstColumn="0" w:firstRowLastColumn="0" w:lastRowFirstColumn="0" w:lastRowLastColumn="0"/>
            </w:pPr>
            <w:r>
              <w:t>-</w:t>
            </w:r>
          </w:p>
        </w:tc>
        <w:tc>
          <w:tcPr>
            <w:tcW w:w="833" w:type="pct"/>
          </w:tcPr>
          <w:p w14:paraId="531FB2A6" w14:textId="77777777" w:rsidR="00A36337" w:rsidRDefault="00A36337" w:rsidP="00E74785">
            <w:pPr>
              <w:jc w:val="center"/>
              <w:cnfStyle w:val="000000010000" w:firstRow="0" w:lastRow="0" w:firstColumn="0" w:lastColumn="0" w:oddVBand="0" w:evenVBand="0" w:oddHBand="0" w:evenHBand="1" w:firstRowFirstColumn="0" w:firstRowLastColumn="0" w:lastRowFirstColumn="0" w:lastRowLastColumn="0"/>
            </w:pPr>
            <w:r>
              <w:t>-</w:t>
            </w:r>
          </w:p>
        </w:tc>
      </w:tr>
      <w:tr w:rsidR="00A36337" w14:paraId="69F99724" w14:textId="77777777" w:rsidTr="00E74785">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tcPr>
          <w:p w14:paraId="0867FFDC" w14:textId="77777777" w:rsidR="00A36337" w:rsidRDefault="00C12912" w:rsidP="00E74785">
            <w:r>
              <w:t>Option 2</w:t>
            </w:r>
            <w:r w:rsidR="00A36337">
              <w:t>: regulation</w:t>
            </w:r>
          </w:p>
        </w:tc>
        <w:tc>
          <w:tcPr>
            <w:tcW w:w="1667" w:type="pct"/>
          </w:tcPr>
          <w:p w14:paraId="18CF5765" w14:textId="77777777" w:rsidR="00A36337" w:rsidRPr="00F606E3" w:rsidRDefault="00D8384F" w:rsidP="00E74785">
            <w:pPr>
              <w:jc w:val="center"/>
              <w:cnfStyle w:val="010000000000" w:firstRow="0" w:lastRow="1" w:firstColumn="0" w:lastColumn="0" w:oddVBand="0" w:evenVBand="0" w:oddHBand="0" w:evenHBand="0" w:firstRowFirstColumn="0" w:firstRowLastColumn="0" w:lastRowFirstColumn="0" w:lastRowLastColumn="0"/>
              <w:rPr>
                <w:b w:val="0"/>
              </w:rPr>
            </w:pPr>
            <w:r>
              <w:rPr>
                <w:b w:val="0"/>
              </w:rPr>
              <w:t>204</w:t>
            </w:r>
          </w:p>
        </w:tc>
        <w:tc>
          <w:tcPr>
            <w:tcW w:w="833" w:type="pct"/>
          </w:tcPr>
          <w:p w14:paraId="65587833" w14:textId="77777777" w:rsidR="00A36337" w:rsidRPr="00F606E3" w:rsidRDefault="0081105A" w:rsidP="00E74785">
            <w:pPr>
              <w:jc w:val="center"/>
              <w:cnfStyle w:val="010000000000" w:firstRow="0" w:lastRow="1" w:firstColumn="0" w:lastColumn="0" w:oddVBand="0" w:evenVBand="0" w:oddHBand="0" w:evenHBand="0" w:firstRowFirstColumn="0" w:firstRowLastColumn="0" w:lastRowFirstColumn="0" w:lastRowLastColumn="0"/>
            </w:pPr>
            <w:r>
              <w:rPr>
                <w:b w:val="0"/>
              </w:rPr>
              <w:t>1.4</w:t>
            </w:r>
          </w:p>
        </w:tc>
        <w:tc>
          <w:tcPr>
            <w:tcW w:w="833" w:type="pct"/>
          </w:tcPr>
          <w:p w14:paraId="0E08282A" w14:textId="77777777" w:rsidR="00A36337" w:rsidRPr="00F606E3" w:rsidRDefault="0081105A" w:rsidP="00E74785">
            <w:pPr>
              <w:jc w:val="center"/>
              <w:cnfStyle w:val="010000000000" w:firstRow="0" w:lastRow="1" w:firstColumn="0" w:lastColumn="0" w:oddVBand="0" w:evenVBand="0" w:oddHBand="0" w:evenHBand="0" w:firstRowFirstColumn="0" w:firstRowLastColumn="0" w:lastRowFirstColumn="0" w:lastRowLastColumn="0"/>
              <w:rPr>
                <w:b w:val="0"/>
              </w:rPr>
            </w:pPr>
            <w:r>
              <w:rPr>
                <w:b w:val="0"/>
              </w:rPr>
              <w:t>1.1</w:t>
            </w:r>
          </w:p>
        </w:tc>
      </w:tr>
    </w:tbl>
    <w:p w14:paraId="27282FA6" w14:textId="26981E0C" w:rsidR="00D12A45" w:rsidRDefault="00D12A45" w:rsidP="00D12A45">
      <w:pPr>
        <w:pStyle w:val="Caption"/>
        <w:keepNext/>
      </w:pPr>
      <w:bookmarkStart w:id="6" w:name="_Toc100326833"/>
      <w:r>
        <w:t xml:space="preserve">Table </w:t>
      </w:r>
      <w:fldSimple w:instr=" SEQ Table \* ARABIC ">
        <w:r w:rsidR="008E07C6">
          <w:rPr>
            <w:noProof/>
          </w:rPr>
          <w:t>3</w:t>
        </w:r>
      </w:fldSimple>
      <w:r>
        <w:t>: Summary of lives saved and serious injuries (hospital admissions) avoided</w:t>
      </w:r>
      <w:bookmarkEnd w:id="6"/>
    </w:p>
    <w:tbl>
      <w:tblPr>
        <w:tblStyle w:val="DefaultTable1"/>
        <w:tblW w:w="5000" w:type="pct"/>
        <w:tblLook w:val="04E0" w:firstRow="1" w:lastRow="1" w:firstColumn="1" w:lastColumn="0" w:noHBand="0" w:noVBand="1"/>
        <w:tblCaption w:val="Sample table"/>
        <w:tblDescription w:val="Sample table"/>
      </w:tblPr>
      <w:tblGrid>
        <w:gridCol w:w="3289"/>
        <w:gridCol w:w="3289"/>
        <w:gridCol w:w="1643"/>
        <w:gridCol w:w="1643"/>
      </w:tblGrid>
      <w:tr w:rsidR="00D12A45" w14:paraId="5D16526E" w14:textId="77777777" w:rsidTr="00D12A45">
        <w:trPr>
          <w:cnfStyle w:val="100000000000" w:firstRow="1" w:lastRow="0" w:firstColumn="0" w:lastColumn="0" w:oddVBand="0" w:evenVBand="0" w:oddHBand="0" w:evenHBand="0" w:firstRowFirstColumn="0" w:firstRowLastColumn="0" w:lastRowFirstColumn="0" w:lastRowLastColumn="0"/>
          <w:trHeight w:val="221"/>
        </w:trPr>
        <w:tc>
          <w:tcPr>
            <w:cnfStyle w:val="001000000000" w:firstRow="0" w:lastRow="0" w:firstColumn="1" w:lastColumn="0" w:oddVBand="0" w:evenVBand="0" w:oddHBand="0" w:evenHBand="0" w:firstRowFirstColumn="0" w:firstRowLastColumn="0" w:lastRowFirstColumn="0" w:lastRowLastColumn="0"/>
            <w:tcW w:w="1667" w:type="pct"/>
          </w:tcPr>
          <w:p w14:paraId="4BB8B88A" w14:textId="77777777" w:rsidR="00D12A45" w:rsidRDefault="00D12A45" w:rsidP="00E74785"/>
        </w:tc>
        <w:tc>
          <w:tcPr>
            <w:tcW w:w="1667" w:type="pct"/>
          </w:tcPr>
          <w:p w14:paraId="088C59AE" w14:textId="77777777" w:rsidR="00D12A45" w:rsidRDefault="00D12A45" w:rsidP="00E74785">
            <w:pPr>
              <w:jc w:val="center"/>
              <w:cnfStyle w:val="100000000000" w:firstRow="1" w:lastRow="0" w:firstColumn="0" w:lastColumn="0" w:oddVBand="0" w:evenVBand="0" w:oddHBand="0" w:evenHBand="0" w:firstRowFirstColumn="0" w:firstRowLastColumn="0" w:lastRowFirstColumn="0" w:lastRowLastColumn="0"/>
            </w:pPr>
            <w:r>
              <w:t>Lives saved</w:t>
            </w:r>
          </w:p>
        </w:tc>
        <w:tc>
          <w:tcPr>
            <w:tcW w:w="833" w:type="pct"/>
          </w:tcPr>
          <w:p w14:paraId="0B592FFF" w14:textId="77777777" w:rsidR="00D12A45" w:rsidRDefault="00D12A45" w:rsidP="00E74785">
            <w:pPr>
              <w:jc w:val="center"/>
              <w:cnfStyle w:val="100000000000" w:firstRow="1" w:lastRow="0" w:firstColumn="0" w:lastColumn="0" w:oddVBand="0" w:evenVBand="0" w:oddHBand="0" w:evenHBand="0" w:firstRowFirstColumn="0" w:firstRowLastColumn="0" w:lastRowFirstColumn="0" w:lastRowLastColumn="0"/>
              <w:rPr>
                <w:b w:val="0"/>
              </w:rPr>
            </w:pPr>
            <w:r>
              <w:t>Serious injuries avoided</w:t>
            </w:r>
          </w:p>
        </w:tc>
        <w:tc>
          <w:tcPr>
            <w:tcW w:w="833" w:type="pct"/>
          </w:tcPr>
          <w:p w14:paraId="7792FD8F" w14:textId="77777777" w:rsidR="00D12A45" w:rsidRDefault="00D12A45" w:rsidP="00E74785">
            <w:pPr>
              <w:jc w:val="center"/>
              <w:cnfStyle w:val="100000000000" w:firstRow="1" w:lastRow="0" w:firstColumn="0" w:lastColumn="0" w:oddVBand="0" w:evenVBand="0" w:oddHBand="0" w:evenHBand="0" w:firstRowFirstColumn="0" w:firstRowLastColumn="0" w:lastRowFirstColumn="0" w:lastRowLastColumn="0"/>
            </w:pPr>
            <w:r>
              <w:t>Minor injuries avoided</w:t>
            </w:r>
          </w:p>
        </w:tc>
      </w:tr>
      <w:tr w:rsidR="00D12A45" w14:paraId="4562D101" w14:textId="77777777" w:rsidTr="00E74785">
        <w:tc>
          <w:tcPr>
            <w:cnfStyle w:val="001000000000" w:firstRow="0" w:lastRow="0" w:firstColumn="1" w:lastColumn="0" w:oddVBand="0" w:evenVBand="0" w:oddHBand="0" w:evenHBand="0" w:firstRowFirstColumn="0" w:firstRowLastColumn="0" w:lastRowFirstColumn="0" w:lastRowLastColumn="0"/>
            <w:tcW w:w="1667" w:type="pct"/>
          </w:tcPr>
          <w:p w14:paraId="3C652CFD" w14:textId="77777777" w:rsidR="00D12A45" w:rsidRDefault="00D12A45" w:rsidP="00E74785">
            <w:r>
              <w:t>Option 1: no intervention</w:t>
            </w:r>
          </w:p>
        </w:tc>
        <w:tc>
          <w:tcPr>
            <w:tcW w:w="1667" w:type="pct"/>
          </w:tcPr>
          <w:p w14:paraId="107BB663" w14:textId="77777777" w:rsidR="00D12A45" w:rsidRDefault="00D12A45" w:rsidP="00E74785">
            <w:pPr>
              <w:jc w:val="center"/>
              <w:cnfStyle w:val="000000000000" w:firstRow="0" w:lastRow="0" w:firstColumn="0" w:lastColumn="0" w:oddVBand="0" w:evenVBand="0" w:oddHBand="0" w:evenHBand="0" w:firstRowFirstColumn="0" w:firstRowLastColumn="0" w:lastRowFirstColumn="0" w:lastRowLastColumn="0"/>
            </w:pPr>
            <w:r>
              <w:t>-</w:t>
            </w:r>
          </w:p>
        </w:tc>
        <w:tc>
          <w:tcPr>
            <w:tcW w:w="833" w:type="pct"/>
          </w:tcPr>
          <w:p w14:paraId="7510AA96" w14:textId="77777777" w:rsidR="00D12A45" w:rsidRDefault="00D12A45" w:rsidP="00E74785">
            <w:pPr>
              <w:jc w:val="center"/>
              <w:cnfStyle w:val="000000000000" w:firstRow="0" w:lastRow="0" w:firstColumn="0" w:lastColumn="0" w:oddVBand="0" w:evenVBand="0" w:oddHBand="0" w:evenHBand="0" w:firstRowFirstColumn="0" w:firstRowLastColumn="0" w:lastRowFirstColumn="0" w:lastRowLastColumn="0"/>
            </w:pPr>
            <w:r>
              <w:t>-</w:t>
            </w:r>
          </w:p>
        </w:tc>
        <w:tc>
          <w:tcPr>
            <w:tcW w:w="833" w:type="pct"/>
          </w:tcPr>
          <w:p w14:paraId="1B6D264B" w14:textId="77777777" w:rsidR="00D12A45" w:rsidRDefault="00D12A45" w:rsidP="00E74785">
            <w:pPr>
              <w:jc w:val="center"/>
              <w:cnfStyle w:val="000000000000" w:firstRow="0" w:lastRow="0" w:firstColumn="0" w:lastColumn="0" w:oddVBand="0" w:evenVBand="0" w:oddHBand="0" w:evenHBand="0" w:firstRowFirstColumn="0" w:firstRowLastColumn="0" w:lastRowFirstColumn="0" w:lastRowLastColumn="0"/>
            </w:pPr>
            <w:r>
              <w:t>-</w:t>
            </w:r>
          </w:p>
        </w:tc>
      </w:tr>
      <w:tr w:rsidR="00D12A45" w14:paraId="28529157" w14:textId="77777777" w:rsidTr="00E74785">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7" w:type="pct"/>
          </w:tcPr>
          <w:p w14:paraId="7AF8F152" w14:textId="77777777" w:rsidR="00D12A45" w:rsidRDefault="00C12912" w:rsidP="00E74785">
            <w:r>
              <w:t>Option 2</w:t>
            </w:r>
            <w:r w:rsidR="00D12A45">
              <w:t>: regulation</w:t>
            </w:r>
          </w:p>
        </w:tc>
        <w:tc>
          <w:tcPr>
            <w:tcW w:w="1667" w:type="pct"/>
          </w:tcPr>
          <w:p w14:paraId="3B4ECE73" w14:textId="77777777" w:rsidR="00D12A45" w:rsidRPr="00F606E3" w:rsidRDefault="00415204" w:rsidP="00E74785">
            <w:pPr>
              <w:jc w:val="center"/>
              <w:cnfStyle w:val="010000000000" w:firstRow="0" w:lastRow="1" w:firstColumn="0" w:lastColumn="0" w:oddVBand="0" w:evenVBand="0" w:oddHBand="0" w:evenHBand="0" w:firstRowFirstColumn="0" w:firstRowLastColumn="0" w:lastRowFirstColumn="0" w:lastRowLastColumn="0"/>
              <w:rPr>
                <w:b w:val="0"/>
              </w:rPr>
            </w:pPr>
            <w:r>
              <w:rPr>
                <w:b w:val="0"/>
              </w:rPr>
              <w:t>63</w:t>
            </w:r>
          </w:p>
        </w:tc>
        <w:tc>
          <w:tcPr>
            <w:tcW w:w="833" w:type="pct"/>
          </w:tcPr>
          <w:p w14:paraId="5952EEC3" w14:textId="77777777" w:rsidR="00D12A45" w:rsidRPr="00F606E3" w:rsidRDefault="00415204" w:rsidP="00E74785">
            <w:pPr>
              <w:jc w:val="center"/>
              <w:cnfStyle w:val="010000000000" w:firstRow="0" w:lastRow="1" w:firstColumn="0" w:lastColumn="0" w:oddVBand="0" w:evenVBand="0" w:oddHBand="0" w:evenHBand="0" w:firstRowFirstColumn="0" w:firstRowLastColumn="0" w:lastRowFirstColumn="0" w:lastRowLastColumn="0"/>
            </w:pPr>
            <w:r>
              <w:rPr>
                <w:b w:val="0"/>
              </w:rPr>
              <w:t>1,732</w:t>
            </w:r>
          </w:p>
        </w:tc>
        <w:tc>
          <w:tcPr>
            <w:tcW w:w="833" w:type="pct"/>
          </w:tcPr>
          <w:p w14:paraId="5D9E98A3" w14:textId="77777777" w:rsidR="00D12A45" w:rsidRPr="00F606E3" w:rsidRDefault="00415204" w:rsidP="00E74785">
            <w:pPr>
              <w:jc w:val="center"/>
              <w:cnfStyle w:val="010000000000" w:firstRow="0" w:lastRow="1" w:firstColumn="0" w:lastColumn="0" w:oddVBand="0" w:evenVBand="0" w:oddHBand="0" w:evenHBand="0" w:firstRowFirstColumn="0" w:firstRowLastColumn="0" w:lastRowFirstColumn="0" w:lastRowLastColumn="0"/>
              <w:rPr>
                <w:b w:val="0"/>
              </w:rPr>
            </w:pPr>
            <w:r>
              <w:rPr>
                <w:b w:val="0"/>
              </w:rPr>
              <w:t>5,389</w:t>
            </w:r>
          </w:p>
        </w:tc>
      </w:tr>
    </w:tbl>
    <w:p w14:paraId="029E6E35" w14:textId="0CF14A92" w:rsidR="00CD56AB" w:rsidRPr="004725A9" w:rsidRDefault="00CD56AB" w:rsidP="004725A9">
      <w:pPr>
        <w:pStyle w:val="Heading2"/>
        <w:rPr>
          <w:lang w:val="en-US"/>
        </w:rPr>
      </w:pPr>
      <w:bookmarkStart w:id="7" w:name="_Toc100326769"/>
      <w:r w:rsidRPr="004725A9">
        <w:rPr>
          <w:lang w:val="en-US"/>
        </w:rPr>
        <w:t>The RIS Process</w:t>
      </w:r>
      <w:bookmarkEnd w:id="7"/>
    </w:p>
    <w:p w14:paraId="12F69231" w14:textId="42E8F3D9" w:rsidR="00CD56AB" w:rsidRPr="006F6683" w:rsidRDefault="00CD56AB" w:rsidP="006F6683">
      <w:pPr>
        <w:rPr>
          <w:lang w:val="x-none"/>
        </w:rPr>
      </w:pPr>
      <w:r w:rsidRPr="006F6683">
        <w:rPr>
          <w:lang w:val="x-none"/>
        </w:rPr>
        <w:t xml:space="preserve">This </w:t>
      </w:r>
      <w:r w:rsidR="00377781">
        <w:rPr>
          <w:lang w:val="en-US"/>
        </w:rPr>
        <w:t xml:space="preserve">Consultation </w:t>
      </w:r>
      <w:r w:rsidRPr="006F6683">
        <w:rPr>
          <w:lang w:val="x-none"/>
        </w:rPr>
        <w:t>RIS has been written in accordance with Australian Government RIS requirements, addressing the seven assessment questions set out in the</w:t>
      </w:r>
      <w:r w:rsidR="007B310D" w:rsidRPr="006F6683">
        <w:rPr>
          <w:lang w:val="x-none"/>
        </w:rPr>
        <w:t xml:space="preserve"> </w:t>
      </w:r>
      <w:r w:rsidR="007B310D" w:rsidRPr="001C41BD">
        <w:rPr>
          <w:i/>
          <w:lang w:val="x-none"/>
        </w:rPr>
        <w:t>Australian Government Guide to Regulatory Impact Analysis</w:t>
      </w:r>
      <w:r w:rsidR="001B7E3F" w:rsidRPr="001C41BD">
        <w:rPr>
          <w:i/>
          <w:lang w:val="en-US"/>
        </w:rPr>
        <w:t xml:space="preserve"> </w:t>
      </w:r>
      <w:r w:rsidR="004B1FA1">
        <w:rPr>
          <w:i/>
          <w:lang w:val="en-US"/>
        </w:rPr>
        <w:t>(</w:t>
      </w:r>
      <w:r w:rsidR="001B7E3F" w:rsidRPr="001C41BD">
        <w:rPr>
          <w:i/>
          <w:lang w:val="en-US"/>
        </w:rPr>
        <w:t>Second edition</w:t>
      </w:r>
      <w:r w:rsidR="001B7E3F" w:rsidRPr="004B1FA1">
        <w:rPr>
          <w:i/>
          <w:lang w:val="en-US"/>
        </w:rPr>
        <w:t xml:space="preserve"> 2020)</w:t>
      </w:r>
      <w:r w:rsidRPr="001C41BD">
        <w:rPr>
          <w:lang w:val="x-none"/>
        </w:rPr>
        <w:t>:</w:t>
      </w:r>
    </w:p>
    <w:p w14:paraId="1853185B" w14:textId="77777777" w:rsidR="00CD56AB" w:rsidRPr="006F6683" w:rsidRDefault="00CD56AB" w:rsidP="006F6683">
      <w:pPr>
        <w:rPr>
          <w:lang w:val="x-none"/>
        </w:rPr>
      </w:pPr>
      <w:r w:rsidRPr="006F6683">
        <w:rPr>
          <w:lang w:val="x-none"/>
        </w:rPr>
        <w:t>1. What is the problem you are trying to solve?</w:t>
      </w:r>
    </w:p>
    <w:p w14:paraId="46DA082A" w14:textId="77777777" w:rsidR="00CD56AB" w:rsidRPr="006F6683" w:rsidRDefault="00CD56AB" w:rsidP="006F6683">
      <w:pPr>
        <w:rPr>
          <w:lang w:val="x-none"/>
        </w:rPr>
      </w:pPr>
      <w:r w:rsidRPr="006F6683">
        <w:rPr>
          <w:lang w:val="x-none"/>
        </w:rPr>
        <w:t>2. Why is government action needed?</w:t>
      </w:r>
    </w:p>
    <w:p w14:paraId="35781A6F" w14:textId="77777777" w:rsidR="00CD56AB" w:rsidRPr="006F6683" w:rsidRDefault="00CD56AB" w:rsidP="006F6683">
      <w:pPr>
        <w:rPr>
          <w:lang w:val="x-none"/>
        </w:rPr>
      </w:pPr>
      <w:r w:rsidRPr="006F6683">
        <w:rPr>
          <w:lang w:val="x-none"/>
        </w:rPr>
        <w:t>3. What policy options are you considering?</w:t>
      </w:r>
    </w:p>
    <w:p w14:paraId="5B9AF2BC" w14:textId="77777777" w:rsidR="00CD56AB" w:rsidRPr="006F6683" w:rsidRDefault="00CD56AB" w:rsidP="006F6683">
      <w:pPr>
        <w:rPr>
          <w:lang w:val="x-none"/>
        </w:rPr>
      </w:pPr>
      <w:r w:rsidRPr="006F6683">
        <w:rPr>
          <w:lang w:val="x-none"/>
        </w:rPr>
        <w:t>4. What is the likely net benefit of each option?</w:t>
      </w:r>
    </w:p>
    <w:p w14:paraId="625EEB0A" w14:textId="77777777" w:rsidR="00CD56AB" w:rsidRPr="006F6683" w:rsidRDefault="00CD56AB" w:rsidP="006F6683">
      <w:pPr>
        <w:rPr>
          <w:lang w:val="x-none"/>
        </w:rPr>
      </w:pPr>
      <w:r w:rsidRPr="006F6683">
        <w:rPr>
          <w:lang w:val="x-none"/>
        </w:rPr>
        <w:t>5. Who will you consult about these options and how will you consult them?</w:t>
      </w:r>
    </w:p>
    <w:p w14:paraId="6E6BC92E" w14:textId="77777777" w:rsidR="00CD56AB" w:rsidRPr="006F6683" w:rsidRDefault="00CD56AB" w:rsidP="006F6683">
      <w:pPr>
        <w:rPr>
          <w:lang w:val="x-none"/>
        </w:rPr>
      </w:pPr>
      <w:r w:rsidRPr="006F6683">
        <w:rPr>
          <w:lang w:val="x-none"/>
        </w:rPr>
        <w:t>6. What is the best option from those you have considered?</w:t>
      </w:r>
    </w:p>
    <w:p w14:paraId="3811CECA" w14:textId="77777777" w:rsidR="00CD56AB" w:rsidRPr="006F6683" w:rsidRDefault="00CD56AB" w:rsidP="006F6683">
      <w:pPr>
        <w:rPr>
          <w:lang w:val="x-none"/>
        </w:rPr>
      </w:pPr>
      <w:r w:rsidRPr="006F6683">
        <w:rPr>
          <w:lang w:val="x-none"/>
        </w:rPr>
        <w:t>7. How will you implement and evaluate your chosen option?</w:t>
      </w:r>
    </w:p>
    <w:p w14:paraId="1E36F693" w14:textId="77777777" w:rsidR="00821111" w:rsidRPr="006F6683" w:rsidRDefault="00CD56AB" w:rsidP="006F6683">
      <w:pPr>
        <w:rPr>
          <w:lang w:val="x-none"/>
        </w:rPr>
        <w:sectPr w:rsidR="00821111" w:rsidRPr="006F6683" w:rsidSect="00D87AD8">
          <w:headerReference w:type="default" r:id="rId27"/>
          <w:headerReference w:type="first" r:id="rId28"/>
          <w:pgSz w:w="11906" w:h="16838" w:code="9"/>
          <w:pgMar w:top="1021" w:right="1021" w:bottom="1021" w:left="1021" w:header="510" w:footer="567" w:gutter="0"/>
          <w:cols w:space="708"/>
          <w:docGrid w:linePitch="360"/>
        </w:sectPr>
      </w:pPr>
      <w:r w:rsidRPr="006F6683">
        <w:rPr>
          <w:lang w:val="x-none"/>
        </w:rPr>
        <w:lastRenderedPageBreak/>
        <w:t>In line with the principles for Australian Government policy makers, the regulatory costs imposed on business, the community and individuals associated with each viable option were quantified and it is anticipated that regulatory savings from further alignment of the ADRs with international standards will offset the additional costs of implementing the recommended option.</w:t>
      </w:r>
    </w:p>
    <w:p w14:paraId="3D9E1B0D" w14:textId="77777777" w:rsidR="00821111" w:rsidRDefault="00562B18" w:rsidP="00562B18">
      <w:pPr>
        <w:pStyle w:val="Heading1"/>
      </w:pPr>
      <w:bookmarkStart w:id="8" w:name="_Toc100326770"/>
      <w:r>
        <w:lastRenderedPageBreak/>
        <w:t xml:space="preserve">Chapter 1: </w:t>
      </w:r>
      <w:r w:rsidR="00821111">
        <w:t>Wha</w:t>
      </w:r>
      <w:r>
        <w:t>t is the problem?</w:t>
      </w:r>
      <w:bookmarkEnd w:id="8"/>
    </w:p>
    <w:p w14:paraId="75809DA8" w14:textId="77777777" w:rsidR="00AF3413" w:rsidRDefault="00AF3413" w:rsidP="005F794B">
      <w:pPr>
        <w:pStyle w:val="Heading2"/>
      </w:pPr>
      <w:bookmarkStart w:id="9" w:name="_Toc100326771"/>
      <w:r w:rsidRPr="000D3271">
        <w:t xml:space="preserve">The </w:t>
      </w:r>
      <w:r w:rsidR="00E63590" w:rsidRPr="000D3271">
        <w:t>impact</w:t>
      </w:r>
      <w:r w:rsidRPr="000D3271">
        <w:t xml:space="preserve"> of road trauma in Australia</w:t>
      </w:r>
      <w:bookmarkEnd w:id="9"/>
    </w:p>
    <w:p w14:paraId="622D315D" w14:textId="3A001D09" w:rsidR="00257E8E" w:rsidRDefault="00257E8E" w:rsidP="00AF3413">
      <w:pPr>
        <w:rPr>
          <w:lang w:val="x-none"/>
        </w:rPr>
      </w:pPr>
      <w:r w:rsidRPr="00257E8E">
        <w:t>The impact of road crashes on society is significant. Individuals injured in crashes must deal with pain and suffering, medical costs, lost income, higher insurance premium rates and vehicle repair costs. For society as a whole, road crashes result in enormous costs in terms of lost productivity and property damage. The</w:t>
      </w:r>
      <w:r w:rsidR="001148D3">
        <w:t xml:space="preserve"> cost to the Australian economy is </w:t>
      </w:r>
      <w:r w:rsidR="001148D3" w:rsidRPr="006F6683">
        <w:rPr>
          <w:lang w:val="x-none"/>
        </w:rPr>
        <w:t xml:space="preserve">approximately $30 billion per year </w:t>
      </w:r>
      <w:r w:rsidR="001148D3" w:rsidRPr="001C41BD">
        <w:rPr>
          <w:lang w:val="x-none"/>
        </w:rPr>
        <w:t>(</w:t>
      </w:r>
      <w:r w:rsidR="00C5678B">
        <w:rPr>
          <w:lang w:val="en-US"/>
        </w:rPr>
        <w:t>DITRDC</w:t>
      </w:r>
      <w:r w:rsidR="001148D3" w:rsidRPr="001C41BD">
        <w:rPr>
          <w:lang w:val="x-none"/>
        </w:rPr>
        <w:t>, 2021</w:t>
      </w:r>
      <w:r w:rsidR="001148D3" w:rsidRPr="006F6683">
        <w:rPr>
          <w:lang w:val="x-none"/>
        </w:rPr>
        <w:t>). This equates to around 1,200 people fatalities each year on our roads, and almost 40,000 serious injuries (</w:t>
      </w:r>
      <w:r w:rsidR="00C5678B">
        <w:rPr>
          <w:lang w:val="en-US"/>
        </w:rPr>
        <w:t>DITRD</w:t>
      </w:r>
      <w:r w:rsidR="007B46DF">
        <w:rPr>
          <w:lang w:val="en-US"/>
        </w:rPr>
        <w:t>C</w:t>
      </w:r>
      <w:r w:rsidR="001148D3" w:rsidRPr="001C41BD">
        <w:rPr>
          <w:lang w:val="x-none"/>
        </w:rPr>
        <w:t>, 2021</w:t>
      </w:r>
      <w:r w:rsidR="001148D3" w:rsidRPr="006F6683">
        <w:rPr>
          <w:lang w:val="x-none"/>
        </w:rPr>
        <w:t>)</w:t>
      </w:r>
      <w:r w:rsidR="001148D3">
        <w:rPr>
          <w:lang w:val="x-none"/>
        </w:rPr>
        <w:t xml:space="preserve"> with an approximate cost of $</w:t>
      </w:r>
      <w:r w:rsidR="001148D3" w:rsidRPr="006F6683">
        <w:rPr>
          <w:lang w:val="x-none"/>
        </w:rPr>
        <w:t>80 million per day to</w:t>
      </w:r>
      <w:r w:rsidR="001148D3">
        <w:rPr>
          <w:lang w:val="x-none"/>
        </w:rPr>
        <w:t xml:space="preserve"> the Australian </w:t>
      </w:r>
      <w:r w:rsidR="001148D3" w:rsidRPr="006F6683">
        <w:rPr>
          <w:lang w:val="x-none"/>
        </w:rPr>
        <w:t>economy.</w:t>
      </w:r>
      <w:r w:rsidR="001148D3">
        <w:rPr>
          <w:lang w:val="en-US"/>
        </w:rPr>
        <w:t xml:space="preserve"> </w:t>
      </w:r>
      <w:r w:rsidRPr="00257E8E">
        <w:t>There is also a personal cost for those affected that is not possible to measure. Road trauma from heavy vehicle crashes costs Australia approximately $1.5 billion each year. This cost is broadly borne by the general public, businesses and government.</w:t>
      </w:r>
    </w:p>
    <w:p w14:paraId="7ACB9606" w14:textId="3166B66A" w:rsidR="00E940FA" w:rsidRDefault="00E940FA" w:rsidP="00E940FA">
      <w:r>
        <w:t xml:space="preserve">Heavy vehicles represent almost four per cent of all registered vehicles in Australia </w:t>
      </w:r>
      <w:r w:rsidRPr="001C41BD">
        <w:t>(ABS, 2020a)</w:t>
      </w:r>
      <w:r>
        <w:t xml:space="preserve"> and account for just under nine per cent of total vehicle kilometres travelled (VKT) on public roads </w:t>
      </w:r>
      <w:r w:rsidRPr="001C41BD">
        <w:t>(ABS, 2020b).</w:t>
      </w:r>
      <w:r>
        <w:t xml:space="preserve">  However, they are involved in almost 16 per cent of all fatal crashes </w:t>
      </w:r>
      <w:r w:rsidRPr="001C41BD">
        <w:t>(BITRE, 2021a</w:t>
      </w:r>
      <w:r>
        <w:t>). While heavy vehicle crashes are lower relative to other road users, these crashes are more likely to result in a death or serious injury and contribute to disproportionate harm to other road users. Over the three years ending March 2021, an average of 186 people were killed annually in 166 crashes involving heavy trucks or buses (</w:t>
      </w:r>
      <w:r w:rsidRPr="001C41BD">
        <w:t>BITRE, 2021b</w:t>
      </w:r>
      <w:r>
        <w:t xml:space="preserve">). The most recent available data (2018) shows that 1,877 people were hospitalised from road crashes involving heavy trucks or buses </w:t>
      </w:r>
      <w:r w:rsidRPr="001C41BD">
        <w:t>(BITRE, 2020</w:t>
      </w:r>
      <w:r>
        <w:t>). Approximately 500 heavy vehicle occupants are hospitalised from road crashes annually. Of these, approximately 30 per cent are categorised with high-threat-to-life injuries (</w:t>
      </w:r>
      <w:r w:rsidR="007B46DF">
        <w:t>DITRDC</w:t>
      </w:r>
      <w:r w:rsidRPr="001C41BD">
        <w:t>, 2021</w:t>
      </w:r>
      <w:r>
        <w:t>). For these reasons, heavy vehicle crashes continue to draw attention from policy makers, road safety advocates, the general</w:t>
      </w:r>
      <w:r w:rsidR="008742A6">
        <w:t xml:space="preserve"> </w:t>
      </w:r>
      <w:r>
        <w:t>public and the heavy vehicle industry itself. Alongside this, our road freight task is increasing across major cities to support the demands of continuous economic and population growth. The most recent data indicates articulated trucks and rigid trucks travelled 78,300km and 21,200km on average in the last year in comparison with 11,000km travelled on average by passenger vehicles (</w:t>
      </w:r>
      <w:r w:rsidRPr="00BB4565">
        <w:t>ABS, 2020b</w:t>
      </w:r>
      <w:r>
        <w:t>). This increase in economic activity however, should not result in greater trauma if the elements of our road transport system are inherently safe.</w:t>
      </w:r>
    </w:p>
    <w:p w14:paraId="6F474AD4" w14:textId="035C42C5" w:rsidR="00152595" w:rsidRDefault="00922FBF" w:rsidP="00AF3413">
      <w:r w:rsidRPr="00922FBF">
        <w:t xml:space="preserve">The Australian </w:t>
      </w:r>
      <w:r w:rsidR="00F24B8E">
        <w:t xml:space="preserve">total </w:t>
      </w:r>
      <w:r w:rsidRPr="00922FBF">
        <w:t xml:space="preserve">freight task </w:t>
      </w:r>
      <w:r>
        <w:t xml:space="preserve">(road, rail, sea and air) </w:t>
      </w:r>
      <w:r w:rsidRPr="00922FBF">
        <w:t xml:space="preserve">has grown more than four-fold over the four-and-a-half decades to 2016, from around 127 billion tonne kilometres in 1971 to over 725 billion tonne kilometres in 2015–16—an average rate of growth of over 3.9 per cent per annum. </w:t>
      </w:r>
      <w:r w:rsidR="00D83318">
        <w:t>Figure 1 shows that o</w:t>
      </w:r>
      <w:r w:rsidRPr="00AF74B6">
        <w:t>ver that period road freight has increased eight-fold, from around 26 billion tonne kilometres in 1970–71 to around 203 billion tonne kilometres in 2015–16</w:t>
      </w:r>
      <w:r w:rsidR="00152595" w:rsidRPr="00AF74B6">
        <w:t>.</w:t>
      </w:r>
      <w:r w:rsidRPr="00AF74B6">
        <w:t xml:space="preserve"> </w:t>
      </w:r>
      <w:r w:rsidR="00152595" w:rsidRPr="00AF74B6">
        <w:t>Road freight volumes are projected to grow by around 56 per cent between 2018 and 2040 (central estimate) to around 337 billion tonne kilometres by 2040</w:t>
      </w:r>
      <w:r w:rsidR="00152595" w:rsidRPr="00152595">
        <w:t>—average annual growth of 2 per cent per annum</w:t>
      </w:r>
      <w:r w:rsidR="00152595">
        <w:t xml:space="preserve"> </w:t>
      </w:r>
      <w:r w:rsidR="00152595" w:rsidRPr="001C41BD">
        <w:t>(BITRE, 2019</w:t>
      </w:r>
      <w:r w:rsidR="00BB4565" w:rsidRPr="001C41BD">
        <w:t>a</w:t>
      </w:r>
      <w:r w:rsidR="00152595">
        <w:t>).</w:t>
      </w:r>
      <w:r w:rsidR="00496BF4">
        <w:t xml:space="preserve"> </w:t>
      </w:r>
      <w:r w:rsidR="00496BF4" w:rsidRPr="00496BF4">
        <w:t>At the same time, the higher rates of crashes involving heavy vehicles has drawn increasing attention from policy makers, road safety advocates and the general</w:t>
      </w:r>
      <w:r w:rsidR="008742A6">
        <w:t xml:space="preserve"> </w:t>
      </w:r>
      <w:r w:rsidR="00496BF4" w:rsidRPr="00496BF4">
        <w:t>public, as well as from the heavy vehicle industry itself</w:t>
      </w:r>
      <w:r w:rsidR="00496BF4">
        <w:t>.</w:t>
      </w:r>
    </w:p>
    <w:p w14:paraId="1D0EA187" w14:textId="77777777" w:rsidR="00AF74B6" w:rsidRDefault="00F608BE" w:rsidP="00AF74B6">
      <w:pPr>
        <w:keepNext/>
        <w:jc w:val="center"/>
      </w:pPr>
      <w:r>
        <w:rPr>
          <w:noProof/>
          <w:lang w:eastAsia="en-AU"/>
        </w:rPr>
        <w:drawing>
          <wp:inline distT="0" distB="0" distL="0" distR="0" wp14:anchorId="6376D04A" wp14:editId="602199BF">
            <wp:extent cx="5486400" cy="1997938"/>
            <wp:effectExtent l="0" t="0" r="0" b="2540"/>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55576AEB" w14:textId="16EA0AF6" w:rsidR="00657808" w:rsidRDefault="00AF74B6" w:rsidP="00AF74B6">
      <w:pPr>
        <w:pStyle w:val="Caption"/>
        <w:jc w:val="center"/>
      </w:pPr>
      <w:r>
        <w:t xml:space="preserve">Figure </w:t>
      </w:r>
      <w:fldSimple w:instr=" SEQ Figure \* ARABIC ">
        <w:r w:rsidR="008E07C6">
          <w:rPr>
            <w:noProof/>
          </w:rPr>
          <w:t>1</w:t>
        </w:r>
      </w:fldSimple>
      <w:r>
        <w:t>: Australian road freight task growth (historical and predicted)</w:t>
      </w:r>
    </w:p>
    <w:p w14:paraId="15ADA007" w14:textId="77777777" w:rsidR="00E63590" w:rsidRPr="00922FBF" w:rsidRDefault="00E63590" w:rsidP="00AF3413">
      <w:r w:rsidRPr="00E63590">
        <w:lastRenderedPageBreak/>
        <w:t>Road freight services, in particular, touch nearly every sector of the economy to varying degrees. Road transport is the predominant mode of transport for urban, inter-urban and regional freight, and part of the supply chain for most imports</w:t>
      </w:r>
      <w:r>
        <w:t xml:space="preserve"> to Australia</w:t>
      </w:r>
      <w:r w:rsidRPr="00E63590">
        <w:t xml:space="preserve">. Even the </w:t>
      </w:r>
      <w:r w:rsidR="0056113C">
        <w:t>large mineral resource industries</w:t>
      </w:r>
      <w:r w:rsidRPr="00E63590">
        <w:t xml:space="preserve"> that rely on rail or coastal shipping for transport of their outputs, are dependent on road freight to transport machinery, capital equipment and other supplies to mine sites</w:t>
      </w:r>
      <w:r w:rsidR="00496BF4">
        <w:t xml:space="preserve">. </w:t>
      </w:r>
    </w:p>
    <w:p w14:paraId="40E0DA2D" w14:textId="77B95F3B" w:rsidR="00F2274C" w:rsidRDefault="00C86BC6" w:rsidP="00AF3413">
      <w:pPr>
        <w:rPr>
          <w:lang w:val="x-none"/>
        </w:rPr>
      </w:pPr>
      <w:r w:rsidRPr="00C86BC6">
        <w:rPr>
          <w:lang w:val="x-none"/>
        </w:rPr>
        <w:t>Heavy vehicles represent almost four per cent of all registered vehicles in Australia (</w:t>
      </w:r>
      <w:r w:rsidRPr="001C41BD">
        <w:rPr>
          <w:lang w:val="x-none"/>
        </w:rPr>
        <w:t>ABS, 2020a</w:t>
      </w:r>
      <w:r w:rsidRPr="00C86BC6">
        <w:rPr>
          <w:lang w:val="x-none"/>
        </w:rPr>
        <w:t xml:space="preserve">) and account for just under nine per cent of total vehicle kilometres travelled </w:t>
      </w:r>
      <w:r w:rsidRPr="00C86BC6">
        <w:rPr>
          <w:lang w:val="en-US"/>
        </w:rPr>
        <w:t xml:space="preserve">(VKT) </w:t>
      </w:r>
      <w:r w:rsidRPr="00C86BC6">
        <w:rPr>
          <w:lang w:val="x-none"/>
        </w:rPr>
        <w:t>on public roads (</w:t>
      </w:r>
      <w:r w:rsidRPr="001C41BD">
        <w:rPr>
          <w:lang w:val="x-none"/>
        </w:rPr>
        <w:t>ABS, 2020b</w:t>
      </w:r>
      <w:r w:rsidRPr="00C86BC6">
        <w:rPr>
          <w:lang w:val="x-none"/>
        </w:rPr>
        <w:t>).  However, they are involved in almost 16 per cent of all fatal crashes (</w:t>
      </w:r>
      <w:r w:rsidRPr="001C41BD">
        <w:rPr>
          <w:lang w:val="x-none"/>
        </w:rPr>
        <w:t>BITRE, 2021a</w:t>
      </w:r>
      <w:r w:rsidRPr="00C86BC6">
        <w:rPr>
          <w:lang w:val="x-none"/>
        </w:rPr>
        <w:t>).</w:t>
      </w:r>
      <w:r>
        <w:rPr>
          <w:lang w:val="en-US"/>
        </w:rPr>
        <w:t xml:space="preserve"> </w:t>
      </w:r>
      <w:r w:rsidRPr="00C86BC6">
        <w:rPr>
          <w:lang w:val="x-none"/>
        </w:rPr>
        <w:t xml:space="preserve">Heavy vehicle crashes </w:t>
      </w:r>
      <w:r w:rsidR="004B6EE8">
        <w:rPr>
          <w:lang w:val="en-US"/>
        </w:rPr>
        <w:t>costs the Australian economy</w:t>
      </w:r>
      <w:r w:rsidRPr="00C86BC6">
        <w:rPr>
          <w:lang w:val="x-none"/>
        </w:rPr>
        <w:t xml:space="preserve"> around $1.5 billion</w:t>
      </w:r>
      <w:r w:rsidR="004B6EE8">
        <w:rPr>
          <w:lang w:val="en-US"/>
        </w:rPr>
        <w:t xml:space="preserve"> each year</w:t>
      </w:r>
      <w:r w:rsidRPr="00C86BC6">
        <w:rPr>
          <w:lang w:val="x-none"/>
        </w:rPr>
        <w:t>, including around $63</w:t>
      </w:r>
      <w:r w:rsidRPr="00C86BC6">
        <w:rPr>
          <w:lang w:val="en-US"/>
        </w:rPr>
        <w:t xml:space="preserve"> </w:t>
      </w:r>
      <w:r w:rsidR="004B6EE8">
        <w:rPr>
          <w:lang w:val="en-US"/>
        </w:rPr>
        <w:t>million</w:t>
      </w:r>
      <w:r w:rsidR="00B76846" w:rsidRPr="00B76846">
        <w:rPr>
          <w:lang w:val="en-US"/>
        </w:rPr>
        <w:t xml:space="preserve"> </w:t>
      </w:r>
      <w:r w:rsidR="00B76846">
        <w:rPr>
          <w:lang w:val="en-US"/>
        </w:rPr>
        <w:t>(</w:t>
      </w:r>
      <w:r w:rsidR="00B76846" w:rsidRPr="001C41BD">
        <w:rPr>
          <w:lang w:val="x-none"/>
        </w:rPr>
        <w:t>Budd &amp; Newstead</w:t>
      </w:r>
      <w:r w:rsidR="00B76846" w:rsidRPr="001C41BD">
        <w:rPr>
          <w:lang w:val="en-US"/>
        </w:rPr>
        <w:t>, 2014</w:t>
      </w:r>
      <w:r w:rsidR="00B76846">
        <w:rPr>
          <w:lang w:val="en-US"/>
        </w:rPr>
        <w:t>)</w:t>
      </w:r>
      <w:r w:rsidRPr="00C86BC6">
        <w:rPr>
          <w:lang w:val="x-none"/>
        </w:rPr>
        <w:t xml:space="preserve"> from crashes involving heavy vehicle</w:t>
      </w:r>
      <w:r w:rsidRPr="00C86BC6">
        <w:rPr>
          <w:lang w:val="en-US"/>
        </w:rPr>
        <w:t>s</w:t>
      </w:r>
      <w:r w:rsidRPr="00C86BC6">
        <w:rPr>
          <w:lang w:val="x-none"/>
        </w:rPr>
        <w:t xml:space="preserve"> drifting outside their lane</w:t>
      </w:r>
      <w:r w:rsidRPr="00C86BC6">
        <w:rPr>
          <w:lang w:val="en-US"/>
        </w:rPr>
        <w:t>, same direction and opposite direction lane departure multiple-vehicle crashes and single-vehicle roadway departures</w:t>
      </w:r>
      <w:r w:rsidRPr="00C86BC6">
        <w:rPr>
          <w:lang w:val="x-none"/>
        </w:rPr>
        <w:t>.</w:t>
      </w:r>
    </w:p>
    <w:p w14:paraId="0D1EBB94" w14:textId="77777777" w:rsidR="00720743" w:rsidRDefault="00720743" w:rsidP="00AF3413">
      <w:pPr>
        <w:rPr>
          <w:lang w:val="en-US"/>
        </w:rPr>
      </w:pPr>
      <w:r w:rsidRPr="00720743">
        <w:t xml:space="preserve">Heavy vehicles </w:t>
      </w:r>
      <w:r>
        <w:t>drifting outside their lane</w:t>
      </w:r>
      <w:r w:rsidRPr="00720743">
        <w:t xml:space="preserve"> is the specific road safety problem that </w:t>
      </w:r>
      <w:r w:rsidR="00FE6024">
        <w:t>is</w:t>
      </w:r>
      <w:r w:rsidRPr="00720743">
        <w:t xml:space="preserve"> considered in this RIS. </w:t>
      </w:r>
      <w:r w:rsidRPr="0016249B">
        <w:rPr>
          <w:lang w:val="x-none"/>
        </w:rPr>
        <w:t>Approximately half of all Australian road deaths result from head-on crashes or single vehicle runoff-road crashes</w:t>
      </w:r>
      <w:r>
        <w:rPr>
          <w:lang w:val="en-US"/>
        </w:rPr>
        <w:t xml:space="preserve"> </w:t>
      </w:r>
      <w:r w:rsidRPr="0016249B">
        <w:rPr>
          <w:lang w:val="x-none"/>
        </w:rPr>
        <w:t xml:space="preserve"> - where a vehicle has run off the road into the path of another vehicle - or a collision with a fixed object such as a tree or pole</w:t>
      </w:r>
      <w:r>
        <w:rPr>
          <w:lang w:val="en-US"/>
        </w:rPr>
        <w:t xml:space="preserve"> </w:t>
      </w:r>
      <w:r w:rsidRPr="001C41BD">
        <w:rPr>
          <w:lang w:val="en-US"/>
        </w:rPr>
        <w:t>(ANCAP, 2020</w:t>
      </w:r>
      <w:r>
        <w:rPr>
          <w:lang w:val="en-US"/>
        </w:rPr>
        <w:t>)</w:t>
      </w:r>
      <w:r w:rsidRPr="0016249B">
        <w:rPr>
          <w:lang w:val="x-none"/>
        </w:rPr>
        <w:t xml:space="preserve">. </w:t>
      </w:r>
      <w:r w:rsidR="00AE7364">
        <w:rPr>
          <w:lang w:val="en-US"/>
        </w:rPr>
        <w:t>These may occur because a</w:t>
      </w:r>
      <w:r w:rsidRPr="0016249B">
        <w:rPr>
          <w:lang w:val="x-none"/>
        </w:rPr>
        <w:t xml:space="preserve"> driver </w:t>
      </w:r>
      <w:r w:rsidR="00AE7364">
        <w:rPr>
          <w:lang w:val="en-US"/>
        </w:rPr>
        <w:t>has</w:t>
      </w:r>
      <w:r w:rsidRPr="0016249B">
        <w:rPr>
          <w:lang w:val="x-none"/>
        </w:rPr>
        <w:t xml:space="preserve"> be</w:t>
      </w:r>
      <w:r w:rsidR="00AE7364">
        <w:rPr>
          <w:lang w:val="en-US"/>
        </w:rPr>
        <w:t>en</w:t>
      </w:r>
      <w:r w:rsidRPr="0016249B">
        <w:rPr>
          <w:lang w:val="x-none"/>
        </w:rPr>
        <w:t xml:space="preserve"> distracted or </w:t>
      </w:r>
      <w:r w:rsidR="00AE7364">
        <w:rPr>
          <w:lang w:val="en-US"/>
        </w:rPr>
        <w:t xml:space="preserve">is </w:t>
      </w:r>
      <w:r w:rsidRPr="0016249B">
        <w:rPr>
          <w:lang w:val="x-none"/>
        </w:rPr>
        <w:t>inattentive, tired or fatigued, or simply stray too far beyond the marked lane, resulting in a serious crash or fatality.</w:t>
      </w:r>
      <w:r>
        <w:rPr>
          <w:lang w:val="en-US"/>
        </w:rPr>
        <w:t xml:space="preserve"> </w:t>
      </w:r>
    </w:p>
    <w:p w14:paraId="6F0EDE53" w14:textId="7B773B8C" w:rsidR="005F1096" w:rsidRDefault="00720743" w:rsidP="00AF3413">
      <w:pPr>
        <w:rPr>
          <w:lang w:val="en-US"/>
        </w:rPr>
      </w:pPr>
      <w:r w:rsidRPr="00720743">
        <w:t xml:space="preserve">While in fatal multi-vehicle crashes a lighter vehicle is likely to have been at fault (in up to 83 per cent of incidents according </w:t>
      </w:r>
      <w:r w:rsidRPr="00257112">
        <w:t>to NTARC</w:t>
      </w:r>
      <w:r w:rsidR="00E07EFE" w:rsidRPr="00257112">
        <w:t xml:space="preserve"> (</w:t>
      </w:r>
      <w:r w:rsidRPr="00257112">
        <w:t>2019)</w:t>
      </w:r>
      <w:r w:rsidR="00E07EFE" w:rsidRPr="00257112">
        <w:t>)</w:t>
      </w:r>
      <w:r w:rsidRPr="00257112">
        <w:t xml:space="preserve">, </w:t>
      </w:r>
      <w:r w:rsidRPr="00720743">
        <w:t>heavy vehicles nonetheless have characteristics that can increase both the risk and severity of both no-fault and at-fault crashes. These include a high gross mass, elevated centre of gravity, long vehicle length, reduced opportunity to manoeuvre, and relatively longer stopping distances.</w:t>
      </w:r>
    </w:p>
    <w:p w14:paraId="287413E2" w14:textId="77777777" w:rsidR="00720743" w:rsidRDefault="005F1096" w:rsidP="00136719">
      <w:pPr>
        <w:rPr>
          <w:lang w:val="en-US"/>
        </w:rPr>
      </w:pPr>
      <w:r w:rsidRPr="005F1096">
        <w:rPr>
          <w:lang w:val="en-US"/>
        </w:rPr>
        <w:t>A reduction in these types of crashes is particularly important in regiona</w:t>
      </w:r>
      <w:r>
        <w:rPr>
          <w:lang w:val="en-US"/>
        </w:rPr>
        <w:t>l and remote areas of Australia</w:t>
      </w:r>
      <w:r w:rsidRPr="005F1096">
        <w:rPr>
          <w:lang w:val="en-US"/>
        </w:rPr>
        <w:t>, where the majority of roads are un-divided, single carriageways. 62</w:t>
      </w:r>
      <w:r>
        <w:rPr>
          <w:lang w:val="en-US"/>
        </w:rPr>
        <w:t xml:space="preserve"> per cent</w:t>
      </w:r>
      <w:r w:rsidRPr="005F1096">
        <w:rPr>
          <w:lang w:val="en-US"/>
        </w:rPr>
        <w:t xml:space="preserve"> of fatalities occur as a result of lane departure crashes</w:t>
      </w:r>
      <w:r>
        <w:rPr>
          <w:lang w:val="en-US"/>
        </w:rPr>
        <w:t xml:space="preserve"> </w:t>
      </w:r>
      <w:r w:rsidRPr="001C41BD">
        <w:rPr>
          <w:lang w:val="en-US"/>
        </w:rPr>
        <w:t>(ANCAP, 2020).</w:t>
      </w:r>
      <w:r w:rsidR="00136719" w:rsidRPr="00136719">
        <w:rPr>
          <w:lang w:val="en-US"/>
        </w:rPr>
        <w:t xml:space="preserve"> </w:t>
      </w:r>
    </w:p>
    <w:p w14:paraId="082B9727" w14:textId="77777777" w:rsidR="005F794B" w:rsidRDefault="006C4A3D" w:rsidP="005F794B">
      <w:pPr>
        <w:pStyle w:val="Heading2"/>
      </w:pPr>
      <w:bookmarkStart w:id="10" w:name="_Toc100326772"/>
      <w:r>
        <w:t>Road trauma involving heavy vehicles</w:t>
      </w:r>
      <w:bookmarkEnd w:id="10"/>
    </w:p>
    <w:p w14:paraId="0B5262AD" w14:textId="77777777" w:rsidR="00D937D1" w:rsidRDefault="00D937D1" w:rsidP="00D937D1">
      <w:pPr>
        <w:pStyle w:val="Heading3"/>
      </w:pPr>
      <w:bookmarkStart w:id="11" w:name="_Toc100326773"/>
      <w:r>
        <w:t>Fatalities</w:t>
      </w:r>
      <w:bookmarkEnd w:id="11"/>
    </w:p>
    <w:p w14:paraId="72A04077" w14:textId="77777777" w:rsidR="00BC138B" w:rsidRDefault="00720743" w:rsidP="00136719">
      <w:r w:rsidRPr="00720743">
        <w:t xml:space="preserve">The Australian Road Deaths Database, maintained by the Bureau of Infrastructure, Transport and Regional Economics, provides basic details of road crash fatalities in Australia as reported by the police each month to the state and territory road authorities. This includes details on the number of fatal crashes and fatalities in crashes involving heavy articulated trucks (prime movers), rigid trucks and buses. </w:t>
      </w:r>
    </w:p>
    <w:p w14:paraId="08D60939" w14:textId="70382091" w:rsidR="00136719" w:rsidRDefault="00720743" w:rsidP="00136719">
      <w:r w:rsidRPr="00720743">
        <w:t xml:space="preserve">During the 12 months to the end of </w:t>
      </w:r>
      <w:r w:rsidR="00BC138B">
        <w:t>June 2021, 182 people died from 168</w:t>
      </w:r>
      <w:r w:rsidRPr="00720743">
        <w:t xml:space="preserve"> fatal crashes involving heavy trucks and buses. Over the </w:t>
      </w:r>
      <w:r w:rsidR="005657DD">
        <w:t xml:space="preserve">period </w:t>
      </w:r>
      <w:r w:rsidR="00BC138B">
        <w:t>2018-2021, an average of 170 people have died in 152</w:t>
      </w:r>
      <w:r w:rsidRPr="00720743">
        <w:t xml:space="preserve"> fatal crashes involving heavy trucks a</w:t>
      </w:r>
      <w:r w:rsidR="00785A42">
        <w:t xml:space="preserve">nd buses each </w:t>
      </w:r>
      <w:r w:rsidR="00785A42" w:rsidRPr="00257112">
        <w:t>year (BITRE, 2021</w:t>
      </w:r>
      <w:r w:rsidR="00257112" w:rsidRPr="00257112">
        <w:t>a</w:t>
      </w:r>
      <w:r w:rsidRPr="00257112">
        <w:t>).</w:t>
      </w:r>
    </w:p>
    <w:p w14:paraId="162C8A14" w14:textId="77777777" w:rsidR="00D937D1" w:rsidRDefault="00D937D1" w:rsidP="00136719">
      <w:r>
        <w:t xml:space="preserve">Figure </w:t>
      </w:r>
      <w:r w:rsidR="00212E16">
        <w:t>2</w:t>
      </w:r>
      <w:r>
        <w:t xml:space="preserve"> </w:t>
      </w:r>
      <w:r w:rsidRPr="00D937D1">
        <w:t xml:space="preserve">shows the annual number of fatal crashes involving </w:t>
      </w:r>
      <w:r w:rsidR="009062B0">
        <w:t xml:space="preserve">prime movers (articulated trucks), heavy rigid trucks, </w:t>
      </w:r>
      <w:r w:rsidRPr="00D937D1">
        <w:t>heavy trucks and buses in Australia for each year in the per</w:t>
      </w:r>
      <w:r w:rsidR="006F42D3">
        <w:t>iod 2012 to 2021</w:t>
      </w:r>
      <w:r>
        <w:t xml:space="preserve">, while Figure </w:t>
      </w:r>
      <w:r w:rsidR="00212E16" w:rsidRPr="00212E16">
        <w:t>3</w:t>
      </w:r>
      <w:r w:rsidRPr="00D937D1">
        <w:t xml:space="preserve"> shows the corresponding number of fatalities.</w:t>
      </w:r>
    </w:p>
    <w:p w14:paraId="45B9E7D9" w14:textId="77777777" w:rsidR="002B7593" w:rsidRDefault="00EC504E" w:rsidP="002B7593">
      <w:pPr>
        <w:keepNext/>
        <w:jc w:val="center"/>
      </w:pPr>
      <w:r>
        <w:rPr>
          <w:noProof/>
          <w:lang w:eastAsia="en-AU"/>
        </w:rPr>
        <w:lastRenderedPageBreak/>
        <w:drawing>
          <wp:inline distT="0" distB="0" distL="0" distR="0" wp14:anchorId="04141FB0" wp14:editId="13105A9D">
            <wp:extent cx="5486400" cy="2653346"/>
            <wp:effectExtent l="0" t="0" r="0" b="13970"/>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08004DB9" w14:textId="575D3B75" w:rsidR="00752AEA" w:rsidRDefault="002B7593" w:rsidP="002B7593">
      <w:pPr>
        <w:pStyle w:val="Caption"/>
        <w:jc w:val="center"/>
      </w:pPr>
      <w:r>
        <w:t xml:space="preserve">Figure </w:t>
      </w:r>
      <w:fldSimple w:instr=" SEQ Figure \* ARABIC ">
        <w:r w:rsidR="008E07C6">
          <w:rPr>
            <w:noProof/>
          </w:rPr>
          <w:t>2</w:t>
        </w:r>
      </w:fldSimple>
      <w:r>
        <w:t xml:space="preserve">: </w:t>
      </w:r>
      <w:r w:rsidRPr="00601A00">
        <w:t>Fatal crashes involving heavy trucks and buses in Australia, annual totals 2012-2021</w:t>
      </w:r>
    </w:p>
    <w:p w14:paraId="0EB2562D" w14:textId="77777777" w:rsidR="006F42D3" w:rsidRDefault="002B7593" w:rsidP="0094071C">
      <w:pPr>
        <w:keepNext/>
        <w:jc w:val="center"/>
      </w:pPr>
      <w:r>
        <w:rPr>
          <w:noProof/>
          <w:lang w:eastAsia="en-AU"/>
        </w:rPr>
        <w:drawing>
          <wp:inline distT="0" distB="0" distL="0" distR="0" wp14:anchorId="7570EAEF" wp14:editId="07F1D1FB">
            <wp:extent cx="5486400" cy="2420782"/>
            <wp:effectExtent l="0" t="0" r="0" b="17780"/>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6AA0B704" w14:textId="42A7C56F" w:rsidR="002B7593" w:rsidRDefault="006F42D3" w:rsidP="0094071C">
      <w:pPr>
        <w:pStyle w:val="Caption"/>
        <w:jc w:val="center"/>
      </w:pPr>
      <w:r>
        <w:t xml:space="preserve">Figure </w:t>
      </w:r>
      <w:fldSimple w:instr=" SEQ Figure \* ARABIC ">
        <w:r w:rsidR="008E07C6">
          <w:rPr>
            <w:noProof/>
          </w:rPr>
          <w:t>3</w:t>
        </w:r>
      </w:fldSimple>
      <w:r>
        <w:t xml:space="preserve">: </w:t>
      </w:r>
      <w:r w:rsidRPr="004C1035">
        <w:t xml:space="preserve">Fatalities in crashes involving heavy trucks and buses </w:t>
      </w:r>
      <w:r>
        <w:t>in Australia, annual totals 2012-2021</w:t>
      </w:r>
    </w:p>
    <w:p w14:paraId="3299F6E9" w14:textId="77777777" w:rsidR="003702DF" w:rsidRDefault="0067057A" w:rsidP="00136719">
      <w:r>
        <w:t xml:space="preserve">Historic data shows that </w:t>
      </w:r>
      <w:r w:rsidR="00D937D1" w:rsidRPr="00D937D1">
        <w:t xml:space="preserve">fatalities in crashes involving prime movers </w:t>
      </w:r>
      <w:r w:rsidR="008471BE">
        <w:t xml:space="preserve">(articulated trucks) </w:t>
      </w:r>
      <w:r w:rsidR="00D937D1" w:rsidRPr="00D937D1">
        <w:t xml:space="preserve">decreased by nearly 40 per </w:t>
      </w:r>
      <w:r w:rsidR="00D937D1" w:rsidRPr="0067057A">
        <w:t>cent between 2007 and 2013</w:t>
      </w:r>
      <w:r w:rsidR="008471BE">
        <w:t xml:space="preserve"> (</w:t>
      </w:r>
      <w:r w:rsidR="008471BE" w:rsidRPr="001C41BD">
        <w:t>DITCRD, 2019</w:t>
      </w:r>
      <w:r w:rsidR="008471BE">
        <w:t>)</w:t>
      </w:r>
      <w:r w:rsidR="00D937D1" w:rsidRPr="00D937D1">
        <w:t xml:space="preserve">, </w:t>
      </w:r>
      <w:r>
        <w:t xml:space="preserve">and </w:t>
      </w:r>
      <w:r w:rsidR="00D937D1" w:rsidRPr="00D937D1">
        <w:t xml:space="preserve">have been relatively constant </w:t>
      </w:r>
      <w:r>
        <w:t>since then up to the year 2020</w:t>
      </w:r>
      <w:r w:rsidR="008471BE">
        <w:t xml:space="preserve"> (Figure </w:t>
      </w:r>
      <w:r w:rsidR="004B3092">
        <w:t>3</w:t>
      </w:r>
      <w:r w:rsidR="008471BE">
        <w:t>)</w:t>
      </w:r>
      <w:r w:rsidR="00D937D1" w:rsidRPr="00D937D1">
        <w:t xml:space="preserve">. Fatalities in crashes involving rigid trucks and buses have been relatively constant over the </w:t>
      </w:r>
      <w:r w:rsidR="003702DF">
        <w:t xml:space="preserve">last </w:t>
      </w:r>
      <w:r w:rsidR="00D937D1" w:rsidRPr="00D937D1">
        <w:t>10 years</w:t>
      </w:r>
      <w:r w:rsidR="003702DF">
        <w:t xml:space="preserve"> with a </w:t>
      </w:r>
      <w:r>
        <w:t>noticeable</w:t>
      </w:r>
      <w:r w:rsidR="003702DF">
        <w:t xml:space="preserve"> reduction in the last two years</w:t>
      </w:r>
      <w:r>
        <w:t xml:space="preserve"> for the heavy rigid truck group</w:t>
      </w:r>
      <w:r w:rsidR="00D937D1" w:rsidRPr="00D937D1">
        <w:t>.</w:t>
      </w:r>
      <w:r w:rsidR="003702DF">
        <w:t xml:space="preserve"> </w:t>
      </w:r>
    </w:p>
    <w:p w14:paraId="57A2160B" w14:textId="77777777" w:rsidR="00FD76C3" w:rsidRDefault="00AE7364" w:rsidP="00136719">
      <w:r>
        <w:t>T</w:t>
      </w:r>
      <w:r w:rsidR="00FD76C3">
        <w:t xml:space="preserve">he data supporting Figures </w:t>
      </w:r>
      <w:r w:rsidR="004B3092">
        <w:t xml:space="preserve">2 </w:t>
      </w:r>
      <w:r w:rsidR="00FD76C3">
        <w:t xml:space="preserve">and </w:t>
      </w:r>
      <w:r w:rsidR="004B3092">
        <w:t xml:space="preserve">3 </w:t>
      </w:r>
      <w:r>
        <w:t>also shows that</w:t>
      </w:r>
      <w:r w:rsidR="00FD76C3">
        <w:t>:</w:t>
      </w:r>
    </w:p>
    <w:p w14:paraId="00349631" w14:textId="77777777" w:rsidR="00FD76C3" w:rsidRPr="00817C22" w:rsidRDefault="003702DF" w:rsidP="00CB0804">
      <w:pPr>
        <w:pStyle w:val="ListParagraph"/>
        <w:numPr>
          <w:ilvl w:val="0"/>
          <w:numId w:val="15"/>
        </w:numPr>
        <w:rPr>
          <w:rFonts w:asciiTheme="minorHAnsi" w:hAnsiTheme="minorHAnsi" w:cstheme="minorHAnsi"/>
          <w:sz w:val="20"/>
        </w:rPr>
      </w:pPr>
      <w:r w:rsidRPr="00817C22">
        <w:rPr>
          <w:rFonts w:asciiTheme="minorHAnsi" w:hAnsiTheme="minorHAnsi" w:cstheme="minorHAnsi"/>
          <w:sz w:val="20"/>
        </w:rPr>
        <w:t xml:space="preserve">Fatalities in crashes involving articulated trucks increased </w:t>
      </w:r>
      <w:r w:rsidR="007C6341" w:rsidRPr="00817C22">
        <w:rPr>
          <w:rFonts w:asciiTheme="minorHAnsi" w:hAnsiTheme="minorHAnsi" w:cstheme="minorHAnsi"/>
          <w:sz w:val="20"/>
        </w:rPr>
        <w:t xml:space="preserve">by 7.5 per cent by June 2021 when compared with the corresponding period one year earlier. </w:t>
      </w:r>
    </w:p>
    <w:p w14:paraId="7C728261" w14:textId="77777777" w:rsidR="00FD76C3" w:rsidRPr="00817C22" w:rsidRDefault="007C6341" w:rsidP="00CB0804">
      <w:pPr>
        <w:pStyle w:val="ListParagraph"/>
        <w:numPr>
          <w:ilvl w:val="0"/>
          <w:numId w:val="15"/>
        </w:numPr>
        <w:rPr>
          <w:rFonts w:asciiTheme="minorHAnsi" w:hAnsiTheme="minorHAnsi" w:cstheme="minorHAnsi"/>
          <w:sz w:val="20"/>
        </w:rPr>
      </w:pPr>
      <w:r w:rsidRPr="00817C22">
        <w:rPr>
          <w:rFonts w:asciiTheme="minorHAnsi" w:hAnsiTheme="minorHAnsi" w:cstheme="minorHAnsi"/>
          <w:sz w:val="20"/>
        </w:rPr>
        <w:t xml:space="preserve">Data trends reveal the fatalities in crashes involving articulated trucks increased </w:t>
      </w:r>
      <w:r w:rsidR="003702DF" w:rsidRPr="00817C22">
        <w:rPr>
          <w:rFonts w:asciiTheme="minorHAnsi" w:hAnsiTheme="minorHAnsi" w:cstheme="minorHAnsi"/>
          <w:sz w:val="20"/>
        </w:rPr>
        <w:t>by an average of 0.2 per cent per year over the</w:t>
      </w:r>
      <w:r w:rsidRPr="00817C22">
        <w:rPr>
          <w:rFonts w:asciiTheme="minorHAnsi" w:hAnsiTheme="minorHAnsi" w:cstheme="minorHAnsi"/>
          <w:sz w:val="20"/>
        </w:rPr>
        <w:t xml:space="preserve"> last </w:t>
      </w:r>
      <w:r w:rsidR="003702DF" w:rsidRPr="00817C22">
        <w:rPr>
          <w:rFonts w:asciiTheme="minorHAnsi" w:hAnsiTheme="minorHAnsi" w:cstheme="minorHAnsi"/>
          <w:sz w:val="20"/>
        </w:rPr>
        <w:t>three years to June 2021.</w:t>
      </w:r>
    </w:p>
    <w:p w14:paraId="5000C65D" w14:textId="77777777" w:rsidR="003702DF" w:rsidRPr="00817C22" w:rsidRDefault="003702DF" w:rsidP="00CB0804">
      <w:pPr>
        <w:pStyle w:val="ListParagraph"/>
        <w:numPr>
          <w:ilvl w:val="0"/>
          <w:numId w:val="15"/>
        </w:numPr>
        <w:rPr>
          <w:rFonts w:asciiTheme="minorHAnsi" w:hAnsiTheme="minorHAnsi" w:cstheme="minorHAnsi"/>
          <w:sz w:val="20"/>
        </w:rPr>
      </w:pPr>
      <w:r w:rsidRPr="00817C22">
        <w:rPr>
          <w:rFonts w:asciiTheme="minorHAnsi" w:hAnsiTheme="minorHAnsi" w:cstheme="minorHAnsi"/>
          <w:sz w:val="20"/>
        </w:rPr>
        <w:t>Fatalities in crashes involving heavy trucks</w:t>
      </w:r>
      <w:r w:rsidR="00BD18F7" w:rsidRPr="00817C22">
        <w:rPr>
          <w:rFonts w:asciiTheme="minorHAnsi" w:hAnsiTheme="minorHAnsi" w:cstheme="minorHAnsi"/>
          <w:sz w:val="20"/>
        </w:rPr>
        <w:t xml:space="preserve"> also</w:t>
      </w:r>
      <w:r w:rsidRPr="00817C22">
        <w:rPr>
          <w:rFonts w:asciiTheme="minorHAnsi" w:hAnsiTheme="minorHAnsi" w:cstheme="minorHAnsi"/>
          <w:sz w:val="20"/>
        </w:rPr>
        <w:t xml:space="preserve"> increased by 2.6 per cent </w:t>
      </w:r>
      <w:r w:rsidR="007C6341" w:rsidRPr="00817C22">
        <w:rPr>
          <w:rFonts w:asciiTheme="minorHAnsi" w:hAnsiTheme="minorHAnsi" w:cstheme="minorHAnsi"/>
          <w:sz w:val="20"/>
        </w:rPr>
        <w:t xml:space="preserve">by June 2021 </w:t>
      </w:r>
      <w:r w:rsidRPr="00817C22">
        <w:rPr>
          <w:rFonts w:asciiTheme="minorHAnsi" w:hAnsiTheme="minorHAnsi" w:cstheme="minorHAnsi"/>
          <w:sz w:val="20"/>
        </w:rPr>
        <w:t xml:space="preserve">when compared with the </w:t>
      </w:r>
      <w:r w:rsidR="00BD18F7" w:rsidRPr="00817C22">
        <w:rPr>
          <w:rFonts w:asciiTheme="minorHAnsi" w:hAnsiTheme="minorHAnsi" w:cstheme="minorHAnsi"/>
          <w:sz w:val="20"/>
        </w:rPr>
        <w:t>correspon</w:t>
      </w:r>
      <w:r w:rsidRPr="00817C22">
        <w:rPr>
          <w:rFonts w:asciiTheme="minorHAnsi" w:hAnsiTheme="minorHAnsi" w:cstheme="minorHAnsi"/>
          <w:sz w:val="20"/>
        </w:rPr>
        <w:t>ding 12-month period one year earlier</w:t>
      </w:r>
      <w:r w:rsidR="007C6341" w:rsidRPr="00817C22">
        <w:rPr>
          <w:rFonts w:asciiTheme="minorHAnsi" w:hAnsiTheme="minorHAnsi" w:cstheme="minorHAnsi"/>
          <w:sz w:val="20"/>
        </w:rPr>
        <w:t>.</w:t>
      </w:r>
    </w:p>
    <w:p w14:paraId="48C6C111" w14:textId="285CBE73" w:rsidR="00C7560A" w:rsidRPr="00E96FB1" w:rsidRDefault="00FD76C3" w:rsidP="00136719">
      <w:r w:rsidRPr="00FD76C3">
        <w:t xml:space="preserve">This increasing rate of trauma for the heavy vehicle sector is alarming considering the impact of the COVID pandemic </w:t>
      </w:r>
      <w:r>
        <w:t xml:space="preserve">on </w:t>
      </w:r>
      <w:r w:rsidRPr="00FD76C3">
        <w:t>the Australian</w:t>
      </w:r>
      <w:r w:rsidR="00BD18F7" w:rsidRPr="00FD76C3">
        <w:t xml:space="preserve"> economy</w:t>
      </w:r>
      <w:r>
        <w:t xml:space="preserve"> by</w:t>
      </w:r>
      <w:r w:rsidRPr="00FD76C3">
        <w:t xml:space="preserve"> reducing</w:t>
      </w:r>
      <w:r w:rsidR="00BD18F7" w:rsidRPr="00FD76C3">
        <w:t xml:space="preserve"> </w:t>
      </w:r>
      <w:r w:rsidRPr="00FD76C3">
        <w:t xml:space="preserve">the </w:t>
      </w:r>
      <w:r w:rsidR="00BD18F7" w:rsidRPr="00FD76C3">
        <w:t>road freight</w:t>
      </w:r>
      <w:r w:rsidRPr="00FD76C3">
        <w:t xml:space="preserve"> task and road use in general.</w:t>
      </w:r>
      <w:r w:rsidR="008A7F0D">
        <w:t xml:space="preserve"> </w:t>
      </w:r>
      <w:r w:rsidR="008A7F0D" w:rsidRPr="00E96FB1">
        <w:t xml:space="preserve">During the second quarter of calendar </w:t>
      </w:r>
      <w:r w:rsidR="008A7F0D" w:rsidRPr="00E96FB1">
        <w:lastRenderedPageBreak/>
        <w:t>2020, estimated vehicle kilometres travelle</w:t>
      </w:r>
      <w:r w:rsidR="00C7560A" w:rsidRPr="00E96FB1">
        <w:t xml:space="preserve">d (VKT) declined by 22 per </w:t>
      </w:r>
      <w:r w:rsidR="00C7560A" w:rsidRPr="002648F6">
        <w:t>cent (BITRE, 2021</w:t>
      </w:r>
      <w:r w:rsidR="00257112" w:rsidRPr="002648F6">
        <w:t>a</w:t>
      </w:r>
      <w:r w:rsidR="00C7560A" w:rsidRPr="002648F6">
        <w:t>).</w:t>
      </w:r>
      <w:r w:rsidR="00C7560A" w:rsidRPr="00E96FB1">
        <w:t xml:space="preserve"> </w:t>
      </w:r>
      <w:r w:rsidR="008A7F0D" w:rsidRPr="00E96FB1">
        <w:t>In the 3rd and 4th quarters of 2020, both VKT and deaths increa</w:t>
      </w:r>
      <w:r w:rsidR="00C7560A" w:rsidRPr="00E96FB1">
        <w:t xml:space="preserve">sed to historical trend levels. </w:t>
      </w:r>
    </w:p>
    <w:p w14:paraId="0BE97681" w14:textId="6936D8DA" w:rsidR="00D937D1" w:rsidRPr="00E96FB1" w:rsidRDefault="00D937D1" w:rsidP="00136719">
      <w:r w:rsidRPr="00D937D1">
        <w:t xml:space="preserve">Taking into account fatality rates and crash data, fatal crashes involving heavy trucks and buses cost the economy approximately $980 million </w:t>
      </w:r>
      <w:r w:rsidRPr="002648F6">
        <w:t xml:space="preserve">annually (MUARC, </w:t>
      </w:r>
      <w:r w:rsidR="002648F6" w:rsidRPr="002648F6">
        <w:t>2020</w:t>
      </w:r>
      <w:r w:rsidRPr="002648F6">
        <w:t>).</w:t>
      </w:r>
    </w:p>
    <w:p w14:paraId="1673F7BA" w14:textId="77777777" w:rsidR="00D937D1" w:rsidRDefault="00D937D1" w:rsidP="00D937D1">
      <w:pPr>
        <w:pStyle w:val="Heading3"/>
        <w:rPr>
          <w:lang w:val="en-US"/>
        </w:rPr>
      </w:pPr>
      <w:bookmarkStart w:id="12" w:name="_Toc100326774"/>
      <w:r w:rsidRPr="00C06695">
        <w:rPr>
          <w:lang w:val="en-US"/>
        </w:rPr>
        <w:t>Serious and minor injuries</w:t>
      </w:r>
      <w:bookmarkEnd w:id="12"/>
    </w:p>
    <w:p w14:paraId="79F34B45" w14:textId="77777777" w:rsidR="00D937D1" w:rsidRDefault="00C14C74" w:rsidP="00D937D1">
      <w:r>
        <w:t>T</w:t>
      </w:r>
      <w:r w:rsidR="00D937D1" w:rsidRPr="00D937D1">
        <w:t xml:space="preserve">he National Injury Surveillance Unit at Flinders University, using the Australian Institute of Health and Welfare National Hospital Morbidity Database </w:t>
      </w:r>
      <w:r>
        <w:t>compiles data</w:t>
      </w:r>
      <w:r w:rsidR="00D937D1" w:rsidRPr="00D937D1">
        <w:t xml:space="preserve"> on hospitalisation due to road crashes, including those involving heavy vehicles. </w:t>
      </w:r>
      <w:r>
        <w:t>This shows that r</w:t>
      </w:r>
      <w:r w:rsidR="00D937D1" w:rsidRPr="00D937D1">
        <w:t xml:space="preserve">oad injury while driving a heavy vehicle accounted for </w:t>
      </w:r>
      <w:r w:rsidR="00CC6E82">
        <w:t>(</w:t>
      </w:r>
      <w:r w:rsidR="00D937D1" w:rsidRPr="00D937D1">
        <w:t>age-standardised rates</w:t>
      </w:r>
      <w:r w:rsidR="00CC6E82">
        <w:rPr>
          <w:rStyle w:val="CommentReference"/>
        </w:rPr>
        <w:t>)</w:t>
      </w:r>
      <w:r w:rsidR="00D937D1" w:rsidRPr="00D937D1">
        <w:t xml:space="preserve"> 4 cases per 100,000 population </w:t>
      </w:r>
      <w:r w:rsidR="00D937D1" w:rsidRPr="001C41BD">
        <w:t>(AIHW, 2018).</w:t>
      </w:r>
      <w:r w:rsidR="00D937D1" w:rsidRPr="00D937D1">
        <w:t xml:space="preserve"> </w:t>
      </w:r>
      <w:r>
        <w:t>2017-2018 is t</w:t>
      </w:r>
      <w:r w:rsidR="00D937D1" w:rsidRPr="00D937D1">
        <w:t xml:space="preserve">he most </w:t>
      </w:r>
      <w:r w:rsidR="00EC6AEA" w:rsidRPr="00D937D1">
        <w:t>recent data</w:t>
      </w:r>
      <w:r w:rsidR="00D937D1" w:rsidRPr="00D937D1">
        <w:t xml:space="preserve"> available </w:t>
      </w:r>
      <w:r>
        <w:t>and</w:t>
      </w:r>
      <w:r w:rsidR="00A13F97">
        <w:t xml:space="preserve"> </w:t>
      </w:r>
      <w:r w:rsidR="00D937D1" w:rsidRPr="00D937D1">
        <w:t>shows that</w:t>
      </w:r>
      <w:r w:rsidR="00A13F97">
        <w:t xml:space="preserve"> 1,824</w:t>
      </w:r>
      <w:r w:rsidR="00D937D1" w:rsidRPr="00D937D1">
        <w:t xml:space="preserve"> people were hospitalised from road crashes</w:t>
      </w:r>
      <w:r w:rsidR="00A13F97">
        <w:t xml:space="preserve"> involving heavy vehicles </w:t>
      </w:r>
      <w:r w:rsidR="00A13F97" w:rsidRPr="001C41BD">
        <w:t>(BITRE</w:t>
      </w:r>
      <w:r w:rsidR="00F560FB" w:rsidRPr="001C41BD">
        <w:t>, 2019b</w:t>
      </w:r>
      <w:r w:rsidR="00F560FB">
        <w:t xml:space="preserve">). Prior to these two years, </w:t>
      </w:r>
      <w:r w:rsidR="00D937D1" w:rsidRPr="00D937D1">
        <w:t xml:space="preserve">the </w:t>
      </w:r>
      <w:r w:rsidR="00F560FB">
        <w:t>previous five years of available data (2013 to 2016</w:t>
      </w:r>
      <w:r w:rsidR="00D937D1" w:rsidRPr="00D937D1">
        <w:t xml:space="preserve">) </w:t>
      </w:r>
      <w:r w:rsidR="008D47AD">
        <w:t xml:space="preserve">in </w:t>
      </w:r>
      <w:r w:rsidR="003C1D09">
        <w:t xml:space="preserve">Figure </w:t>
      </w:r>
      <w:r w:rsidR="008D49D8">
        <w:t>4</w:t>
      </w:r>
      <w:r w:rsidR="003C1D09">
        <w:t xml:space="preserve"> </w:t>
      </w:r>
      <w:r w:rsidR="00D937D1" w:rsidRPr="00D937D1">
        <w:t>show that close to</w:t>
      </w:r>
      <w:r w:rsidR="00F560FB">
        <w:t xml:space="preserve"> 1,773</w:t>
      </w:r>
      <w:r w:rsidR="00D937D1" w:rsidRPr="00D937D1">
        <w:t xml:space="preserve"> people are hospitalised each year</w:t>
      </w:r>
      <w:r w:rsidR="003C1D09">
        <w:t xml:space="preserve"> on average</w:t>
      </w:r>
      <w:r w:rsidR="00D937D1" w:rsidRPr="00D937D1">
        <w:t xml:space="preserve"> from road cr</w:t>
      </w:r>
      <w:r w:rsidR="008D47AD">
        <w:t xml:space="preserve">ashes involving heavy vehicles. </w:t>
      </w:r>
      <w:r w:rsidR="00D937D1" w:rsidRPr="00D937D1">
        <w:t xml:space="preserve">This indicates an increasing trend in hospitalised injuries as a result of heavy </w:t>
      </w:r>
      <w:r w:rsidR="006A1A13" w:rsidRPr="00D937D1">
        <w:t>vehicl</w:t>
      </w:r>
      <w:r w:rsidR="006A1A13">
        <w:t>es on</w:t>
      </w:r>
      <w:r w:rsidR="003C1D09">
        <w:t xml:space="preserve"> Australian roads</w:t>
      </w:r>
      <w:r>
        <w:t>, partly</w:t>
      </w:r>
      <w:r w:rsidR="003C1D09">
        <w:t xml:space="preserve"> due to the growth in the road freight task</w:t>
      </w:r>
      <w:r w:rsidR="00270B0C">
        <w:t xml:space="preserve"> over the last decade.</w:t>
      </w:r>
    </w:p>
    <w:p w14:paraId="059B98D2" w14:textId="77777777" w:rsidR="00F560FB" w:rsidRDefault="00F560FB" w:rsidP="003C1D09">
      <w:pPr>
        <w:keepNext/>
        <w:jc w:val="center"/>
      </w:pPr>
      <w:r>
        <w:rPr>
          <w:noProof/>
          <w:lang w:eastAsia="en-AU"/>
        </w:rPr>
        <w:drawing>
          <wp:inline distT="0" distB="0" distL="0" distR="0" wp14:anchorId="63114719" wp14:editId="28E17DC6">
            <wp:extent cx="5486400" cy="3139440"/>
            <wp:effectExtent l="0" t="0" r="0" b="381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3D42626B" w14:textId="6376172C" w:rsidR="00F560FB" w:rsidRDefault="00F560FB" w:rsidP="003C1D09">
      <w:pPr>
        <w:pStyle w:val="Caption"/>
        <w:jc w:val="center"/>
      </w:pPr>
      <w:r>
        <w:t xml:space="preserve">Figure </w:t>
      </w:r>
      <w:fldSimple w:instr=" SEQ Figure \* ARABIC ">
        <w:r w:rsidR="008E07C6">
          <w:rPr>
            <w:noProof/>
          </w:rPr>
          <w:t>4</w:t>
        </w:r>
      </w:fldSimple>
      <w:r>
        <w:t>: Hospitalised injuries i</w:t>
      </w:r>
      <w:r w:rsidRPr="00812FAF">
        <w:t>nvolving heavy trucks or buses by Gender</w:t>
      </w:r>
    </w:p>
    <w:p w14:paraId="36C66A34" w14:textId="77777777" w:rsidR="00B775C9" w:rsidRDefault="00B775C9" w:rsidP="00D937D1">
      <w:r w:rsidRPr="00B775C9">
        <w:t xml:space="preserve">Approximately 500 heavy truck occupants are hospitalised from road crashes each year. Of these, approximately 30 per cent are categorised with High-threat-to-life </w:t>
      </w:r>
      <w:r w:rsidRPr="001C41BD">
        <w:t>injuries</w:t>
      </w:r>
      <w:r w:rsidR="00C17E9E" w:rsidRPr="001C41BD">
        <w:t xml:space="preserve"> (ORS, 2021)</w:t>
      </w:r>
      <w:r w:rsidRPr="001C41BD">
        <w:t>.</w:t>
      </w:r>
    </w:p>
    <w:p w14:paraId="74E523BB" w14:textId="72F2A62F" w:rsidR="00C57631" w:rsidRDefault="00D937D1" w:rsidP="00D937D1">
      <w:pPr>
        <w:sectPr w:rsidR="00C57631" w:rsidSect="00D87AD8">
          <w:pgSz w:w="11906" w:h="16838" w:code="9"/>
          <w:pgMar w:top="1021" w:right="1021" w:bottom="1021" w:left="1021" w:header="510" w:footer="567" w:gutter="0"/>
          <w:cols w:space="708"/>
          <w:docGrid w:linePitch="360"/>
        </w:sectPr>
      </w:pPr>
      <w:r w:rsidRPr="00D937D1">
        <w:t xml:space="preserve">While not a perfect measure, hospital admission provides the best available indication of serious injury crashes in Australia. With current annual serious injury rates and crash data available, serious injury crashes involving heavy trucks and buses in Australia cost approximately $520 million each </w:t>
      </w:r>
      <w:r w:rsidRPr="007469A6">
        <w:t xml:space="preserve">year (MUARC, </w:t>
      </w:r>
      <w:r w:rsidR="007469A6" w:rsidRPr="007469A6">
        <w:t>2020</w:t>
      </w:r>
      <w:r w:rsidRPr="007469A6">
        <w:t>).</w:t>
      </w:r>
    </w:p>
    <w:p w14:paraId="1598AAC8" w14:textId="77777777" w:rsidR="00AF3413" w:rsidRPr="005F794B" w:rsidRDefault="0097692D" w:rsidP="00AF3413">
      <w:pPr>
        <w:pStyle w:val="Heading2"/>
      </w:pPr>
      <w:bookmarkStart w:id="13" w:name="_Toc100326775"/>
      <w:r>
        <w:lastRenderedPageBreak/>
        <w:t xml:space="preserve">Attributes </w:t>
      </w:r>
      <w:r w:rsidR="00AF3413">
        <w:t>of heavy vehicle crashes</w:t>
      </w:r>
      <w:bookmarkEnd w:id="13"/>
    </w:p>
    <w:p w14:paraId="1CDC7939" w14:textId="77777777" w:rsidR="0097692D" w:rsidRDefault="0097692D" w:rsidP="0097692D">
      <w:pPr>
        <w:pStyle w:val="Heading3"/>
      </w:pPr>
      <w:bookmarkStart w:id="14" w:name="_Toc100326776"/>
      <w:r>
        <w:t>Heavy vehicle factors</w:t>
      </w:r>
      <w:bookmarkEnd w:id="14"/>
    </w:p>
    <w:p w14:paraId="51234CE2" w14:textId="77777777" w:rsidR="00B50E95" w:rsidRDefault="00806A90" w:rsidP="005F794B">
      <w:r>
        <w:t>Heavy vehicles</w:t>
      </w:r>
      <w:r w:rsidRPr="00806A90">
        <w:t xml:space="preserve"> are defined as </w:t>
      </w:r>
      <w:r w:rsidR="00B50E95">
        <w:t xml:space="preserve">goods vehicles of over 3.5 tonnes Gross Vehicle Mass </w:t>
      </w:r>
      <w:r w:rsidRPr="00806A90">
        <w:t>(vehicle and load)</w:t>
      </w:r>
      <w:r w:rsidR="00B50E95">
        <w:t>. Heavy</w:t>
      </w:r>
      <w:r w:rsidRPr="00806A90">
        <w:t xml:space="preserve"> vehicles are over-involved in severe road </w:t>
      </w:r>
      <w:r w:rsidR="00B50E95">
        <w:t>crashes</w:t>
      </w:r>
      <w:r w:rsidRPr="00806A90">
        <w:t xml:space="preserve">, since their high mass leads to severe consequences for </w:t>
      </w:r>
      <w:r w:rsidR="00B50E95">
        <w:t>other road users involved in the event</w:t>
      </w:r>
      <w:r w:rsidRPr="00806A90">
        <w:t>. In view of this and the growth in heavy good</w:t>
      </w:r>
      <w:r w:rsidR="00FE6024">
        <w:t>s</w:t>
      </w:r>
      <w:r w:rsidRPr="00806A90">
        <w:t xml:space="preserve"> vehicle traffic internationally </w:t>
      </w:r>
      <w:r w:rsidR="00B50E95">
        <w:t xml:space="preserve">and locally </w:t>
      </w:r>
      <w:r w:rsidRPr="00806A90">
        <w:t xml:space="preserve">over the last </w:t>
      </w:r>
      <w:r w:rsidR="001100FF" w:rsidRPr="00806A90">
        <w:t>twenty</w:t>
      </w:r>
      <w:r w:rsidR="001100FF">
        <w:t>-</w:t>
      </w:r>
      <w:r w:rsidRPr="00806A90">
        <w:t xml:space="preserve">five years, the safety </w:t>
      </w:r>
      <w:r w:rsidR="00B50E95">
        <w:t xml:space="preserve">performance </w:t>
      </w:r>
      <w:r w:rsidRPr="00806A90">
        <w:t xml:space="preserve">of heavy goods vehicles continues to be strictly regulated in the best performing countries in road safety. </w:t>
      </w:r>
    </w:p>
    <w:p w14:paraId="52495763" w14:textId="6AB744BC" w:rsidR="00B50E95" w:rsidRDefault="001100FF" w:rsidP="005F794B">
      <w:r>
        <w:t>T</w:t>
      </w:r>
      <w:r w:rsidRPr="00B50E95">
        <w:t>here was a total of 20 people killed in crashes involving buses</w:t>
      </w:r>
      <w:r>
        <w:t xml:space="preserve"> in 2019. Despite their size,</w:t>
      </w:r>
      <w:r w:rsidR="00806A90" w:rsidRPr="00806A90">
        <w:t xml:space="preserve"> transport by bus and coach is considered the safest mode of road travel</w:t>
      </w:r>
      <w:r w:rsidR="00B50E95">
        <w:t xml:space="preserve">. </w:t>
      </w:r>
      <w:r w:rsidR="00F47199">
        <w:t>Interestingly, t</w:t>
      </w:r>
      <w:r w:rsidR="00B50E95" w:rsidRPr="00B50E95">
        <w:t>he trend over the last 10 years was a slight</w:t>
      </w:r>
      <w:r w:rsidR="00B50E95">
        <w:t xml:space="preserve"> annual increase</w:t>
      </w:r>
      <w:r w:rsidR="001A7411">
        <w:t xml:space="preserve"> in deaths</w:t>
      </w:r>
      <w:r w:rsidR="00B50E95">
        <w:t xml:space="preserve"> of 0.6 per cent </w:t>
      </w:r>
      <w:r w:rsidR="00B50E95" w:rsidRPr="001C41BD">
        <w:t>(BITRE,</w:t>
      </w:r>
      <w:r w:rsidR="000A3A4D" w:rsidRPr="001C41BD">
        <w:t xml:space="preserve"> </w:t>
      </w:r>
      <w:r w:rsidR="00B50E95" w:rsidRPr="001C41BD">
        <w:t>2021a).</w:t>
      </w:r>
    </w:p>
    <w:p w14:paraId="62AA5046" w14:textId="77777777" w:rsidR="00C6727B" w:rsidRDefault="00173328" w:rsidP="00173328">
      <w:r w:rsidRPr="00AE4D58">
        <w:t>The particular characteristics of these vehicles strongly influence – in a positive or negative way – the occurrence of road crashes and these characteristics relate to</w:t>
      </w:r>
      <w:r w:rsidR="00AE4D58">
        <w:t xml:space="preserve"> the:</w:t>
      </w:r>
    </w:p>
    <w:p w14:paraId="3AD66911" w14:textId="77777777" w:rsidR="00AE4D58" w:rsidRPr="00C96A81" w:rsidRDefault="00AE4D58" w:rsidP="00CB0804">
      <w:pPr>
        <w:pStyle w:val="ListParagraph"/>
        <w:numPr>
          <w:ilvl w:val="0"/>
          <w:numId w:val="16"/>
        </w:numPr>
        <w:rPr>
          <w:rFonts w:asciiTheme="minorHAnsi" w:hAnsiTheme="minorHAnsi" w:cstheme="minorHAnsi"/>
          <w:sz w:val="20"/>
        </w:rPr>
      </w:pPr>
      <w:r w:rsidRPr="00C96A81">
        <w:rPr>
          <w:rFonts w:asciiTheme="minorHAnsi" w:hAnsiTheme="minorHAnsi" w:cstheme="minorHAnsi"/>
          <w:sz w:val="20"/>
        </w:rPr>
        <w:t xml:space="preserve">vehicle </w:t>
      </w:r>
      <w:r w:rsidRPr="00C96A81">
        <w:rPr>
          <w:rFonts w:asciiTheme="minorHAnsi" w:hAnsiTheme="minorHAnsi" w:cstheme="minorHAnsi"/>
          <w:sz w:val="20"/>
        </w:rPr>
        <w:tab/>
      </w:r>
      <w:r w:rsidR="00C96A81">
        <w:rPr>
          <w:rFonts w:asciiTheme="minorHAnsi" w:hAnsiTheme="minorHAnsi" w:cstheme="minorHAnsi"/>
          <w:sz w:val="20"/>
        </w:rPr>
        <w:tab/>
      </w:r>
      <w:r w:rsidR="00173328" w:rsidRPr="00C96A81">
        <w:rPr>
          <w:rFonts w:asciiTheme="minorHAnsi" w:hAnsiTheme="minorHAnsi" w:cstheme="minorHAnsi"/>
          <w:sz w:val="20"/>
        </w:rPr>
        <w:t xml:space="preserve">different traction characteristics, </w:t>
      </w:r>
      <w:r w:rsidRPr="00C96A81">
        <w:rPr>
          <w:rFonts w:asciiTheme="minorHAnsi" w:hAnsiTheme="minorHAnsi" w:cstheme="minorHAnsi"/>
          <w:sz w:val="20"/>
        </w:rPr>
        <w:t>increased dimensions and weight</w:t>
      </w:r>
    </w:p>
    <w:p w14:paraId="4E8990A2" w14:textId="77777777" w:rsidR="00AE4D58" w:rsidRPr="00C96A81" w:rsidRDefault="00AE4D58" w:rsidP="00CB0804">
      <w:pPr>
        <w:pStyle w:val="ListParagraph"/>
        <w:numPr>
          <w:ilvl w:val="0"/>
          <w:numId w:val="16"/>
        </w:numPr>
        <w:rPr>
          <w:rFonts w:asciiTheme="minorHAnsi" w:hAnsiTheme="minorHAnsi" w:cstheme="minorHAnsi"/>
          <w:sz w:val="20"/>
        </w:rPr>
      </w:pPr>
      <w:r w:rsidRPr="00C96A81">
        <w:rPr>
          <w:rFonts w:asciiTheme="minorHAnsi" w:hAnsiTheme="minorHAnsi" w:cstheme="minorHAnsi"/>
          <w:sz w:val="20"/>
        </w:rPr>
        <w:t>driver</w:t>
      </w:r>
      <w:r w:rsidRPr="00C96A81">
        <w:rPr>
          <w:rFonts w:asciiTheme="minorHAnsi" w:hAnsiTheme="minorHAnsi" w:cstheme="minorHAnsi"/>
          <w:sz w:val="20"/>
        </w:rPr>
        <w:tab/>
      </w:r>
      <w:r w:rsidRPr="00C96A81">
        <w:rPr>
          <w:rFonts w:asciiTheme="minorHAnsi" w:hAnsiTheme="minorHAnsi" w:cstheme="minorHAnsi"/>
          <w:sz w:val="20"/>
        </w:rPr>
        <w:tab/>
        <w:t>professional heavy vehicle</w:t>
      </w:r>
      <w:r w:rsidR="00173328" w:rsidRPr="00C96A81">
        <w:rPr>
          <w:rFonts w:asciiTheme="minorHAnsi" w:hAnsiTheme="minorHAnsi" w:cstheme="minorHAnsi"/>
          <w:sz w:val="20"/>
        </w:rPr>
        <w:t xml:space="preserve"> d</w:t>
      </w:r>
      <w:r w:rsidRPr="00C96A81">
        <w:rPr>
          <w:rFonts w:asciiTheme="minorHAnsi" w:hAnsiTheme="minorHAnsi" w:cstheme="minorHAnsi"/>
          <w:sz w:val="20"/>
        </w:rPr>
        <w:t>rivers spend more time driving</w:t>
      </w:r>
    </w:p>
    <w:p w14:paraId="0E7E806E" w14:textId="77777777" w:rsidR="00C73875" w:rsidRPr="00C96A81" w:rsidRDefault="00173328" w:rsidP="00CB0804">
      <w:pPr>
        <w:pStyle w:val="ListParagraph"/>
        <w:numPr>
          <w:ilvl w:val="0"/>
          <w:numId w:val="16"/>
        </w:numPr>
        <w:rPr>
          <w:rFonts w:asciiTheme="minorHAnsi" w:hAnsiTheme="minorHAnsi" w:cstheme="minorHAnsi"/>
          <w:sz w:val="20"/>
        </w:rPr>
      </w:pPr>
      <w:r w:rsidRPr="00C96A81">
        <w:rPr>
          <w:rFonts w:asciiTheme="minorHAnsi" w:hAnsiTheme="minorHAnsi" w:cstheme="minorHAnsi"/>
          <w:sz w:val="20"/>
        </w:rPr>
        <w:t>vehi</w:t>
      </w:r>
      <w:r w:rsidR="00AE4D58" w:rsidRPr="00C96A81">
        <w:rPr>
          <w:rFonts w:asciiTheme="minorHAnsi" w:hAnsiTheme="minorHAnsi" w:cstheme="minorHAnsi"/>
          <w:sz w:val="20"/>
        </w:rPr>
        <w:t xml:space="preserve">cle use </w:t>
      </w:r>
      <w:r w:rsidR="00AE4D58" w:rsidRPr="00C96A81">
        <w:rPr>
          <w:rFonts w:asciiTheme="minorHAnsi" w:hAnsiTheme="minorHAnsi" w:cstheme="minorHAnsi"/>
          <w:sz w:val="20"/>
        </w:rPr>
        <w:tab/>
      </w:r>
      <w:r w:rsidRPr="00C96A81">
        <w:rPr>
          <w:rFonts w:asciiTheme="minorHAnsi" w:hAnsiTheme="minorHAnsi" w:cstheme="minorHAnsi"/>
          <w:sz w:val="20"/>
        </w:rPr>
        <w:t xml:space="preserve">commercial use must meet several efficiency </w:t>
      </w:r>
      <w:r w:rsidR="00C6727B" w:rsidRPr="00C96A81">
        <w:rPr>
          <w:rFonts w:asciiTheme="minorHAnsi" w:hAnsiTheme="minorHAnsi" w:cstheme="minorHAnsi"/>
          <w:sz w:val="20"/>
        </w:rPr>
        <w:t xml:space="preserve">and performance </w:t>
      </w:r>
      <w:r w:rsidRPr="00C96A81">
        <w:rPr>
          <w:rFonts w:asciiTheme="minorHAnsi" w:hAnsiTheme="minorHAnsi" w:cstheme="minorHAnsi"/>
          <w:sz w:val="20"/>
        </w:rPr>
        <w:t>criteria</w:t>
      </w:r>
    </w:p>
    <w:p w14:paraId="2611ACD1" w14:textId="77777777" w:rsidR="00605533" w:rsidRDefault="00605533" w:rsidP="00605533">
      <w:r>
        <w:t xml:space="preserve">Due to the mass of heavy goods vehicles and buses/coaches, people involved in collisions with these types of vehicles suffer the most severe consequences regardless </w:t>
      </w:r>
      <w:r w:rsidR="001100FF">
        <w:t xml:space="preserve">of them being </w:t>
      </w:r>
      <w:r>
        <w:t>occupants or outside the vehicles.</w:t>
      </w:r>
    </w:p>
    <w:p w14:paraId="0F1F91E4" w14:textId="78D4E6A5" w:rsidR="0097692D" w:rsidRDefault="0097692D" w:rsidP="0097692D">
      <w:pPr>
        <w:pStyle w:val="Heading3"/>
      </w:pPr>
      <w:bookmarkStart w:id="15" w:name="_Toc100326777"/>
      <w:r>
        <w:t>Driver factors</w:t>
      </w:r>
      <w:bookmarkEnd w:id="15"/>
    </w:p>
    <w:p w14:paraId="492C81A3" w14:textId="47FFF90E" w:rsidR="005E6AA4" w:rsidRDefault="005E6AA4" w:rsidP="00605533">
      <w:r w:rsidRPr="005E6AA4">
        <w:t xml:space="preserve">Distraction, fatigue, driver inexperience and error can be causal factors in heavy vehicle crashes. Risky driving behaviours and errors include excessive speed, violations of speed limits, excessive lateral acceleration on curves, unplanned lane departures, frequent hard braking, close following distances, lateral encroachment, </w:t>
      </w:r>
      <w:proofErr w:type="gramStart"/>
      <w:r w:rsidRPr="005E6AA4">
        <w:t>failure</w:t>
      </w:r>
      <w:proofErr w:type="gramEnd"/>
      <w:r w:rsidRPr="005E6AA4">
        <w:t xml:space="preserve"> to yield at intersections, distracted driving, and general disobedience of the rules of the road. Actions to reduce the extent of these factors have generally focused on heavy vehicle drivers and fleet managers. However, in fatal multi-vehicle crashes involving a heavy vehicle, another vehicle is at fault in up to 78 per cent of incidents </w:t>
      </w:r>
      <w:r w:rsidRPr="001C41BD">
        <w:t>(NTARC, 2021</w:t>
      </w:r>
      <w:r w:rsidRPr="005E6AA4">
        <w:t>). This trend has been consistent with previous years of NTARC crash data. Nonetheless, heavy vehicles have physical characteristics that increase the risk and severity of crashes, including a high gross mass, elevated centre of gravity, long vehicle length, reduced ability to manoeuvre, and relatively longer stopping distances. Heavy vehicle transportation continues to grow internationally and in Australia</w:t>
      </w:r>
      <w:r w:rsidR="001A68C5">
        <w:t>.</w:t>
      </w:r>
      <w:r w:rsidRPr="005E6AA4">
        <w:t xml:space="preserve"> </w:t>
      </w:r>
    </w:p>
    <w:p w14:paraId="4B7631B1" w14:textId="248E50A7" w:rsidR="001A68C5" w:rsidRPr="00AE4D58" w:rsidRDefault="001A68C5" w:rsidP="00605533">
      <w:r w:rsidRPr="001A68C5">
        <w:t>The work environment for the heavy vehicle driver poses many challenges</w:t>
      </w:r>
      <w:r w:rsidR="00E721DE">
        <w:t xml:space="preserve"> -</w:t>
      </w:r>
      <w:r w:rsidRPr="001A68C5">
        <w:t xml:space="preserve"> long distances, scheduling shifts, poor road and infrastructure quality, driver fatigue and inattention and vehicle or load-relate</w:t>
      </w:r>
      <w:r w:rsidRPr="000E42C6">
        <w:t xml:space="preserve">d issues (NHVR, 2021). </w:t>
      </w:r>
      <w:r w:rsidR="000B3CD7">
        <w:t xml:space="preserve">In addition, personal sleep disorders for heavy vehicle drivers such as sleep </w:t>
      </w:r>
      <w:proofErr w:type="spellStart"/>
      <w:r w:rsidR="000B3CD7">
        <w:t>apnea</w:t>
      </w:r>
      <w:proofErr w:type="spellEnd"/>
      <w:r w:rsidR="000B3CD7">
        <w:t xml:space="preserve"> can increase the risk of a heavy vehicle crash occurring </w:t>
      </w:r>
      <w:r w:rsidR="000B3CD7" w:rsidRPr="00DF4399">
        <w:t>(</w:t>
      </w:r>
      <w:proofErr w:type="spellStart"/>
      <w:proofErr w:type="gramStart"/>
      <w:r w:rsidR="000B3CD7" w:rsidRPr="00DF4399">
        <w:t>Meuleners</w:t>
      </w:r>
      <w:proofErr w:type="spellEnd"/>
      <w:r w:rsidR="001A7411" w:rsidRPr="00DF4399">
        <w:t xml:space="preserve"> </w:t>
      </w:r>
      <w:r w:rsidR="000B3CD7" w:rsidRPr="00DF4399">
        <w:t xml:space="preserve"> et</w:t>
      </w:r>
      <w:proofErr w:type="gramEnd"/>
      <w:r w:rsidR="000B3CD7" w:rsidRPr="00DF4399">
        <w:t xml:space="preserve"> al., 2015)</w:t>
      </w:r>
      <w:r w:rsidR="000B3CD7">
        <w:t xml:space="preserve">. </w:t>
      </w:r>
      <w:r w:rsidRPr="001A68C5">
        <w:t>In recent years, there has been increased research and development activity focussed on producing fatigue and/or distraction detection technologies for the transport industry. In the last five years, advances in computer technology, video software analyses and automation have resulted in wide-spread availability of low-cost detection technologies with a relatively high level of accuracy in detecting unsafe and high risk in-cab behaviours. Compared with the current prescriptive hours of work laws and regulations administered by the National Heavy Vehicle Regulator (NHVR), these technologies hold considerable promise in detecting unsafe and high-risk driving behaviours with a high degree of specificity and sensitivity.</w:t>
      </w:r>
    </w:p>
    <w:p w14:paraId="105D2739" w14:textId="77777777" w:rsidR="00AF3413" w:rsidRPr="005F794B" w:rsidRDefault="00AF3413" w:rsidP="00AF3413">
      <w:pPr>
        <w:pStyle w:val="Heading2"/>
      </w:pPr>
      <w:bookmarkStart w:id="16" w:name="_Toc100326778"/>
      <w:r>
        <w:t>Government actions to address heavy vehicle trauma</w:t>
      </w:r>
      <w:bookmarkEnd w:id="16"/>
    </w:p>
    <w:p w14:paraId="60B679F7" w14:textId="77777777" w:rsidR="00AF3413" w:rsidRDefault="00A70107" w:rsidP="00AF3413">
      <w:pPr>
        <w:rPr>
          <w:lang w:val="en-US"/>
        </w:rPr>
      </w:pPr>
      <w:r>
        <w:rPr>
          <w:lang w:val="en-US"/>
        </w:rPr>
        <w:t>A collective effort by the federal and state governments to increase</w:t>
      </w:r>
      <w:r w:rsidR="00720743">
        <w:rPr>
          <w:lang w:val="en-US"/>
        </w:rPr>
        <w:t xml:space="preserve"> the proportion of heavy vehicles on the road network with high quality primary safety </w:t>
      </w:r>
      <w:r w:rsidR="00DA6EC0">
        <w:rPr>
          <w:lang w:val="en-US"/>
        </w:rPr>
        <w:t xml:space="preserve">technologies </w:t>
      </w:r>
      <w:r w:rsidR="00720743">
        <w:rPr>
          <w:lang w:val="en-US"/>
        </w:rPr>
        <w:t xml:space="preserve">such as ABS, ESC, AEB, LKA and LDWS and secondary features such as driver, passenger and side curtain airbags and head protection technology, can achieve a progressive and significant reduction in </w:t>
      </w:r>
      <w:r w:rsidR="00720743">
        <w:rPr>
          <w:lang w:val="en-US"/>
        </w:rPr>
        <w:lastRenderedPageBreak/>
        <w:t xml:space="preserve">Australia’s road trauma levels. Early adoption of existing vehicle safety technology </w:t>
      </w:r>
      <w:r w:rsidR="00C766D1">
        <w:rPr>
          <w:lang w:val="en-US"/>
        </w:rPr>
        <w:t xml:space="preserve">has </w:t>
      </w:r>
      <w:r w:rsidR="00720743">
        <w:rPr>
          <w:lang w:val="en-US"/>
        </w:rPr>
        <w:t>provide</w:t>
      </w:r>
      <w:r w:rsidR="00C766D1">
        <w:rPr>
          <w:lang w:val="en-US"/>
        </w:rPr>
        <w:t>d</w:t>
      </w:r>
      <w:r w:rsidR="00720743">
        <w:rPr>
          <w:lang w:val="en-US"/>
        </w:rPr>
        <w:t xml:space="preserve"> important safety gains.</w:t>
      </w:r>
      <w:r w:rsidR="0025431D">
        <w:rPr>
          <w:lang w:val="en-US"/>
        </w:rPr>
        <w:t xml:space="preserve"> </w:t>
      </w:r>
      <w:r w:rsidR="0025431D" w:rsidRPr="0025431D">
        <w:rPr>
          <w:lang w:val="en-US"/>
        </w:rPr>
        <w:t>Through the Office of Road Safety</w:t>
      </w:r>
      <w:r w:rsidR="00C766D1">
        <w:rPr>
          <w:lang w:val="en-US"/>
        </w:rPr>
        <w:t xml:space="preserve"> (ORS)</w:t>
      </w:r>
      <w:r w:rsidR="0025431D" w:rsidRPr="0025431D">
        <w:rPr>
          <w:lang w:val="en-US"/>
        </w:rPr>
        <w:t>, the Australian Government allocates dedicated funding for a number of road safety programs.</w:t>
      </w:r>
    </w:p>
    <w:p w14:paraId="5371E4C7" w14:textId="77777777" w:rsidR="005A5FA1" w:rsidRDefault="005A5FA1" w:rsidP="005A5FA1">
      <w:pPr>
        <w:pStyle w:val="Heading3"/>
      </w:pPr>
      <w:bookmarkStart w:id="17" w:name="_Toc100326779"/>
      <w:r w:rsidRPr="005A5FA1">
        <w:t>Road Safety Programs</w:t>
      </w:r>
      <w:bookmarkEnd w:id="17"/>
    </w:p>
    <w:p w14:paraId="53627D49" w14:textId="77777777" w:rsidR="005A5FA1" w:rsidRDefault="005A5FA1" w:rsidP="005A5FA1">
      <w:r>
        <w:t>The Australian Government manages infrastructure and non-infrastructure programs that facilitate the work towards Vision Zero by federal, state, territory and local governments and the road safety sector. This includes:</w:t>
      </w:r>
    </w:p>
    <w:p w14:paraId="046D2EF1" w14:textId="77777777" w:rsidR="005A5FA1" w:rsidRPr="005A5FA1" w:rsidRDefault="005A5FA1" w:rsidP="00CB0804">
      <w:pPr>
        <w:pStyle w:val="ListParagraph"/>
        <w:numPr>
          <w:ilvl w:val="0"/>
          <w:numId w:val="18"/>
        </w:numPr>
        <w:rPr>
          <w:rFonts w:asciiTheme="minorHAnsi" w:hAnsiTheme="minorHAnsi" w:cstheme="minorHAnsi"/>
          <w:sz w:val="20"/>
        </w:rPr>
      </w:pPr>
      <w:r w:rsidRPr="005A5FA1">
        <w:rPr>
          <w:rFonts w:asciiTheme="minorHAnsi" w:hAnsiTheme="minorHAnsi" w:cstheme="minorHAnsi"/>
          <w:sz w:val="20"/>
        </w:rPr>
        <w:t>administering the Australian Government’s $25 billion, four-year road safety investment</w:t>
      </w:r>
    </w:p>
    <w:p w14:paraId="6BAE89B9" w14:textId="77777777" w:rsidR="005A5FA1" w:rsidRPr="005A5FA1" w:rsidRDefault="005A5FA1" w:rsidP="00CB0804">
      <w:pPr>
        <w:pStyle w:val="ListParagraph"/>
        <w:numPr>
          <w:ilvl w:val="0"/>
          <w:numId w:val="18"/>
        </w:numPr>
        <w:rPr>
          <w:rFonts w:asciiTheme="minorHAnsi" w:hAnsiTheme="minorHAnsi" w:cstheme="minorHAnsi"/>
          <w:sz w:val="20"/>
        </w:rPr>
      </w:pPr>
      <w:r w:rsidRPr="005A5FA1">
        <w:rPr>
          <w:rFonts w:asciiTheme="minorHAnsi" w:hAnsiTheme="minorHAnsi" w:cstheme="minorHAnsi"/>
          <w:sz w:val="20"/>
        </w:rPr>
        <w:t>administering grants for sector-led road safety initiatives</w:t>
      </w:r>
    </w:p>
    <w:p w14:paraId="21E66490" w14:textId="77777777" w:rsidR="005A5FA1" w:rsidRDefault="005A5FA1" w:rsidP="00CB0804">
      <w:pPr>
        <w:pStyle w:val="ListParagraph"/>
        <w:numPr>
          <w:ilvl w:val="0"/>
          <w:numId w:val="18"/>
        </w:numPr>
        <w:rPr>
          <w:rFonts w:asciiTheme="minorHAnsi" w:hAnsiTheme="minorHAnsi" w:cstheme="minorHAnsi"/>
          <w:sz w:val="20"/>
        </w:rPr>
      </w:pPr>
      <w:r w:rsidRPr="005A5FA1">
        <w:rPr>
          <w:rFonts w:asciiTheme="minorHAnsi" w:hAnsiTheme="minorHAnsi" w:cstheme="minorHAnsi"/>
          <w:sz w:val="20"/>
        </w:rPr>
        <w:t>developing new programs and initiatives to support the goal of Vision Zero by 2050 and interim targets set through the National Road Safety Strategy</w:t>
      </w:r>
    </w:p>
    <w:p w14:paraId="1EACA096" w14:textId="77777777" w:rsidR="005A5FA1" w:rsidRPr="005A5FA1" w:rsidRDefault="005A5FA1" w:rsidP="005A5FA1">
      <w:pPr>
        <w:pStyle w:val="Heading3"/>
        <w:rPr>
          <w:rFonts w:cstheme="minorHAnsi"/>
        </w:rPr>
      </w:pPr>
      <w:bookmarkStart w:id="18" w:name="_Toc100326780"/>
      <w:r w:rsidRPr="005A5FA1">
        <w:rPr>
          <w:rFonts w:cstheme="minorHAnsi"/>
        </w:rPr>
        <w:t xml:space="preserve">Heavy </w:t>
      </w:r>
      <w:r w:rsidRPr="005A5FA1">
        <w:t>Vehicle</w:t>
      </w:r>
      <w:r w:rsidRPr="005A5FA1">
        <w:rPr>
          <w:rFonts w:cstheme="minorHAnsi"/>
        </w:rPr>
        <w:t xml:space="preserve"> Safety Initiative (HVSI)</w:t>
      </w:r>
      <w:bookmarkEnd w:id="18"/>
    </w:p>
    <w:p w14:paraId="5F995DC7" w14:textId="77777777" w:rsidR="005A5FA1" w:rsidRPr="005A5FA1" w:rsidRDefault="005A5FA1" w:rsidP="005A5FA1">
      <w:r w:rsidRPr="005A5FA1">
        <w:t>The Heavy Vehicle Safety Initiative (HVSI) program supports implementable, value-for-money projects that deliver tangible improvements to heavy vehicle safety.</w:t>
      </w:r>
    </w:p>
    <w:p w14:paraId="19AF797B" w14:textId="4A2D3464" w:rsidR="005A5FA1" w:rsidRDefault="005A5FA1" w:rsidP="005A5FA1">
      <w:r w:rsidRPr="005A5FA1">
        <w:t xml:space="preserve">The grants program is administered by the NHVR on behalf of the Commonwealth Government, </w:t>
      </w:r>
      <w:r w:rsidR="00097DB5">
        <w:t xml:space="preserve">investing </w:t>
      </w:r>
      <w:r w:rsidRPr="005A5FA1">
        <w:t xml:space="preserve">over $28 million in 117 projects. </w:t>
      </w:r>
      <w:r w:rsidR="00097DB5" w:rsidRPr="005A5FA1">
        <w:t>O</w:t>
      </w:r>
      <w:r w:rsidR="00097DB5">
        <w:t>f</w:t>
      </w:r>
      <w:r w:rsidR="00097DB5" w:rsidRPr="005A5FA1">
        <w:t xml:space="preserve"> </w:t>
      </w:r>
      <w:r w:rsidRPr="005A5FA1">
        <w:t>the 6 rounds funded to date, successful projects are delivering outcomes aimed at making Australia’s roads safer for all users.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6"/>
        <w:gridCol w:w="3289"/>
        <w:gridCol w:w="3289"/>
      </w:tblGrid>
      <w:tr w:rsidR="00C766D1" w14:paraId="166748BB" w14:textId="77777777" w:rsidTr="00C86CCB">
        <w:tc>
          <w:tcPr>
            <w:tcW w:w="1666" w:type="pct"/>
          </w:tcPr>
          <w:p w14:paraId="7BD42385" w14:textId="77777777" w:rsidR="00C766D1" w:rsidRPr="00C86CCB" w:rsidRDefault="00C86CCB" w:rsidP="005A5FA1">
            <w:pPr>
              <w:rPr>
                <w:b/>
              </w:rPr>
            </w:pPr>
            <w:r w:rsidRPr="00C86CCB">
              <w:rPr>
                <w:b/>
              </w:rPr>
              <w:t>Organisation</w:t>
            </w:r>
          </w:p>
        </w:tc>
        <w:tc>
          <w:tcPr>
            <w:tcW w:w="1667" w:type="pct"/>
          </w:tcPr>
          <w:p w14:paraId="14639C3B" w14:textId="77777777" w:rsidR="00C766D1" w:rsidRPr="00C86CCB" w:rsidRDefault="00C86CCB" w:rsidP="005A5FA1">
            <w:pPr>
              <w:rPr>
                <w:b/>
              </w:rPr>
            </w:pPr>
            <w:r w:rsidRPr="00C86CCB">
              <w:rPr>
                <w:b/>
              </w:rPr>
              <w:t>Project Name</w:t>
            </w:r>
          </w:p>
        </w:tc>
        <w:tc>
          <w:tcPr>
            <w:tcW w:w="1667" w:type="pct"/>
          </w:tcPr>
          <w:p w14:paraId="4C6D4119" w14:textId="77777777" w:rsidR="00C766D1" w:rsidRPr="00C86CCB" w:rsidRDefault="00C86CCB" w:rsidP="005A5FA1">
            <w:pPr>
              <w:rPr>
                <w:b/>
              </w:rPr>
            </w:pPr>
            <w:r w:rsidRPr="00C86CCB">
              <w:rPr>
                <w:b/>
              </w:rPr>
              <w:t>Project Description</w:t>
            </w:r>
          </w:p>
        </w:tc>
      </w:tr>
      <w:tr w:rsidR="00C766D1" w14:paraId="752DCA01" w14:textId="77777777" w:rsidTr="00C86CCB">
        <w:tc>
          <w:tcPr>
            <w:tcW w:w="1666" w:type="pct"/>
          </w:tcPr>
          <w:p w14:paraId="135DEFF3" w14:textId="77777777" w:rsidR="00C766D1" w:rsidRDefault="00C766D1" w:rsidP="00C766D1">
            <w:r>
              <w:t>Metro Tasmania</w:t>
            </w:r>
          </w:p>
          <w:p w14:paraId="15CAF1BB" w14:textId="77777777" w:rsidR="00C766D1" w:rsidRDefault="00C766D1" w:rsidP="005A5FA1"/>
        </w:tc>
        <w:tc>
          <w:tcPr>
            <w:tcW w:w="1667" w:type="pct"/>
          </w:tcPr>
          <w:p w14:paraId="25A84C1B" w14:textId="77777777" w:rsidR="00C766D1" w:rsidRDefault="00C766D1" w:rsidP="005A5FA1">
            <w:r w:rsidRPr="00C766D1">
              <w:t>Intelligent Transport Advanced Driver Assistance Systems</w:t>
            </w:r>
          </w:p>
        </w:tc>
        <w:tc>
          <w:tcPr>
            <w:tcW w:w="1667" w:type="pct"/>
          </w:tcPr>
          <w:p w14:paraId="447C71FD" w14:textId="77777777" w:rsidR="00C766D1" w:rsidRDefault="00C766D1" w:rsidP="005A5FA1">
            <w:r w:rsidRPr="00C766D1">
              <w:t>Improve the safety of Tasmanian roads by reducing pedestrian fatalities, at fault collisions and enhancing driver performance through the installation of Mobileye advanced driver assistance technologies.</w:t>
            </w:r>
          </w:p>
        </w:tc>
      </w:tr>
      <w:tr w:rsidR="00C86CCB" w14:paraId="5D30241C" w14:textId="77777777" w:rsidTr="00C86CCB">
        <w:tc>
          <w:tcPr>
            <w:tcW w:w="1666" w:type="pct"/>
          </w:tcPr>
          <w:p w14:paraId="78AB730F" w14:textId="77777777" w:rsidR="00C86CCB" w:rsidRDefault="00C86CCB" w:rsidP="00C766D1">
            <w:r w:rsidRPr="00C86CCB">
              <w:t xml:space="preserve">Orange City Council and </w:t>
            </w:r>
            <w:proofErr w:type="spellStart"/>
            <w:r w:rsidRPr="00C86CCB">
              <w:t>Cabonne</w:t>
            </w:r>
            <w:proofErr w:type="spellEnd"/>
            <w:r w:rsidRPr="00C86CCB">
              <w:t xml:space="preserve"> Shire Council</w:t>
            </w:r>
          </w:p>
        </w:tc>
        <w:tc>
          <w:tcPr>
            <w:tcW w:w="1667" w:type="pct"/>
          </w:tcPr>
          <w:p w14:paraId="6469F976" w14:textId="77777777" w:rsidR="00C86CCB" w:rsidRPr="00C766D1" w:rsidRDefault="00C86CCB" w:rsidP="005A5FA1">
            <w:r w:rsidRPr="00C86CCB">
              <w:t>Power Nap - Don't Ignore the Early Warning Signs of Driver Fatigue</w:t>
            </w:r>
          </w:p>
        </w:tc>
        <w:tc>
          <w:tcPr>
            <w:tcW w:w="1667" w:type="pct"/>
          </w:tcPr>
          <w:p w14:paraId="50941D2D" w14:textId="77777777" w:rsidR="00C86CCB" w:rsidRPr="00C766D1" w:rsidRDefault="00C86CCB" w:rsidP="005A5FA1">
            <w:r w:rsidRPr="00C86CCB">
              <w:t>Intervention strategy delivering Power nap and Driver Fatigue Awareness Day, a behavioural change campaign. To improve safety and reduce stress and anxiety in Heavy Vehicle drivers.</w:t>
            </w:r>
          </w:p>
        </w:tc>
      </w:tr>
      <w:tr w:rsidR="00C86CCB" w14:paraId="527A8646" w14:textId="77777777" w:rsidTr="00C86CCB">
        <w:tc>
          <w:tcPr>
            <w:tcW w:w="1666" w:type="pct"/>
          </w:tcPr>
          <w:p w14:paraId="1AE61B11" w14:textId="77777777" w:rsidR="00C86CCB" w:rsidRPr="00C86CCB" w:rsidRDefault="00C86CCB" w:rsidP="00C766D1">
            <w:r w:rsidRPr="00C86CCB">
              <w:t>South Australian Road Transport</w:t>
            </w:r>
          </w:p>
        </w:tc>
        <w:tc>
          <w:tcPr>
            <w:tcW w:w="1667" w:type="pct"/>
          </w:tcPr>
          <w:p w14:paraId="08A92D4D" w14:textId="77777777" w:rsidR="00C86CCB" w:rsidRPr="00C86CCB" w:rsidRDefault="00C86CCB" w:rsidP="005A5FA1">
            <w:r w:rsidRPr="00C86CCB">
              <w:t>Heavy Vehicle Simulator</w:t>
            </w:r>
          </w:p>
        </w:tc>
        <w:tc>
          <w:tcPr>
            <w:tcW w:w="1667" w:type="pct"/>
          </w:tcPr>
          <w:p w14:paraId="5D3B9972" w14:textId="77777777" w:rsidR="00C86CCB" w:rsidRPr="00C86CCB" w:rsidRDefault="00C86CCB" w:rsidP="005A5FA1">
            <w:r w:rsidRPr="00C86CCB">
              <w:t xml:space="preserve">Purchase an </w:t>
            </w:r>
            <w:proofErr w:type="spellStart"/>
            <w:r w:rsidRPr="00C86CCB">
              <w:t>HVSim</w:t>
            </w:r>
            <w:proofErr w:type="spellEnd"/>
            <w:r w:rsidRPr="00C86CCB">
              <w:t xml:space="preserve"> to provide general heavy vehicle skills training, including driving on high risk routes in South Australia, fatigue management and research.</w:t>
            </w:r>
          </w:p>
        </w:tc>
      </w:tr>
      <w:tr w:rsidR="00C86CCB" w14:paraId="352725BA" w14:textId="77777777" w:rsidTr="00C86CCB">
        <w:tc>
          <w:tcPr>
            <w:tcW w:w="1666" w:type="pct"/>
          </w:tcPr>
          <w:p w14:paraId="417E1FCB" w14:textId="77777777" w:rsidR="00C86CCB" w:rsidRPr="00C86CCB" w:rsidRDefault="00C86CCB" w:rsidP="00C766D1">
            <w:r w:rsidRPr="00C86CCB">
              <w:t>Wodonga Institute of TAFE</w:t>
            </w:r>
          </w:p>
        </w:tc>
        <w:tc>
          <w:tcPr>
            <w:tcW w:w="1667" w:type="pct"/>
          </w:tcPr>
          <w:p w14:paraId="1E968BF6" w14:textId="77777777" w:rsidR="00C86CCB" w:rsidRPr="00C86CCB" w:rsidRDefault="00C86CCB" w:rsidP="005A5FA1">
            <w:r w:rsidRPr="00C86CCB">
              <w:t>Multi-media Advanced Emergency Braking (AEB) Project</w:t>
            </w:r>
          </w:p>
        </w:tc>
        <w:tc>
          <w:tcPr>
            <w:tcW w:w="1667" w:type="pct"/>
          </w:tcPr>
          <w:p w14:paraId="10840E59" w14:textId="77777777" w:rsidR="00C86CCB" w:rsidRPr="00C86CCB" w:rsidRDefault="00C86CCB" w:rsidP="005A5FA1">
            <w:r w:rsidRPr="00C86CCB">
              <w:t>Educate transport operators and drivers about the benefits of voluntary early adoption and limitations of Electronic Stability Control and Advanced Emergency Braking safety technologies.</w:t>
            </w:r>
          </w:p>
        </w:tc>
      </w:tr>
    </w:tbl>
    <w:p w14:paraId="39DF2FA8" w14:textId="77777777" w:rsidR="00C766D1" w:rsidRDefault="00C766D1" w:rsidP="005A5FA1"/>
    <w:p w14:paraId="423406C4" w14:textId="77777777" w:rsidR="00C766D1" w:rsidRDefault="00C766D1" w:rsidP="005A5FA1"/>
    <w:p w14:paraId="60F452A9" w14:textId="77777777" w:rsidR="005A5FA1" w:rsidRDefault="005A5FA1" w:rsidP="0025431D">
      <w:pPr>
        <w:pStyle w:val="Heading3"/>
      </w:pPr>
      <w:bookmarkStart w:id="19" w:name="_Toc100326781"/>
      <w:r>
        <w:lastRenderedPageBreak/>
        <w:t>Driver Reviver Site Upgrades</w:t>
      </w:r>
      <w:bookmarkEnd w:id="19"/>
    </w:p>
    <w:p w14:paraId="181405D9" w14:textId="77777777" w:rsidR="005A5FA1" w:rsidRDefault="005A5FA1" w:rsidP="005A5FA1">
      <w:r>
        <w:t>The Office of Road Safety is investing $8 million over two years to improve amenities at driver reviver locations nation-wide and to support the establishment of new sites.</w:t>
      </w:r>
    </w:p>
    <w:p w14:paraId="53311140" w14:textId="77777777" w:rsidR="00C766D1" w:rsidRPr="00C766D1" w:rsidRDefault="00C766D1" w:rsidP="00C766D1">
      <w:pPr>
        <w:rPr>
          <w:b/>
        </w:rPr>
      </w:pPr>
      <w:r w:rsidRPr="00C766D1">
        <w:rPr>
          <w:b/>
        </w:rPr>
        <w:t>Round one</w:t>
      </w:r>
    </w:p>
    <w:p w14:paraId="1C6F9FAA" w14:textId="77777777" w:rsidR="00C766D1" w:rsidRDefault="00C766D1" w:rsidP="00C766D1">
      <w:r>
        <w:t>Nearly $700,000 was shared by 22 organisations to purchase portable electronic variable message signs for 34 Driver Reviver sites around Australia under round one of the program.</w:t>
      </w:r>
    </w:p>
    <w:p w14:paraId="014D0751" w14:textId="77777777" w:rsidR="00C766D1" w:rsidRDefault="00C766D1" w:rsidP="00C766D1">
      <w:r>
        <w:t>These signs promote awareness for operational Driver Reviver sites and are available for other road safety messaging when not required at the Driver Reviver sites.</w:t>
      </w:r>
    </w:p>
    <w:p w14:paraId="031E57A4" w14:textId="77777777" w:rsidR="00C766D1" w:rsidRDefault="00C766D1" w:rsidP="00C766D1">
      <w:r w:rsidRPr="00C766D1">
        <w:rPr>
          <w:b/>
        </w:rPr>
        <w:t>Round two</w:t>
      </w:r>
    </w:p>
    <w:p w14:paraId="3E14DE4F" w14:textId="77777777" w:rsidR="00C766D1" w:rsidRDefault="00C766D1" w:rsidP="00C766D1">
      <w:r>
        <w:t>$7.2 million was committed under round two of the Driver Reviver program to upgrading 71 roadside rest areas across the country.</w:t>
      </w:r>
    </w:p>
    <w:p w14:paraId="41A156B9" w14:textId="77777777" w:rsidR="00C766D1" w:rsidRDefault="00C766D1" w:rsidP="00C766D1">
      <w:r>
        <w:t>Activities to be completed under round two, announced in September 2021 will include improvements to shelters, picnic tables, power and water facilities, barbeques, parking, lighting and kitchen facilities.</w:t>
      </w:r>
    </w:p>
    <w:p w14:paraId="6588D684" w14:textId="77777777" w:rsidR="00C766D1" w:rsidRPr="005A5FA1" w:rsidRDefault="00C766D1" w:rsidP="00C766D1">
      <w:r>
        <w:t>The upgrades will assist volunteers to better support motorists manage their fatigue on long journeys, reducing the risk of crashes causing deaths and serious injuries.</w:t>
      </w:r>
    </w:p>
    <w:p w14:paraId="4D9A6197" w14:textId="77777777" w:rsidR="002F23D2" w:rsidRDefault="0025431D" w:rsidP="002F23D2">
      <w:pPr>
        <w:pStyle w:val="Heading2"/>
      </w:pPr>
      <w:bookmarkStart w:id="20" w:name="_Toc100326782"/>
      <w:r>
        <w:t>State and Territory Government actions</w:t>
      </w:r>
      <w:bookmarkEnd w:id="20"/>
    </w:p>
    <w:p w14:paraId="369EBD51" w14:textId="77777777" w:rsidR="0025431D" w:rsidRDefault="0025431D" w:rsidP="0025431D">
      <w:r w:rsidRPr="0025431D">
        <w:t xml:space="preserve">State and territory governments target identified </w:t>
      </w:r>
      <w:r>
        <w:t xml:space="preserve">heavy </w:t>
      </w:r>
      <w:r w:rsidRPr="0025431D">
        <w:t>vehicle safety concerns through investment in research projects, education campaigns and strategic partnerships. Most jurisdictions have committed to ‘Towards Zero’ through their road safety strategies. The guiding vision is that no person should be killed or seriously injured on Australia’s roads: Safe road use, safe people, safe speeds and safe vehicles are the four cornerstones of this vision. Recognising that road safety is a complex issue, the strategies cover a range of actions, including campaigns that target:</w:t>
      </w:r>
    </w:p>
    <w:p w14:paraId="02D18FA4" w14:textId="77777777" w:rsidR="0025431D" w:rsidRPr="0025431D" w:rsidRDefault="0025431D" w:rsidP="00CB0804">
      <w:pPr>
        <w:pStyle w:val="ListParagraph"/>
        <w:numPr>
          <w:ilvl w:val="0"/>
          <w:numId w:val="19"/>
        </w:numPr>
        <w:autoSpaceDE/>
        <w:autoSpaceDN/>
        <w:adjustRightInd/>
        <w:spacing w:before="160" w:after="80" w:line="240" w:lineRule="auto"/>
        <w:textAlignment w:val="auto"/>
        <w:rPr>
          <w:rFonts w:asciiTheme="minorHAnsi" w:hAnsiTheme="minorHAnsi" w:cstheme="minorHAnsi"/>
          <w:sz w:val="20"/>
        </w:rPr>
      </w:pPr>
      <w:r w:rsidRPr="0025431D">
        <w:rPr>
          <w:rFonts w:asciiTheme="minorHAnsi" w:hAnsiTheme="minorHAnsi" w:cstheme="minorHAnsi"/>
          <w:sz w:val="20"/>
        </w:rPr>
        <w:t>Driver distraction awareness</w:t>
      </w:r>
    </w:p>
    <w:p w14:paraId="3C80376F" w14:textId="77777777" w:rsidR="0025431D" w:rsidRPr="0025431D" w:rsidRDefault="0025431D" w:rsidP="00CB0804">
      <w:pPr>
        <w:pStyle w:val="ListParagraph"/>
        <w:numPr>
          <w:ilvl w:val="0"/>
          <w:numId w:val="19"/>
        </w:numPr>
        <w:autoSpaceDE/>
        <w:autoSpaceDN/>
        <w:adjustRightInd/>
        <w:spacing w:before="160" w:after="80" w:line="240" w:lineRule="auto"/>
        <w:textAlignment w:val="auto"/>
        <w:rPr>
          <w:rFonts w:asciiTheme="minorHAnsi" w:hAnsiTheme="minorHAnsi" w:cstheme="minorHAnsi"/>
          <w:sz w:val="20"/>
        </w:rPr>
      </w:pPr>
      <w:r w:rsidRPr="0025431D">
        <w:rPr>
          <w:rFonts w:asciiTheme="minorHAnsi" w:hAnsiTheme="minorHAnsi" w:cstheme="minorHAnsi"/>
          <w:sz w:val="20"/>
        </w:rPr>
        <w:t>Safe driving</w:t>
      </w:r>
    </w:p>
    <w:p w14:paraId="1DDB614A" w14:textId="77777777" w:rsidR="0025431D" w:rsidRPr="0025431D" w:rsidRDefault="0025431D" w:rsidP="00CB0804">
      <w:pPr>
        <w:pStyle w:val="ListParagraph"/>
        <w:numPr>
          <w:ilvl w:val="0"/>
          <w:numId w:val="19"/>
        </w:numPr>
        <w:autoSpaceDE/>
        <w:autoSpaceDN/>
        <w:adjustRightInd/>
        <w:spacing w:before="160" w:after="80" w:line="240" w:lineRule="auto"/>
        <w:textAlignment w:val="auto"/>
        <w:rPr>
          <w:rFonts w:asciiTheme="minorHAnsi" w:hAnsiTheme="minorHAnsi" w:cstheme="minorHAnsi"/>
          <w:sz w:val="20"/>
        </w:rPr>
      </w:pPr>
      <w:r>
        <w:rPr>
          <w:rFonts w:asciiTheme="minorHAnsi" w:hAnsiTheme="minorHAnsi" w:cstheme="minorHAnsi"/>
          <w:sz w:val="20"/>
        </w:rPr>
        <w:t>R</w:t>
      </w:r>
      <w:r w:rsidRPr="0025431D">
        <w:rPr>
          <w:rFonts w:asciiTheme="minorHAnsi" w:hAnsiTheme="minorHAnsi" w:cstheme="minorHAnsi"/>
          <w:sz w:val="20"/>
        </w:rPr>
        <w:t>oad safety education and</w:t>
      </w:r>
    </w:p>
    <w:p w14:paraId="043014B3" w14:textId="77777777" w:rsidR="0025431D" w:rsidRDefault="0025431D" w:rsidP="00CB0804">
      <w:pPr>
        <w:pStyle w:val="ListParagraph"/>
        <w:numPr>
          <w:ilvl w:val="0"/>
          <w:numId w:val="19"/>
        </w:numPr>
        <w:autoSpaceDE/>
        <w:autoSpaceDN/>
        <w:adjustRightInd/>
        <w:spacing w:before="160" w:after="80" w:line="240" w:lineRule="auto"/>
        <w:textAlignment w:val="auto"/>
        <w:rPr>
          <w:rFonts w:asciiTheme="minorHAnsi" w:hAnsiTheme="minorHAnsi" w:cstheme="minorHAnsi"/>
          <w:sz w:val="20"/>
        </w:rPr>
      </w:pPr>
      <w:r w:rsidRPr="0025431D">
        <w:rPr>
          <w:rFonts w:asciiTheme="minorHAnsi" w:hAnsiTheme="minorHAnsi" w:cstheme="minorHAnsi"/>
          <w:sz w:val="20"/>
        </w:rPr>
        <w:t>Drivers to consider new and proven vehicle technology when purchasing a new vehicle.</w:t>
      </w:r>
    </w:p>
    <w:p w14:paraId="4396CF13" w14:textId="77777777" w:rsidR="00243707" w:rsidRPr="00243707" w:rsidRDefault="00243707" w:rsidP="00243707">
      <w:r>
        <w:t>Actions taken by state and territory governments to address heavy vehicle lane departure crashes include:</w:t>
      </w:r>
    </w:p>
    <w:p w14:paraId="0B92E0A6" w14:textId="77777777" w:rsidR="001A28F9" w:rsidRPr="00243707" w:rsidRDefault="001A28F9" w:rsidP="002F23D2">
      <w:pPr>
        <w:rPr>
          <w:b/>
          <w:lang w:val="en-US"/>
        </w:rPr>
      </w:pPr>
      <w:r w:rsidRPr="00243707">
        <w:rPr>
          <w:b/>
          <w:lang w:val="en-US"/>
        </w:rPr>
        <w:t>Australian Capital Territory</w:t>
      </w:r>
      <w:r w:rsidR="00243707" w:rsidRPr="00243707">
        <w:rPr>
          <w:b/>
          <w:lang w:val="en-US"/>
        </w:rPr>
        <w:t xml:space="preserve"> (ACT)</w:t>
      </w:r>
    </w:p>
    <w:p w14:paraId="1CC1047E" w14:textId="77777777" w:rsidR="001A28F9" w:rsidRDefault="00243707" w:rsidP="002F23D2">
      <w:pPr>
        <w:rPr>
          <w:lang w:val="en-US"/>
        </w:rPr>
      </w:pPr>
      <w:r w:rsidRPr="00243707">
        <w:rPr>
          <w:lang w:val="en-US"/>
        </w:rPr>
        <w:t xml:space="preserve">The ACT is currently undertaking an assessment of ACT road infrastructure for compatibility with </w:t>
      </w:r>
      <w:r>
        <w:rPr>
          <w:lang w:val="en-US"/>
        </w:rPr>
        <w:t>ADAS</w:t>
      </w:r>
      <w:r w:rsidRPr="00243707">
        <w:rPr>
          <w:lang w:val="en-US"/>
        </w:rPr>
        <w:t xml:space="preserve">. By digitally mapping the ACT road network using the Mobileye system, information about the suitability of the ACT road network for </w:t>
      </w:r>
      <w:r>
        <w:rPr>
          <w:lang w:val="en-US"/>
        </w:rPr>
        <w:t>ADAS</w:t>
      </w:r>
      <w:r w:rsidRPr="00243707">
        <w:rPr>
          <w:lang w:val="en-US"/>
        </w:rPr>
        <w:t xml:space="preserve"> technologies will be gathered. This will contribute to the effectiveness of LDWS.</w:t>
      </w:r>
    </w:p>
    <w:p w14:paraId="33D6147D" w14:textId="77777777" w:rsidR="00741BCE" w:rsidRPr="0079032E" w:rsidRDefault="00741BCE" w:rsidP="00741BCE">
      <w:pPr>
        <w:rPr>
          <w:b/>
          <w:lang w:val="en-US"/>
        </w:rPr>
      </w:pPr>
      <w:r w:rsidRPr="00243707">
        <w:rPr>
          <w:b/>
          <w:lang w:val="en-US"/>
        </w:rPr>
        <w:t>Victoria</w:t>
      </w:r>
    </w:p>
    <w:p w14:paraId="36DCDA86" w14:textId="77777777" w:rsidR="00243707" w:rsidRPr="00243707" w:rsidRDefault="00243707" w:rsidP="00243707">
      <w:pPr>
        <w:rPr>
          <w:lang w:val="en-US"/>
        </w:rPr>
      </w:pPr>
      <w:r w:rsidRPr="00243707">
        <w:rPr>
          <w:lang w:val="en-US"/>
        </w:rPr>
        <w:t xml:space="preserve">As there are a number of major road and rail projects underway across Victoria, there is an increasing presence of trucks on roads as they transport material, equipment and machinery. This means more potential interactions between </w:t>
      </w:r>
      <w:r>
        <w:rPr>
          <w:lang w:val="en-US"/>
        </w:rPr>
        <w:t>VRUs</w:t>
      </w:r>
      <w:r w:rsidRPr="00243707">
        <w:rPr>
          <w:lang w:val="en-US"/>
        </w:rPr>
        <w:t xml:space="preserve"> and trucks. In partnership with state government departments, non-government </w:t>
      </w:r>
      <w:proofErr w:type="spellStart"/>
      <w:r w:rsidRPr="00243707">
        <w:rPr>
          <w:lang w:val="en-US"/>
        </w:rPr>
        <w:t>organisations</w:t>
      </w:r>
      <w:proofErr w:type="spellEnd"/>
      <w:r w:rsidRPr="00243707">
        <w:rPr>
          <w:lang w:val="en-US"/>
        </w:rPr>
        <w:t xml:space="preserve"> and industry, the Construction Truck and Community Safety Project provides new tools and ways of working to improve safety for </w:t>
      </w:r>
      <w:r>
        <w:rPr>
          <w:lang w:val="en-US"/>
        </w:rPr>
        <w:t>VRU</w:t>
      </w:r>
      <w:r w:rsidRPr="00243707">
        <w:rPr>
          <w:lang w:val="en-US"/>
        </w:rPr>
        <w:t>s.</w:t>
      </w:r>
    </w:p>
    <w:p w14:paraId="51B81BB9" w14:textId="77777777" w:rsidR="00243707" w:rsidRPr="00243707" w:rsidRDefault="00243707" w:rsidP="00243707">
      <w:pPr>
        <w:rPr>
          <w:lang w:val="en-US"/>
        </w:rPr>
      </w:pPr>
      <w:r w:rsidRPr="00243707">
        <w:rPr>
          <w:lang w:val="en-US"/>
        </w:rPr>
        <w:t xml:space="preserve">The Victorian </w:t>
      </w:r>
      <w:r w:rsidR="0079032E">
        <w:rPr>
          <w:lang w:val="en-US"/>
        </w:rPr>
        <w:t>g</w:t>
      </w:r>
      <w:r w:rsidRPr="00243707">
        <w:rPr>
          <w:lang w:val="en-US"/>
        </w:rPr>
        <w:t>overnment is working to reduce the risks to vulnerable road users through a range of approaches including:</w:t>
      </w:r>
    </w:p>
    <w:p w14:paraId="1F0C6844" w14:textId="77777777" w:rsidR="00243707" w:rsidRPr="00D762EA" w:rsidRDefault="00243707" w:rsidP="00CB0804">
      <w:pPr>
        <w:pStyle w:val="ListParagraph"/>
        <w:numPr>
          <w:ilvl w:val="0"/>
          <w:numId w:val="20"/>
        </w:numPr>
        <w:rPr>
          <w:rFonts w:asciiTheme="minorHAnsi" w:hAnsiTheme="minorHAnsi" w:cstheme="minorBidi"/>
          <w:color w:val="000000" w:themeColor="text1"/>
          <w:kern w:val="12"/>
          <w:sz w:val="20"/>
          <w:szCs w:val="20"/>
          <w:lang w:val="en-US"/>
        </w:rPr>
      </w:pPr>
      <w:r w:rsidRPr="00D762EA">
        <w:rPr>
          <w:rFonts w:asciiTheme="minorHAnsi" w:hAnsiTheme="minorHAnsi" w:cstheme="minorBidi"/>
          <w:color w:val="000000" w:themeColor="text1"/>
          <w:kern w:val="12"/>
          <w:sz w:val="20"/>
          <w:szCs w:val="20"/>
          <w:lang w:val="en-US"/>
        </w:rPr>
        <w:t>fitting additional safety equipment to some heavy vehicles,</w:t>
      </w:r>
    </w:p>
    <w:p w14:paraId="3A08CD4C" w14:textId="77777777" w:rsidR="00243707" w:rsidRPr="00D762EA" w:rsidRDefault="00243707" w:rsidP="00CB0804">
      <w:pPr>
        <w:pStyle w:val="ListParagraph"/>
        <w:numPr>
          <w:ilvl w:val="0"/>
          <w:numId w:val="20"/>
        </w:numPr>
        <w:rPr>
          <w:rFonts w:asciiTheme="minorHAnsi" w:hAnsiTheme="minorHAnsi" w:cstheme="minorBidi"/>
          <w:color w:val="000000" w:themeColor="text1"/>
          <w:kern w:val="12"/>
          <w:sz w:val="20"/>
          <w:szCs w:val="20"/>
          <w:lang w:val="en-US"/>
        </w:rPr>
      </w:pPr>
      <w:r w:rsidRPr="00D762EA">
        <w:rPr>
          <w:rFonts w:asciiTheme="minorHAnsi" w:hAnsiTheme="minorHAnsi" w:cstheme="minorBidi"/>
          <w:color w:val="000000" w:themeColor="text1"/>
          <w:kern w:val="12"/>
          <w:sz w:val="20"/>
          <w:szCs w:val="20"/>
          <w:lang w:val="en-US"/>
        </w:rPr>
        <w:t>raising awareness with truck drivers on sharing the road with VRUs,</w:t>
      </w:r>
    </w:p>
    <w:p w14:paraId="7EB8B938" w14:textId="77777777" w:rsidR="00243707" w:rsidRPr="00D762EA" w:rsidRDefault="00243707" w:rsidP="00CB0804">
      <w:pPr>
        <w:pStyle w:val="ListParagraph"/>
        <w:numPr>
          <w:ilvl w:val="0"/>
          <w:numId w:val="20"/>
        </w:numPr>
        <w:rPr>
          <w:rFonts w:asciiTheme="minorHAnsi" w:hAnsiTheme="minorHAnsi" w:cstheme="minorBidi"/>
          <w:color w:val="000000" w:themeColor="text1"/>
          <w:kern w:val="12"/>
          <w:sz w:val="20"/>
          <w:szCs w:val="20"/>
          <w:lang w:val="en-US"/>
        </w:rPr>
      </w:pPr>
      <w:r w:rsidRPr="00D762EA">
        <w:rPr>
          <w:rFonts w:asciiTheme="minorHAnsi" w:hAnsiTheme="minorHAnsi" w:cstheme="minorBidi"/>
          <w:color w:val="000000" w:themeColor="text1"/>
          <w:kern w:val="12"/>
          <w:sz w:val="20"/>
          <w:szCs w:val="20"/>
          <w:lang w:val="en-US"/>
        </w:rPr>
        <w:t>improving the design of temporary road and footpath diversions around worksites, and</w:t>
      </w:r>
    </w:p>
    <w:p w14:paraId="0FA686AB" w14:textId="77777777" w:rsidR="00243707" w:rsidRPr="00D762EA" w:rsidRDefault="00243707" w:rsidP="00CB0804">
      <w:pPr>
        <w:pStyle w:val="ListParagraph"/>
        <w:numPr>
          <w:ilvl w:val="0"/>
          <w:numId w:val="20"/>
        </w:numPr>
        <w:rPr>
          <w:rFonts w:asciiTheme="minorHAnsi" w:hAnsiTheme="minorHAnsi" w:cstheme="minorBidi"/>
          <w:color w:val="000000" w:themeColor="text1"/>
          <w:kern w:val="12"/>
          <w:sz w:val="20"/>
          <w:szCs w:val="20"/>
          <w:lang w:val="en-US"/>
        </w:rPr>
      </w:pPr>
      <w:proofErr w:type="gramStart"/>
      <w:r w:rsidRPr="00D762EA">
        <w:rPr>
          <w:rFonts w:asciiTheme="minorHAnsi" w:hAnsiTheme="minorHAnsi" w:cstheme="minorBidi"/>
          <w:color w:val="000000" w:themeColor="text1"/>
          <w:kern w:val="12"/>
          <w:sz w:val="20"/>
          <w:szCs w:val="20"/>
          <w:lang w:val="en-US"/>
        </w:rPr>
        <w:lastRenderedPageBreak/>
        <w:t>providing</w:t>
      </w:r>
      <w:proofErr w:type="gramEnd"/>
      <w:r w:rsidRPr="00D762EA">
        <w:rPr>
          <w:rFonts w:asciiTheme="minorHAnsi" w:hAnsiTheme="minorHAnsi" w:cstheme="minorBidi"/>
          <w:color w:val="000000" w:themeColor="text1"/>
          <w:kern w:val="12"/>
          <w:sz w:val="20"/>
          <w:szCs w:val="20"/>
          <w:lang w:val="en-US"/>
        </w:rPr>
        <w:t xml:space="preserve"> information to VRUs about the safest </w:t>
      </w:r>
      <w:proofErr w:type="spellStart"/>
      <w:r w:rsidRPr="00D762EA">
        <w:rPr>
          <w:rFonts w:asciiTheme="minorHAnsi" w:hAnsiTheme="minorHAnsi" w:cstheme="minorBidi"/>
          <w:color w:val="000000" w:themeColor="text1"/>
          <w:kern w:val="12"/>
          <w:sz w:val="20"/>
          <w:szCs w:val="20"/>
          <w:lang w:val="en-US"/>
        </w:rPr>
        <w:t>behaviours</w:t>
      </w:r>
      <w:proofErr w:type="spellEnd"/>
      <w:r w:rsidRPr="00D762EA">
        <w:rPr>
          <w:rFonts w:asciiTheme="minorHAnsi" w:hAnsiTheme="minorHAnsi" w:cstheme="minorBidi"/>
          <w:color w:val="000000" w:themeColor="text1"/>
          <w:kern w:val="12"/>
          <w:sz w:val="20"/>
          <w:szCs w:val="20"/>
          <w:lang w:val="en-US"/>
        </w:rPr>
        <w:t xml:space="preserve"> around trucks.</w:t>
      </w:r>
    </w:p>
    <w:p w14:paraId="02890233" w14:textId="0FC87095" w:rsidR="00243707" w:rsidRPr="00243707" w:rsidRDefault="00F73F6F" w:rsidP="00243707">
      <w:pPr>
        <w:rPr>
          <w:lang w:val="en-US"/>
        </w:rPr>
      </w:pPr>
      <w:r>
        <w:rPr>
          <w:lang w:val="en-US"/>
        </w:rPr>
        <w:t>To improve the safety of</w:t>
      </w:r>
      <w:r w:rsidR="00243707" w:rsidRPr="00243707">
        <w:rPr>
          <w:lang w:val="en-US"/>
        </w:rPr>
        <w:t xml:space="preserve"> older vehicles, the Department of Transport (DoT) is monitoring the development and effectiveness of technology which can be retro-fitted in both light and heavy vehicles.</w:t>
      </w:r>
    </w:p>
    <w:p w14:paraId="5D261B38" w14:textId="77777777" w:rsidR="00243707" w:rsidRPr="00243707" w:rsidRDefault="00243707" w:rsidP="00243707">
      <w:pPr>
        <w:rPr>
          <w:lang w:val="en-US"/>
        </w:rPr>
      </w:pPr>
      <w:r w:rsidRPr="00243707">
        <w:rPr>
          <w:lang w:val="en-US"/>
        </w:rPr>
        <w:t xml:space="preserve">The Victorian </w:t>
      </w:r>
      <w:r w:rsidR="0079032E">
        <w:rPr>
          <w:lang w:val="en-US"/>
        </w:rPr>
        <w:t>g</w:t>
      </w:r>
      <w:r w:rsidRPr="00243707">
        <w:rPr>
          <w:lang w:val="en-US"/>
        </w:rPr>
        <w:t xml:space="preserve">overnment is working collaboratively with contractors to progressively fit safety equipment to some of the heavy vehicles servicing the higher risk worksites to enhance safety conditions for </w:t>
      </w:r>
      <w:r>
        <w:rPr>
          <w:lang w:val="en-US"/>
        </w:rPr>
        <w:t>VRUs</w:t>
      </w:r>
      <w:r w:rsidRPr="00243707">
        <w:rPr>
          <w:lang w:val="en-US"/>
        </w:rPr>
        <w:t>. This equipment includes:</w:t>
      </w:r>
    </w:p>
    <w:p w14:paraId="19EF1222" w14:textId="77777777" w:rsidR="00243707" w:rsidRPr="00D762EA" w:rsidRDefault="00243707" w:rsidP="00D762EA">
      <w:pPr>
        <w:pStyle w:val="ListParagraph"/>
        <w:numPr>
          <w:ilvl w:val="0"/>
          <w:numId w:val="20"/>
        </w:numPr>
        <w:rPr>
          <w:rFonts w:asciiTheme="minorHAnsi" w:hAnsiTheme="minorHAnsi" w:cstheme="minorBidi"/>
          <w:color w:val="000000" w:themeColor="text1"/>
          <w:kern w:val="12"/>
          <w:sz w:val="20"/>
          <w:szCs w:val="20"/>
          <w:lang w:val="en-US"/>
        </w:rPr>
      </w:pPr>
      <w:r w:rsidRPr="00D762EA">
        <w:rPr>
          <w:rFonts w:asciiTheme="minorHAnsi" w:hAnsiTheme="minorHAnsi" w:cstheme="minorBidi"/>
          <w:color w:val="000000" w:themeColor="text1"/>
          <w:kern w:val="12"/>
          <w:sz w:val="20"/>
          <w:szCs w:val="20"/>
          <w:lang w:val="en-US"/>
        </w:rPr>
        <w:t>side under-run protection,</w:t>
      </w:r>
    </w:p>
    <w:p w14:paraId="03976438" w14:textId="77777777" w:rsidR="00243707" w:rsidRPr="00D762EA" w:rsidRDefault="00243707" w:rsidP="00D762EA">
      <w:pPr>
        <w:pStyle w:val="ListParagraph"/>
        <w:numPr>
          <w:ilvl w:val="0"/>
          <w:numId w:val="20"/>
        </w:numPr>
        <w:rPr>
          <w:rFonts w:asciiTheme="minorHAnsi" w:hAnsiTheme="minorHAnsi" w:cstheme="minorBidi"/>
          <w:color w:val="000000" w:themeColor="text1"/>
          <w:kern w:val="12"/>
          <w:sz w:val="20"/>
          <w:szCs w:val="20"/>
          <w:lang w:val="en-US"/>
        </w:rPr>
      </w:pPr>
      <w:r w:rsidRPr="00D762EA">
        <w:rPr>
          <w:rFonts w:asciiTheme="minorHAnsi" w:hAnsiTheme="minorHAnsi" w:cstheme="minorBidi"/>
          <w:color w:val="000000" w:themeColor="text1"/>
          <w:kern w:val="12"/>
          <w:sz w:val="20"/>
          <w:szCs w:val="20"/>
          <w:lang w:val="en-US"/>
        </w:rPr>
        <w:t>cameras, mirrors and sensors to eliminate blind spots,</w:t>
      </w:r>
    </w:p>
    <w:p w14:paraId="61EC5EDB" w14:textId="77777777" w:rsidR="00243707" w:rsidRPr="00D762EA" w:rsidRDefault="00243707" w:rsidP="00D762EA">
      <w:pPr>
        <w:pStyle w:val="ListParagraph"/>
        <w:numPr>
          <w:ilvl w:val="0"/>
          <w:numId w:val="20"/>
        </w:numPr>
        <w:rPr>
          <w:rFonts w:asciiTheme="minorHAnsi" w:hAnsiTheme="minorHAnsi" w:cstheme="minorBidi"/>
          <w:color w:val="000000" w:themeColor="text1"/>
          <w:kern w:val="12"/>
          <w:sz w:val="20"/>
          <w:szCs w:val="20"/>
          <w:lang w:val="en-US"/>
        </w:rPr>
      </w:pPr>
      <w:r w:rsidRPr="00D762EA">
        <w:rPr>
          <w:rFonts w:asciiTheme="minorHAnsi" w:hAnsiTheme="minorHAnsi" w:cstheme="minorBidi"/>
          <w:color w:val="000000" w:themeColor="text1"/>
          <w:kern w:val="12"/>
          <w:sz w:val="20"/>
          <w:szCs w:val="20"/>
          <w:lang w:val="en-US"/>
        </w:rPr>
        <w:t xml:space="preserve">signage warning </w:t>
      </w:r>
      <w:r w:rsidR="0079032E" w:rsidRPr="00D762EA">
        <w:rPr>
          <w:rFonts w:asciiTheme="minorHAnsi" w:hAnsiTheme="minorHAnsi" w:cstheme="minorBidi"/>
          <w:color w:val="000000" w:themeColor="text1"/>
          <w:kern w:val="12"/>
          <w:sz w:val="20"/>
          <w:szCs w:val="20"/>
          <w:lang w:val="en-US"/>
        </w:rPr>
        <w:t>VRUs</w:t>
      </w:r>
      <w:r w:rsidRPr="00D762EA">
        <w:rPr>
          <w:rFonts w:asciiTheme="minorHAnsi" w:hAnsiTheme="minorHAnsi" w:cstheme="minorBidi"/>
          <w:color w:val="000000" w:themeColor="text1"/>
          <w:kern w:val="12"/>
          <w:sz w:val="20"/>
          <w:szCs w:val="20"/>
          <w:lang w:val="en-US"/>
        </w:rPr>
        <w:t xml:space="preserve"> about blind spots, and</w:t>
      </w:r>
    </w:p>
    <w:p w14:paraId="43FFDF56" w14:textId="77777777" w:rsidR="00243707" w:rsidRPr="00D762EA" w:rsidRDefault="00243707" w:rsidP="00D762EA">
      <w:pPr>
        <w:pStyle w:val="ListParagraph"/>
        <w:numPr>
          <w:ilvl w:val="0"/>
          <w:numId w:val="20"/>
        </w:numPr>
        <w:rPr>
          <w:rFonts w:asciiTheme="minorHAnsi" w:hAnsiTheme="minorHAnsi" w:cstheme="minorBidi"/>
          <w:color w:val="000000" w:themeColor="text1"/>
          <w:kern w:val="12"/>
          <w:sz w:val="20"/>
          <w:szCs w:val="20"/>
          <w:lang w:val="en-US"/>
        </w:rPr>
      </w:pPr>
      <w:proofErr w:type="gramStart"/>
      <w:r w:rsidRPr="00D762EA">
        <w:rPr>
          <w:rFonts w:asciiTheme="minorHAnsi" w:hAnsiTheme="minorHAnsi" w:cstheme="minorBidi"/>
          <w:color w:val="000000" w:themeColor="text1"/>
          <w:kern w:val="12"/>
          <w:sz w:val="20"/>
          <w:szCs w:val="20"/>
          <w:lang w:val="en-US"/>
        </w:rPr>
        <w:t>devices</w:t>
      </w:r>
      <w:proofErr w:type="gramEnd"/>
      <w:r w:rsidRPr="00D762EA">
        <w:rPr>
          <w:rFonts w:asciiTheme="minorHAnsi" w:hAnsiTheme="minorHAnsi" w:cstheme="minorBidi"/>
          <w:color w:val="000000" w:themeColor="text1"/>
          <w:kern w:val="12"/>
          <w:sz w:val="20"/>
          <w:szCs w:val="20"/>
          <w:lang w:val="en-US"/>
        </w:rPr>
        <w:t xml:space="preserve"> to sound a warning when the vehicle is about to turn left.</w:t>
      </w:r>
    </w:p>
    <w:p w14:paraId="4A27AFAC" w14:textId="77777777" w:rsidR="00243707" w:rsidRPr="00243707" w:rsidRDefault="0079032E" w:rsidP="00243707">
      <w:pPr>
        <w:rPr>
          <w:lang w:val="en-US"/>
        </w:rPr>
      </w:pPr>
      <w:r>
        <w:rPr>
          <w:lang w:val="en-US"/>
        </w:rPr>
        <w:t>The Victorian government notes that g</w:t>
      </w:r>
      <w:r w:rsidR="00243707" w:rsidRPr="00243707">
        <w:rPr>
          <w:lang w:val="en-US"/>
        </w:rPr>
        <w:t xml:space="preserve">enerally, </w:t>
      </w:r>
      <w:r>
        <w:rPr>
          <w:lang w:val="en-US"/>
        </w:rPr>
        <w:t xml:space="preserve">ADAS </w:t>
      </w:r>
      <w:r w:rsidR="00243707" w:rsidRPr="00243707">
        <w:rPr>
          <w:lang w:val="en-US"/>
        </w:rPr>
        <w:t xml:space="preserve">such as </w:t>
      </w:r>
      <w:r>
        <w:rPr>
          <w:lang w:val="en-US"/>
        </w:rPr>
        <w:t>AEB</w:t>
      </w:r>
      <w:r w:rsidR="00243707" w:rsidRPr="00243707">
        <w:rPr>
          <w:lang w:val="en-US"/>
        </w:rPr>
        <w:t xml:space="preserve">, </w:t>
      </w:r>
      <w:r>
        <w:rPr>
          <w:lang w:val="en-US"/>
        </w:rPr>
        <w:t>LKA</w:t>
      </w:r>
      <w:r w:rsidR="00243707" w:rsidRPr="00243707">
        <w:rPr>
          <w:lang w:val="en-US"/>
        </w:rPr>
        <w:t xml:space="preserve"> and fatigue detection can only be fitted by the vehicle manufacturer.  These technologies require extensive development and complex calibration for them to operate safely and reliably with other systems in the vehicle.  Accordingly, it is expensive and often not possible for these systems to be retro-fitted.  </w:t>
      </w:r>
    </w:p>
    <w:p w14:paraId="6F8B339F" w14:textId="77777777" w:rsidR="00243707" w:rsidRPr="00243707" w:rsidRDefault="00243707" w:rsidP="00243707">
      <w:pPr>
        <w:rPr>
          <w:lang w:val="en-US"/>
        </w:rPr>
      </w:pPr>
      <w:r w:rsidRPr="00243707">
        <w:rPr>
          <w:lang w:val="en-US"/>
        </w:rPr>
        <w:t>Considerations have been made to include these advanced safety systems that cannot be easily nor readily retrofitted onto in-service heavy vehicles for future contracts. On a contract-by-contract basis where new vehicles are required to be purchased, they will require safety technologies such as</w:t>
      </w:r>
      <w:r w:rsidR="0079032E">
        <w:rPr>
          <w:lang w:val="en-US"/>
        </w:rPr>
        <w:t xml:space="preserve"> LDWS</w:t>
      </w:r>
      <w:r w:rsidRPr="00243707">
        <w:rPr>
          <w:lang w:val="en-US"/>
        </w:rPr>
        <w:t>. After-market products which provide audible, visual and haptic warnings to drivers continue to be monitored to assess the effectiveness and feasibility for retro-fitting.</w:t>
      </w:r>
    </w:p>
    <w:p w14:paraId="4A48484E" w14:textId="5CC82D4E" w:rsidR="00243707" w:rsidRPr="00243707" w:rsidRDefault="00F73F6F" w:rsidP="00243707">
      <w:pPr>
        <w:rPr>
          <w:lang w:val="en-US"/>
        </w:rPr>
      </w:pPr>
      <w:r>
        <w:rPr>
          <w:lang w:val="en-US"/>
        </w:rPr>
        <w:t>T</w:t>
      </w:r>
      <w:r w:rsidR="00243707" w:rsidRPr="00243707">
        <w:rPr>
          <w:lang w:val="en-US"/>
        </w:rPr>
        <w:t xml:space="preserve">he European Union has identified 15 safety features for vehicles (including </w:t>
      </w:r>
      <w:r w:rsidR="0079032E">
        <w:rPr>
          <w:lang w:val="en-US"/>
        </w:rPr>
        <w:t>AEB</w:t>
      </w:r>
      <w:r w:rsidR="00243707" w:rsidRPr="00243707">
        <w:rPr>
          <w:lang w:val="en-US"/>
        </w:rPr>
        <w:t xml:space="preserve">, </w:t>
      </w:r>
      <w:r w:rsidR="0079032E">
        <w:rPr>
          <w:lang w:val="en-US"/>
        </w:rPr>
        <w:t>LKA</w:t>
      </w:r>
      <w:r w:rsidR="00243707" w:rsidRPr="00243707">
        <w:rPr>
          <w:lang w:val="en-US"/>
        </w:rPr>
        <w:t xml:space="preserve">, </w:t>
      </w:r>
      <w:r w:rsidR="0079032E">
        <w:rPr>
          <w:lang w:val="en-US"/>
        </w:rPr>
        <w:t>ISA</w:t>
      </w:r>
      <w:r w:rsidR="00243707" w:rsidRPr="00243707">
        <w:rPr>
          <w:lang w:val="en-US"/>
        </w:rPr>
        <w:t xml:space="preserve"> and fatigue detection technology) to be adopted for new models from 2022,</w:t>
      </w:r>
      <w:r>
        <w:rPr>
          <w:lang w:val="en-US"/>
        </w:rPr>
        <w:t xml:space="preserve"> and</w:t>
      </w:r>
      <w:r w:rsidR="00243707" w:rsidRPr="00243707">
        <w:rPr>
          <w:lang w:val="en-US"/>
        </w:rPr>
        <w:t xml:space="preserve"> R</w:t>
      </w:r>
      <w:r w:rsidR="0079032E">
        <w:rPr>
          <w:lang w:val="en-US"/>
        </w:rPr>
        <w:t xml:space="preserve">oad </w:t>
      </w:r>
      <w:r w:rsidR="00243707" w:rsidRPr="00243707">
        <w:rPr>
          <w:lang w:val="en-US"/>
        </w:rPr>
        <w:t>S</w:t>
      </w:r>
      <w:r w:rsidR="0079032E">
        <w:rPr>
          <w:lang w:val="en-US"/>
        </w:rPr>
        <w:t xml:space="preserve">afety </w:t>
      </w:r>
      <w:r w:rsidR="00243707" w:rsidRPr="00243707">
        <w:rPr>
          <w:lang w:val="en-US"/>
        </w:rPr>
        <w:t>V</w:t>
      </w:r>
      <w:r w:rsidR="0079032E">
        <w:rPr>
          <w:lang w:val="en-US"/>
        </w:rPr>
        <w:t>ictoria</w:t>
      </w:r>
      <w:r w:rsidR="00243707" w:rsidRPr="00243707">
        <w:rPr>
          <w:lang w:val="en-US"/>
        </w:rPr>
        <w:t xml:space="preserve"> will continue to work with the </w:t>
      </w:r>
      <w:r>
        <w:rPr>
          <w:lang w:val="en-US"/>
        </w:rPr>
        <w:t>DITRDC</w:t>
      </w:r>
      <w:r w:rsidR="00243707" w:rsidRPr="00243707">
        <w:rPr>
          <w:lang w:val="en-US"/>
        </w:rPr>
        <w:t xml:space="preserve"> to expedite the adoption of international regulations, including these safety features, into the ADRs. </w:t>
      </w:r>
    </w:p>
    <w:p w14:paraId="520AC7C1" w14:textId="70D0658C" w:rsidR="00741BCE" w:rsidRPr="00243707" w:rsidRDefault="0079032E" w:rsidP="00243707">
      <w:pPr>
        <w:rPr>
          <w:lang w:val="en-US"/>
        </w:rPr>
      </w:pPr>
      <w:r>
        <w:rPr>
          <w:lang w:val="en-US"/>
        </w:rPr>
        <w:t>The DoT</w:t>
      </w:r>
      <w:r w:rsidR="00243707" w:rsidRPr="00243707">
        <w:rPr>
          <w:lang w:val="en-US"/>
        </w:rPr>
        <w:t xml:space="preserve"> has designed and developed two e-Learning online courses to help educate fleet owners on the importance of ADAS in reducing road trauma. The courses help participants to make informed decisions and to only purchase the safest vehicle for their needs. DoT is exploring ways to roll these courses out to the wider community including heavy vehicle fleet operators.</w:t>
      </w:r>
    </w:p>
    <w:p w14:paraId="029E14C7" w14:textId="77777777" w:rsidR="00741BCE" w:rsidRPr="000120A2" w:rsidRDefault="00741BCE" w:rsidP="00741BCE">
      <w:pPr>
        <w:rPr>
          <w:b/>
          <w:lang w:val="en-US"/>
        </w:rPr>
      </w:pPr>
      <w:r w:rsidRPr="000120A2">
        <w:rPr>
          <w:b/>
          <w:lang w:val="en-US"/>
        </w:rPr>
        <w:t>New South Wales</w:t>
      </w:r>
    </w:p>
    <w:p w14:paraId="058FCBB9" w14:textId="14E3EDFC" w:rsidR="00A51A48" w:rsidRDefault="00A51A48" w:rsidP="00A51A48">
      <w:pPr>
        <w:rPr>
          <w:lang w:val="en-US"/>
        </w:rPr>
      </w:pPr>
      <w:r w:rsidRPr="00A51A48">
        <w:rPr>
          <w:lang w:val="en-US"/>
        </w:rPr>
        <w:t xml:space="preserve">The NSW Government fleet operational guidelines </w:t>
      </w:r>
      <w:r w:rsidRPr="00DF4399">
        <w:rPr>
          <w:lang w:val="en-US"/>
        </w:rPr>
        <w:t>(</w:t>
      </w:r>
      <w:r w:rsidRPr="00DF4399">
        <w:rPr>
          <w:i/>
          <w:lang w:val="en-US"/>
        </w:rPr>
        <w:t>Motor Vehicle Operational Guidelines</w:t>
      </w:r>
      <w:r w:rsidR="00582E2B" w:rsidRPr="00DF4399">
        <w:rPr>
          <w:lang w:val="en-US"/>
        </w:rPr>
        <w:t xml:space="preserve"> (</w:t>
      </w:r>
      <w:r w:rsidR="00DF4399">
        <w:rPr>
          <w:lang w:val="en-US"/>
        </w:rPr>
        <w:t xml:space="preserve">NSW Government, </w:t>
      </w:r>
      <w:r w:rsidR="00582E2B" w:rsidRPr="00DF4399">
        <w:rPr>
          <w:lang w:val="en-US"/>
        </w:rPr>
        <w:t>2021))</w:t>
      </w:r>
      <w:r w:rsidR="00582E2B">
        <w:rPr>
          <w:lang w:val="en-US"/>
        </w:rPr>
        <w:t xml:space="preserve"> </w:t>
      </w:r>
      <w:r w:rsidRPr="00582E2B">
        <w:rPr>
          <w:lang w:val="en-US"/>
        </w:rPr>
        <w:t>requires</w:t>
      </w:r>
      <w:r w:rsidR="00582E2B">
        <w:rPr>
          <w:lang w:val="en-US"/>
        </w:rPr>
        <w:t>,</w:t>
      </w:r>
      <w:r w:rsidRPr="00A51A48">
        <w:rPr>
          <w:lang w:val="en-US"/>
        </w:rPr>
        <w:t xml:space="preserve"> where practicable and available</w:t>
      </w:r>
      <w:r w:rsidR="00582E2B">
        <w:rPr>
          <w:lang w:val="en-US"/>
        </w:rPr>
        <w:t>,</w:t>
      </w:r>
      <w:r w:rsidRPr="00A51A48">
        <w:rPr>
          <w:lang w:val="en-US"/>
        </w:rPr>
        <w:t xml:space="preserve"> LDW</w:t>
      </w:r>
      <w:r>
        <w:rPr>
          <w:lang w:val="en-US"/>
        </w:rPr>
        <w:t>S</w:t>
      </w:r>
      <w:r w:rsidRPr="00A51A48">
        <w:rPr>
          <w:lang w:val="en-US"/>
        </w:rPr>
        <w:t xml:space="preserve"> for heavy vehicle</w:t>
      </w:r>
      <w:r>
        <w:rPr>
          <w:lang w:val="en-US"/>
        </w:rPr>
        <w:t>s. These</w:t>
      </w:r>
      <w:r w:rsidRPr="00A51A48">
        <w:rPr>
          <w:lang w:val="en-US"/>
        </w:rPr>
        <w:t xml:space="preserve"> guidelines inform the Motor Vehicle Scheme, which covers the supply of motor vehic</w:t>
      </w:r>
      <w:r>
        <w:rPr>
          <w:lang w:val="en-US"/>
        </w:rPr>
        <w:t xml:space="preserve">les to the NSW </w:t>
      </w:r>
      <w:r w:rsidR="006A24C4">
        <w:rPr>
          <w:lang w:val="en-US"/>
        </w:rPr>
        <w:t>G</w:t>
      </w:r>
      <w:r>
        <w:rPr>
          <w:lang w:val="en-US"/>
        </w:rPr>
        <w:t>overnment fleet.</w:t>
      </w:r>
    </w:p>
    <w:p w14:paraId="788718E0" w14:textId="5C83502B" w:rsidR="00741BCE" w:rsidRDefault="00A51A48" w:rsidP="00A51A48">
      <w:pPr>
        <w:rPr>
          <w:lang w:val="en-US"/>
        </w:rPr>
      </w:pPr>
      <w:r w:rsidRPr="00A51A48">
        <w:rPr>
          <w:lang w:val="en-US"/>
        </w:rPr>
        <w:t>Also since 2012, T</w:t>
      </w:r>
      <w:r w:rsidR="005D10D7">
        <w:rPr>
          <w:lang w:val="en-US"/>
        </w:rPr>
        <w:t xml:space="preserve">ransport </w:t>
      </w:r>
      <w:r w:rsidRPr="00A51A48">
        <w:rPr>
          <w:lang w:val="en-US"/>
        </w:rPr>
        <w:t>f</w:t>
      </w:r>
      <w:r w:rsidR="005D10D7">
        <w:rPr>
          <w:lang w:val="en-US"/>
        </w:rPr>
        <w:t xml:space="preserve">or </w:t>
      </w:r>
      <w:r w:rsidRPr="00A51A48">
        <w:rPr>
          <w:lang w:val="en-US"/>
        </w:rPr>
        <w:t xml:space="preserve">NSW has been promoting safety technologies such </w:t>
      </w:r>
      <w:r>
        <w:rPr>
          <w:lang w:val="en-US"/>
        </w:rPr>
        <w:t xml:space="preserve">as </w:t>
      </w:r>
      <w:r w:rsidRPr="00A51A48">
        <w:rPr>
          <w:lang w:val="en-US"/>
        </w:rPr>
        <w:t>LDW</w:t>
      </w:r>
      <w:r>
        <w:rPr>
          <w:lang w:val="en-US"/>
        </w:rPr>
        <w:t>S</w:t>
      </w:r>
      <w:r w:rsidRPr="00A51A48">
        <w:rPr>
          <w:lang w:val="en-US"/>
        </w:rPr>
        <w:t xml:space="preserve"> through the </w:t>
      </w:r>
      <w:r w:rsidR="006A24C4" w:rsidRPr="00D762EA">
        <w:rPr>
          <w:i/>
          <w:lang w:val="en-US"/>
        </w:rPr>
        <w:t>Safety Technologies for Heavy Vehicle and Combinations</w:t>
      </w:r>
      <w:r w:rsidR="006A24C4" w:rsidRPr="00D762EA">
        <w:rPr>
          <w:lang w:val="en-US"/>
        </w:rPr>
        <w:t xml:space="preserve"> </w:t>
      </w:r>
      <w:r w:rsidRPr="006A24C4">
        <w:rPr>
          <w:lang w:val="en-US"/>
        </w:rPr>
        <w:t>p</w:t>
      </w:r>
      <w:r w:rsidRPr="00A51A48">
        <w:rPr>
          <w:lang w:val="en-US"/>
        </w:rPr>
        <w:t>ublication.</w:t>
      </w:r>
      <w:r w:rsidR="006A24C4">
        <w:rPr>
          <w:lang w:val="en-US"/>
        </w:rPr>
        <w:t xml:space="preserve"> The latest edition </w:t>
      </w:r>
      <w:r w:rsidR="00DF4399">
        <w:rPr>
          <w:lang w:val="en-US"/>
        </w:rPr>
        <w:t>was</w:t>
      </w:r>
      <w:r w:rsidR="006A24C4">
        <w:rPr>
          <w:lang w:val="en-US"/>
        </w:rPr>
        <w:t xml:space="preserve"> published in 2020 (</w:t>
      </w:r>
      <w:proofErr w:type="spellStart"/>
      <w:r w:rsidR="006A24C4" w:rsidRPr="00DF4399">
        <w:rPr>
          <w:lang w:val="en-US"/>
        </w:rPr>
        <w:t>TfNSW</w:t>
      </w:r>
      <w:proofErr w:type="spellEnd"/>
      <w:r w:rsidR="006A24C4" w:rsidRPr="00DF4399">
        <w:rPr>
          <w:lang w:val="en-US"/>
        </w:rPr>
        <w:t>, 2020</w:t>
      </w:r>
      <w:r w:rsidR="006A24C4">
        <w:rPr>
          <w:lang w:val="en-US"/>
        </w:rPr>
        <w:t>).</w:t>
      </w:r>
    </w:p>
    <w:p w14:paraId="71D241B3" w14:textId="77777777" w:rsidR="00741BCE" w:rsidRPr="000120A2" w:rsidRDefault="00741BCE" w:rsidP="00741BCE">
      <w:pPr>
        <w:rPr>
          <w:b/>
          <w:lang w:val="en-US"/>
        </w:rPr>
      </w:pPr>
      <w:r w:rsidRPr="000120A2">
        <w:rPr>
          <w:b/>
          <w:lang w:val="en-US"/>
        </w:rPr>
        <w:t>Tasmania</w:t>
      </w:r>
    </w:p>
    <w:p w14:paraId="2A2F5628" w14:textId="77777777" w:rsidR="003371E9" w:rsidRDefault="003371E9" w:rsidP="003371E9">
      <w:pPr>
        <w:rPr>
          <w:lang w:val="en-US"/>
        </w:rPr>
      </w:pPr>
      <w:r w:rsidRPr="003371E9">
        <w:rPr>
          <w:lang w:val="en-US"/>
        </w:rPr>
        <w:t>‘Lane departure’ crashes (run-off-road and head-on crashes) account for over two thirds of serious casualties on</w:t>
      </w:r>
      <w:r>
        <w:rPr>
          <w:lang w:val="en-US"/>
        </w:rPr>
        <w:t xml:space="preserve"> </w:t>
      </w:r>
      <w:r w:rsidRPr="003371E9">
        <w:rPr>
          <w:lang w:val="en-US"/>
        </w:rPr>
        <w:t>Tasmanian roads. Strategies to reduce lane departure crashes have the greatest potential to improve road safety</w:t>
      </w:r>
      <w:r>
        <w:rPr>
          <w:lang w:val="en-US"/>
        </w:rPr>
        <w:t xml:space="preserve"> </w:t>
      </w:r>
      <w:r w:rsidRPr="003371E9">
        <w:rPr>
          <w:lang w:val="en-US"/>
        </w:rPr>
        <w:t>in Tasmania.</w:t>
      </w:r>
      <w:r>
        <w:rPr>
          <w:lang w:val="en-US"/>
        </w:rPr>
        <w:t xml:space="preserve"> </w:t>
      </w:r>
    </w:p>
    <w:p w14:paraId="7509062F" w14:textId="77777777" w:rsidR="003371E9" w:rsidRDefault="003371E9" w:rsidP="003371E9">
      <w:pPr>
        <w:rPr>
          <w:lang w:val="en-US"/>
        </w:rPr>
      </w:pPr>
      <w:r w:rsidRPr="003371E9">
        <w:rPr>
          <w:lang w:val="en-US"/>
        </w:rPr>
        <w:t>The most common ‘lane departure’ crash type resulting in serious casualties is run-off-road crashes. Runoff-road crashes</w:t>
      </w:r>
      <w:r>
        <w:rPr>
          <w:lang w:val="en-US"/>
        </w:rPr>
        <w:t xml:space="preserve"> </w:t>
      </w:r>
      <w:r w:rsidRPr="003371E9">
        <w:rPr>
          <w:lang w:val="en-US"/>
        </w:rPr>
        <w:t>occur when a vehicle veers off the roadway or across the opposing traffic lane. Run-off-road</w:t>
      </w:r>
      <w:r>
        <w:rPr>
          <w:lang w:val="en-US"/>
        </w:rPr>
        <w:t xml:space="preserve"> </w:t>
      </w:r>
      <w:r w:rsidRPr="003371E9">
        <w:rPr>
          <w:lang w:val="en-US"/>
        </w:rPr>
        <w:t>crashes account for almost one in two serious casualties. The severity of this type of crash can be reduced by</w:t>
      </w:r>
      <w:r>
        <w:rPr>
          <w:lang w:val="en-US"/>
        </w:rPr>
        <w:t xml:space="preserve"> </w:t>
      </w:r>
      <w:r w:rsidRPr="003371E9">
        <w:rPr>
          <w:lang w:val="en-US"/>
        </w:rPr>
        <w:t>protecting roadside hazards with safety barriers or removing hazards where practicable. Improved line marking</w:t>
      </w:r>
      <w:r>
        <w:rPr>
          <w:lang w:val="en-US"/>
        </w:rPr>
        <w:t xml:space="preserve"> </w:t>
      </w:r>
      <w:r w:rsidRPr="003371E9">
        <w:rPr>
          <w:lang w:val="en-US"/>
        </w:rPr>
        <w:t>(delineation), including audible edge lines and road edge widening, can help in preventing this type of crash from</w:t>
      </w:r>
      <w:r>
        <w:rPr>
          <w:lang w:val="en-US"/>
        </w:rPr>
        <w:t xml:space="preserve"> </w:t>
      </w:r>
      <w:r w:rsidRPr="003371E9">
        <w:rPr>
          <w:lang w:val="en-US"/>
        </w:rPr>
        <w:t>occurring.</w:t>
      </w:r>
    </w:p>
    <w:p w14:paraId="763F281D" w14:textId="107E3C38" w:rsidR="00741BCE" w:rsidRDefault="003371E9" w:rsidP="003371E9">
      <w:pPr>
        <w:rPr>
          <w:lang w:val="en-US"/>
        </w:rPr>
      </w:pPr>
      <w:r w:rsidRPr="003371E9">
        <w:rPr>
          <w:lang w:val="en-US"/>
        </w:rPr>
        <w:t>The other form of ‘lane departure’ crash is head-on crashes, which occur when vehicles travelling in opposing</w:t>
      </w:r>
      <w:r>
        <w:rPr>
          <w:lang w:val="en-US"/>
        </w:rPr>
        <w:t xml:space="preserve"> </w:t>
      </w:r>
      <w:r w:rsidRPr="003371E9">
        <w:rPr>
          <w:lang w:val="en-US"/>
        </w:rPr>
        <w:t>directions impact one another head/front on. Head-on crashes have increased and represent around one fifth of</w:t>
      </w:r>
      <w:r>
        <w:rPr>
          <w:lang w:val="en-US"/>
        </w:rPr>
        <w:t xml:space="preserve"> </w:t>
      </w:r>
      <w:r w:rsidRPr="003371E9">
        <w:rPr>
          <w:lang w:val="en-US"/>
        </w:rPr>
        <w:t>serious casualties. Physically separating opposing traffic with median or centerline barrier is an effective method</w:t>
      </w:r>
      <w:r>
        <w:rPr>
          <w:lang w:val="en-US"/>
        </w:rPr>
        <w:t xml:space="preserve"> </w:t>
      </w:r>
      <w:r w:rsidRPr="003371E9">
        <w:rPr>
          <w:lang w:val="en-US"/>
        </w:rPr>
        <w:t>to prevent this crash type. Improved delineation can also help in reducing head-on crashes.</w:t>
      </w:r>
      <w:r>
        <w:rPr>
          <w:lang w:val="en-US"/>
        </w:rPr>
        <w:t xml:space="preserve"> </w:t>
      </w:r>
      <w:r w:rsidRPr="003371E9">
        <w:rPr>
          <w:lang w:val="en-US"/>
        </w:rPr>
        <w:t xml:space="preserve">Active vehicle technologies such as </w:t>
      </w:r>
      <w:r w:rsidR="00D17801">
        <w:rPr>
          <w:lang w:val="en-US"/>
        </w:rPr>
        <w:t>ESC</w:t>
      </w:r>
      <w:r w:rsidRPr="003371E9">
        <w:rPr>
          <w:lang w:val="en-US"/>
        </w:rPr>
        <w:t xml:space="preserve">, </w:t>
      </w:r>
      <w:r w:rsidR="00D17801">
        <w:rPr>
          <w:lang w:val="en-US"/>
        </w:rPr>
        <w:t>LDWS</w:t>
      </w:r>
      <w:r w:rsidRPr="003371E9">
        <w:rPr>
          <w:lang w:val="en-US"/>
        </w:rPr>
        <w:t xml:space="preserve">, and </w:t>
      </w:r>
      <w:r w:rsidR="00D17801">
        <w:rPr>
          <w:lang w:val="en-US"/>
        </w:rPr>
        <w:t>AEB</w:t>
      </w:r>
      <w:r w:rsidRPr="003371E9">
        <w:rPr>
          <w:lang w:val="en-US"/>
        </w:rPr>
        <w:t xml:space="preserve"> will increasingly play an important role in preventing lane departure crashes or reducing the severity</w:t>
      </w:r>
      <w:r>
        <w:rPr>
          <w:lang w:val="en-US"/>
        </w:rPr>
        <w:t xml:space="preserve"> w</w:t>
      </w:r>
      <w:r w:rsidRPr="003371E9">
        <w:rPr>
          <w:lang w:val="en-US"/>
        </w:rPr>
        <w:t>hen a crash of this type occurs</w:t>
      </w:r>
    </w:p>
    <w:p w14:paraId="6FF2E83A" w14:textId="77777777" w:rsidR="00D17801" w:rsidRDefault="00D17801" w:rsidP="00D17801">
      <w:pPr>
        <w:keepNext/>
        <w:jc w:val="center"/>
      </w:pPr>
      <w:r>
        <w:rPr>
          <w:noProof/>
          <w:lang w:eastAsia="en-AU"/>
        </w:rPr>
        <w:lastRenderedPageBreak/>
        <w:drawing>
          <wp:inline distT="0" distB="0" distL="0" distR="0" wp14:anchorId="6DA2D9C9" wp14:editId="1B89F174">
            <wp:extent cx="6263640" cy="2390140"/>
            <wp:effectExtent l="0" t="0" r="381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6263640" cy="2390140"/>
                    </a:xfrm>
                    <a:prstGeom prst="rect">
                      <a:avLst/>
                    </a:prstGeom>
                  </pic:spPr>
                </pic:pic>
              </a:graphicData>
            </a:graphic>
          </wp:inline>
        </w:drawing>
      </w:r>
    </w:p>
    <w:p w14:paraId="54C3F779" w14:textId="2F2E0116" w:rsidR="003371E9" w:rsidRDefault="00D17801" w:rsidP="00D17801">
      <w:pPr>
        <w:pStyle w:val="Caption"/>
        <w:jc w:val="center"/>
        <w:rPr>
          <w:lang w:val="en-US"/>
        </w:rPr>
      </w:pPr>
      <w:r>
        <w:t xml:space="preserve">Figure </w:t>
      </w:r>
      <w:fldSimple w:instr=" SEQ Figure \* ARABIC ">
        <w:r w:rsidR="008E07C6">
          <w:rPr>
            <w:noProof/>
          </w:rPr>
          <w:t>5</w:t>
        </w:r>
      </w:fldSimple>
      <w:r>
        <w:t>: Towards Zero Tasmanian Road Safety Strategy 2017-</w:t>
      </w:r>
      <w:r w:rsidRPr="00DF4399">
        <w:t>2026 (</w:t>
      </w:r>
      <w:r w:rsidR="006A24C4" w:rsidRPr="00DF4399">
        <w:t>DSG</w:t>
      </w:r>
      <w:r w:rsidRPr="00DF4399">
        <w:t>, 20</w:t>
      </w:r>
      <w:r w:rsidR="006312A6" w:rsidRPr="00DF4399">
        <w:t>16</w:t>
      </w:r>
      <w:r>
        <w:t>)</w:t>
      </w:r>
    </w:p>
    <w:p w14:paraId="7CF9C747" w14:textId="77777777" w:rsidR="006B3284" w:rsidRPr="00F73F6F" w:rsidRDefault="006B3284" w:rsidP="006B3284">
      <w:pPr>
        <w:rPr>
          <w:rFonts w:cstheme="minorHAnsi"/>
          <w:lang w:val="en-US"/>
        </w:rPr>
      </w:pPr>
      <w:r w:rsidRPr="00F73F6F">
        <w:rPr>
          <w:rFonts w:cstheme="minorHAnsi"/>
          <w:lang w:val="en-US"/>
        </w:rPr>
        <w:t>The Tasmanian government’s key directions for safe roads and roadsides are:</w:t>
      </w:r>
    </w:p>
    <w:p w14:paraId="155EE555" w14:textId="77777777" w:rsidR="006B3284" w:rsidRPr="00D762EA" w:rsidRDefault="006B3284" w:rsidP="00CB0804">
      <w:pPr>
        <w:pStyle w:val="ListParagraph"/>
        <w:numPr>
          <w:ilvl w:val="0"/>
          <w:numId w:val="20"/>
        </w:numPr>
        <w:rPr>
          <w:rFonts w:asciiTheme="minorHAnsi" w:hAnsiTheme="minorHAnsi" w:cstheme="minorHAnsi"/>
          <w:sz w:val="20"/>
          <w:szCs w:val="20"/>
          <w:lang w:val="en-US"/>
        </w:rPr>
      </w:pPr>
      <w:r w:rsidRPr="00D762EA">
        <w:rPr>
          <w:rFonts w:asciiTheme="minorHAnsi" w:hAnsiTheme="minorHAnsi" w:cstheme="minorHAnsi"/>
          <w:sz w:val="20"/>
          <w:szCs w:val="20"/>
          <w:lang w:val="en-US"/>
        </w:rPr>
        <w:t>reduce run-off-road and head-on crashes through improved infrastructure</w:t>
      </w:r>
    </w:p>
    <w:p w14:paraId="7490AF23" w14:textId="77777777" w:rsidR="006B3284" w:rsidRPr="00D762EA" w:rsidRDefault="006B3284" w:rsidP="00CB0804">
      <w:pPr>
        <w:pStyle w:val="ListParagraph"/>
        <w:numPr>
          <w:ilvl w:val="0"/>
          <w:numId w:val="20"/>
        </w:numPr>
        <w:rPr>
          <w:rFonts w:asciiTheme="minorHAnsi" w:hAnsiTheme="minorHAnsi" w:cstheme="minorHAnsi"/>
          <w:sz w:val="20"/>
          <w:szCs w:val="20"/>
          <w:lang w:val="en-US"/>
        </w:rPr>
      </w:pPr>
      <w:r w:rsidRPr="00D762EA">
        <w:rPr>
          <w:rFonts w:asciiTheme="minorHAnsi" w:hAnsiTheme="minorHAnsi" w:cstheme="minorHAnsi"/>
          <w:sz w:val="20"/>
          <w:szCs w:val="20"/>
          <w:lang w:val="en-US"/>
        </w:rPr>
        <w:t>reduce the severity of intersection crashes through improved infrastructure treatments</w:t>
      </w:r>
    </w:p>
    <w:p w14:paraId="6D9BD9EF" w14:textId="77777777" w:rsidR="006B3284" w:rsidRPr="00D762EA" w:rsidRDefault="006B3284" w:rsidP="00CB0804">
      <w:pPr>
        <w:pStyle w:val="ListParagraph"/>
        <w:numPr>
          <w:ilvl w:val="0"/>
          <w:numId w:val="20"/>
        </w:numPr>
        <w:rPr>
          <w:rFonts w:asciiTheme="minorHAnsi" w:hAnsiTheme="minorHAnsi" w:cstheme="minorHAnsi"/>
          <w:sz w:val="20"/>
          <w:szCs w:val="20"/>
          <w:lang w:val="en-US"/>
        </w:rPr>
      </w:pPr>
      <w:r w:rsidRPr="00D762EA">
        <w:rPr>
          <w:rFonts w:asciiTheme="minorHAnsi" w:hAnsiTheme="minorHAnsi" w:cstheme="minorHAnsi"/>
          <w:sz w:val="20"/>
          <w:szCs w:val="20"/>
          <w:lang w:val="en-US"/>
        </w:rPr>
        <w:t>encourage the latest thinking in safe road design (the Safe System approach)</w:t>
      </w:r>
    </w:p>
    <w:p w14:paraId="0F04885C" w14:textId="77777777" w:rsidR="006B3284" w:rsidRPr="00D762EA" w:rsidRDefault="006B3284" w:rsidP="00CB0804">
      <w:pPr>
        <w:pStyle w:val="ListParagraph"/>
        <w:numPr>
          <w:ilvl w:val="0"/>
          <w:numId w:val="20"/>
        </w:numPr>
        <w:rPr>
          <w:rFonts w:asciiTheme="minorHAnsi" w:hAnsiTheme="minorHAnsi" w:cstheme="minorHAnsi"/>
          <w:sz w:val="20"/>
          <w:szCs w:val="20"/>
          <w:lang w:val="en-US"/>
        </w:rPr>
      </w:pPr>
      <w:r w:rsidRPr="00D762EA">
        <w:rPr>
          <w:rFonts w:asciiTheme="minorHAnsi" w:hAnsiTheme="minorHAnsi" w:cstheme="minorHAnsi"/>
          <w:sz w:val="20"/>
          <w:szCs w:val="20"/>
          <w:lang w:val="en-US"/>
        </w:rPr>
        <w:t>monitor the latest innovations in Safe System infrastructure treatments and trial in Tasmania</w:t>
      </w:r>
    </w:p>
    <w:p w14:paraId="3BEFDF81" w14:textId="77777777" w:rsidR="006B3284" w:rsidRPr="00D762EA" w:rsidRDefault="006B3284" w:rsidP="00CB0804">
      <w:pPr>
        <w:pStyle w:val="ListParagraph"/>
        <w:numPr>
          <w:ilvl w:val="0"/>
          <w:numId w:val="20"/>
        </w:numPr>
        <w:rPr>
          <w:rFonts w:asciiTheme="minorHAnsi" w:hAnsiTheme="minorHAnsi" w:cstheme="minorHAnsi"/>
          <w:sz w:val="20"/>
          <w:szCs w:val="20"/>
          <w:lang w:val="en-US"/>
        </w:rPr>
      </w:pPr>
      <w:r w:rsidRPr="00D762EA">
        <w:rPr>
          <w:rFonts w:asciiTheme="minorHAnsi" w:hAnsiTheme="minorHAnsi" w:cstheme="minorHAnsi"/>
          <w:sz w:val="20"/>
          <w:szCs w:val="20"/>
          <w:lang w:val="en-US"/>
        </w:rPr>
        <w:t>reduce serious casualties through improved delineation (e.g. line marking)</w:t>
      </w:r>
    </w:p>
    <w:p w14:paraId="7C5E2689" w14:textId="77777777" w:rsidR="00741BCE" w:rsidRDefault="00741BCE" w:rsidP="00035E18">
      <w:pPr>
        <w:pStyle w:val="Heading2"/>
        <w:rPr>
          <w:lang w:val="en-US"/>
        </w:rPr>
      </w:pPr>
      <w:bookmarkStart w:id="21" w:name="_Toc100326783"/>
      <w:r>
        <w:rPr>
          <w:lang w:val="en-US"/>
        </w:rPr>
        <w:t>National Vehicle Standards</w:t>
      </w:r>
      <w:bookmarkEnd w:id="21"/>
    </w:p>
    <w:p w14:paraId="42F94B55" w14:textId="3FB6AF27" w:rsidR="00741BCE" w:rsidRDefault="00741BCE" w:rsidP="00741BCE">
      <w:pPr>
        <w:rPr>
          <w:lang w:val="en-US"/>
        </w:rPr>
      </w:pPr>
      <w:r w:rsidRPr="00741BCE">
        <w:rPr>
          <w:lang w:val="en-US"/>
        </w:rPr>
        <w:t xml:space="preserve">The Australian Government administers the </w:t>
      </w:r>
      <w:r w:rsidRPr="00035E18">
        <w:rPr>
          <w:i/>
          <w:lang w:val="en-US"/>
        </w:rPr>
        <w:t>Road Vehicle Standards Act 2018</w:t>
      </w:r>
      <w:r w:rsidRPr="00741BCE">
        <w:rPr>
          <w:lang w:val="en-US"/>
        </w:rPr>
        <w:t xml:space="preserve"> (RVSA), which requires that all new road vehicles, whether they are manufactured in Australia or are imported, comply with national vehicle standards known as the ADRs, before they can be offered to the market for use in transport in Australia. The ADRs set minimum national standards for vehicle safety</w:t>
      </w:r>
      <w:r w:rsidR="00DA04D9">
        <w:rPr>
          <w:lang w:val="en-US"/>
        </w:rPr>
        <w:t>,</w:t>
      </w:r>
      <w:r w:rsidRPr="00741BCE">
        <w:rPr>
          <w:lang w:val="en-US"/>
        </w:rPr>
        <w:t xml:space="preserve"> emission and anti-theft performance</w:t>
      </w:r>
      <w:r w:rsidR="00F73F6F">
        <w:rPr>
          <w:lang w:val="en-US"/>
        </w:rPr>
        <w:t>, which includes</w:t>
      </w:r>
      <w:r w:rsidRPr="00741BCE">
        <w:rPr>
          <w:lang w:val="en-US"/>
        </w:rPr>
        <w:t xml:space="preserve"> the use of technological measures to </w:t>
      </w:r>
      <w:r>
        <w:rPr>
          <w:lang w:val="en-US"/>
        </w:rPr>
        <w:t xml:space="preserve">reduce </w:t>
      </w:r>
      <w:r w:rsidR="008D1081">
        <w:rPr>
          <w:lang w:val="en-US"/>
        </w:rPr>
        <w:t>crashes</w:t>
      </w:r>
      <w:r>
        <w:rPr>
          <w:lang w:val="en-US"/>
        </w:rPr>
        <w:t xml:space="preserve"> from heavy vehicles leaving their lane</w:t>
      </w:r>
      <w:r w:rsidR="00FE6024">
        <w:rPr>
          <w:lang w:val="en-US"/>
        </w:rPr>
        <w:t xml:space="preserve"> unintentionally</w:t>
      </w:r>
      <w:r w:rsidRPr="00741BCE">
        <w:rPr>
          <w:lang w:val="en-US"/>
        </w:rPr>
        <w:t>.</w:t>
      </w:r>
    </w:p>
    <w:p w14:paraId="70CBD591" w14:textId="77777777" w:rsidR="008D1081" w:rsidRDefault="008D1081" w:rsidP="008D1081">
      <w:pPr>
        <w:pStyle w:val="Heading3"/>
        <w:rPr>
          <w:lang w:val="en-US"/>
        </w:rPr>
      </w:pPr>
      <w:bookmarkStart w:id="22" w:name="_Toc100326784"/>
      <w:r>
        <w:rPr>
          <w:lang w:val="en-US"/>
        </w:rPr>
        <w:t>Front Underrun Impact Protection Devices</w:t>
      </w:r>
      <w:bookmarkEnd w:id="22"/>
    </w:p>
    <w:p w14:paraId="56CD05C6" w14:textId="648EC1F4" w:rsidR="008D1081" w:rsidRPr="00741BCE" w:rsidRDefault="008D1081" w:rsidP="00741BCE">
      <w:pPr>
        <w:rPr>
          <w:lang w:val="en-US"/>
        </w:rPr>
      </w:pPr>
      <w:r>
        <w:rPr>
          <w:lang w:val="en-US"/>
        </w:rPr>
        <w:t>W</w:t>
      </w:r>
      <w:r w:rsidRPr="008D1081">
        <w:rPr>
          <w:lang w:val="en-US"/>
        </w:rPr>
        <w:t xml:space="preserve">hen a heavy vehicle unintentionally departs from its lane and enters oncoming traffic, a head-on collision can occur between the heavy vehicle and a light vehicle causing vehicle underrun, thereby increasing the severity of the outcome. This has been mitigated as much as possible by the introduction of ADR 84 - Front Underrun Impact Protection in 2009.  Front underrun protection systems reduce the severity of trauma when a head-on collision occurs between a heavy and a light vehicle, but cannot reduce the frequency of those collisions. </w:t>
      </w:r>
      <w:r w:rsidR="00FE6024">
        <w:rPr>
          <w:lang w:val="en-US"/>
        </w:rPr>
        <w:t>Whereas</w:t>
      </w:r>
      <w:r w:rsidR="00FE6024" w:rsidRPr="008D1081">
        <w:rPr>
          <w:lang w:val="en-US"/>
        </w:rPr>
        <w:t xml:space="preserve"> </w:t>
      </w:r>
      <w:r w:rsidRPr="008D1081">
        <w:rPr>
          <w:lang w:val="en-US"/>
        </w:rPr>
        <w:t>actions targeting heavy vehicle driver</w:t>
      </w:r>
      <w:r w:rsidR="00FE6024">
        <w:rPr>
          <w:lang w:val="en-US"/>
        </w:rPr>
        <w:t>s</w:t>
      </w:r>
      <w:r w:rsidRPr="008D1081">
        <w:rPr>
          <w:lang w:val="en-US"/>
        </w:rPr>
        <w:t xml:space="preserve"> and fleet managers can help reduce the frequency of heavy vehicle at-fault crashes, technology such as LDWS can also help prevent such crashes occurring.</w:t>
      </w:r>
    </w:p>
    <w:p w14:paraId="12635E90" w14:textId="77777777" w:rsidR="006C1340" w:rsidRDefault="006C1340" w:rsidP="002F23D2">
      <w:pPr>
        <w:rPr>
          <w:lang w:val="x-none"/>
        </w:rPr>
      </w:pPr>
    </w:p>
    <w:p w14:paraId="092F87CB" w14:textId="77777777" w:rsidR="00B775C9" w:rsidRDefault="00B775C9" w:rsidP="00044540">
      <w:pPr>
        <w:pStyle w:val="Heading1"/>
        <w:sectPr w:rsidR="00B775C9" w:rsidSect="00D87AD8">
          <w:pgSz w:w="11906" w:h="16838" w:code="9"/>
          <w:pgMar w:top="1021" w:right="1021" w:bottom="1021" w:left="1021" w:header="510" w:footer="567" w:gutter="0"/>
          <w:cols w:space="708"/>
          <w:docGrid w:linePitch="360"/>
        </w:sectPr>
      </w:pPr>
    </w:p>
    <w:p w14:paraId="7F79232D" w14:textId="77777777" w:rsidR="00044540" w:rsidRDefault="00044540" w:rsidP="00044540">
      <w:pPr>
        <w:pStyle w:val="Heading1"/>
      </w:pPr>
      <w:bookmarkStart w:id="23" w:name="_Toc100326785"/>
      <w:r>
        <w:lastRenderedPageBreak/>
        <w:t>Chapter 2: Why is government action needed?</w:t>
      </w:r>
      <w:bookmarkEnd w:id="23"/>
    </w:p>
    <w:p w14:paraId="65476A89" w14:textId="77777777" w:rsidR="00AF3413" w:rsidRPr="005F794B" w:rsidRDefault="00AF3413" w:rsidP="00AF3413">
      <w:pPr>
        <w:pStyle w:val="Heading2"/>
      </w:pPr>
      <w:bookmarkStart w:id="24" w:name="_Toc100326786"/>
      <w:r>
        <w:t>The need for government action</w:t>
      </w:r>
      <w:bookmarkEnd w:id="24"/>
    </w:p>
    <w:p w14:paraId="7FCEE6E7" w14:textId="77777777" w:rsidR="006C1340" w:rsidRDefault="006C1340" w:rsidP="006C1340">
      <w:pPr>
        <w:rPr>
          <w:lang w:val="x-none"/>
        </w:rPr>
      </w:pPr>
      <w:r w:rsidRPr="006C1340">
        <w:rPr>
          <w:lang w:val="x-none"/>
        </w:rPr>
        <w:t xml:space="preserve">Government action may be needed where the market fails to provide the most efficient and effective solution to a problem. In this case the problem is that </w:t>
      </w:r>
      <w:r w:rsidRPr="006F6683">
        <w:rPr>
          <w:lang w:val="x-none"/>
        </w:rPr>
        <w:t xml:space="preserve">crashes involving a heavy vehicle drifting outside </w:t>
      </w:r>
      <w:r w:rsidR="00A004E9">
        <w:rPr>
          <w:lang w:val="en-US"/>
        </w:rPr>
        <w:t>its</w:t>
      </w:r>
      <w:r w:rsidRPr="006F6683">
        <w:rPr>
          <w:lang w:val="x-none"/>
        </w:rPr>
        <w:t xml:space="preserve"> lane</w:t>
      </w:r>
      <w:r w:rsidRPr="006C1340">
        <w:rPr>
          <w:lang w:val="x-none"/>
        </w:rPr>
        <w:t xml:space="preserve"> are estimated to cost the Australian community around $</w:t>
      </w:r>
      <w:r w:rsidR="00E14A0B">
        <w:rPr>
          <w:lang w:val="x-none"/>
        </w:rPr>
        <w:t>6</w:t>
      </w:r>
      <w:r w:rsidR="00E14A0B">
        <w:rPr>
          <w:lang w:val="en-US"/>
        </w:rPr>
        <w:t>3</w:t>
      </w:r>
      <w:r w:rsidR="00E14A0B">
        <w:rPr>
          <w:lang w:val="x-none"/>
        </w:rPr>
        <w:t xml:space="preserve"> </w:t>
      </w:r>
      <w:r w:rsidRPr="006C1340">
        <w:rPr>
          <w:lang w:val="x-none"/>
        </w:rPr>
        <w:t>million every year</w:t>
      </w:r>
      <w:r w:rsidR="00E14A0B">
        <w:rPr>
          <w:lang w:val="en-US"/>
        </w:rPr>
        <w:t xml:space="preserve"> (</w:t>
      </w:r>
      <w:r w:rsidR="00A004E9" w:rsidRPr="00DF4399">
        <w:rPr>
          <w:lang w:val="x-none"/>
        </w:rPr>
        <w:t>Budd &amp; Newstead</w:t>
      </w:r>
      <w:r w:rsidR="00E14A0B" w:rsidRPr="00DF4399">
        <w:rPr>
          <w:lang w:val="en-US"/>
        </w:rPr>
        <w:t>, 2014</w:t>
      </w:r>
      <w:r w:rsidR="00E14A0B">
        <w:rPr>
          <w:lang w:val="en-US"/>
        </w:rPr>
        <w:t>)</w:t>
      </w:r>
      <w:r w:rsidRPr="006C1340">
        <w:rPr>
          <w:lang w:val="x-none"/>
        </w:rPr>
        <w:t>. These crashes are not reducing as much as they could, given the availability of effective safety technologies.</w:t>
      </w:r>
    </w:p>
    <w:p w14:paraId="3F7D23A7" w14:textId="77777777" w:rsidR="006C1340" w:rsidRDefault="006C1340" w:rsidP="006C1340">
      <w:pPr>
        <w:rPr>
          <w:lang w:val="x-none"/>
        </w:rPr>
      </w:pPr>
      <w:r w:rsidRPr="006C1340">
        <w:rPr>
          <w:lang w:val="x-none"/>
        </w:rPr>
        <w:t>In Australia, the introduction of safety technologies through market action alone is significantly slower for heavy vehicles than it is for light vehicles. A major reason for this is the nature of construction of heavy vehicles. In comparison to light vehicles (for example cars and Sports Utility Vehicles), heavy vehicles are more likely to be built to order, with engines, drivetrains, suspensions, brakes, axles and safety systems individually specified by the purchasing business. Heavy vehicles constitute a substantial financial investment and are generally configured for business use. Purchasers may in some instances focus primarily on maximising economic productivity rather than on the safety of other road users.</w:t>
      </w:r>
    </w:p>
    <w:p w14:paraId="3ECDA1B3" w14:textId="5371E35C" w:rsidR="008130B1" w:rsidRPr="00B64FBE" w:rsidRDefault="008130B1" w:rsidP="006C1340">
      <w:pPr>
        <w:rPr>
          <w:lang w:val="en-US"/>
        </w:rPr>
      </w:pPr>
      <w:r w:rsidRPr="008130B1">
        <w:rPr>
          <w:lang w:val="x-none"/>
        </w:rPr>
        <w:t>A significant number of heavy vehicles are built in Australia specifically for the Australian market</w:t>
      </w:r>
      <w:r w:rsidR="003A01CA">
        <w:rPr>
          <w:lang w:val="en-US"/>
        </w:rPr>
        <w:t xml:space="preserve"> - </w:t>
      </w:r>
      <w:r w:rsidR="005B3E11">
        <w:rPr>
          <w:lang w:val="en-US"/>
        </w:rPr>
        <w:t>more than 35</w:t>
      </w:r>
      <w:r w:rsidRPr="008130B1">
        <w:rPr>
          <w:lang w:val="x-none"/>
        </w:rPr>
        <w:t xml:space="preserve"> per cent of heavy duty trucks (</w:t>
      </w:r>
      <w:r w:rsidRPr="007710E0">
        <w:rPr>
          <w:lang w:val="x-none"/>
        </w:rPr>
        <w:t xml:space="preserve">see Figure </w:t>
      </w:r>
      <w:r w:rsidR="00CC6F65">
        <w:rPr>
          <w:lang w:val="en-US"/>
        </w:rPr>
        <w:t>6</w:t>
      </w:r>
      <w:r w:rsidR="00DA6EC0" w:rsidRPr="007710E0">
        <w:rPr>
          <w:lang w:val="x-none"/>
        </w:rPr>
        <w:t xml:space="preserve"> </w:t>
      </w:r>
      <w:r w:rsidRPr="007710E0">
        <w:rPr>
          <w:lang w:val="x-none"/>
        </w:rPr>
        <w:t>below</w:t>
      </w:r>
      <w:r w:rsidRPr="008130B1">
        <w:rPr>
          <w:lang w:val="x-none"/>
        </w:rPr>
        <w:t xml:space="preserve">), more </w:t>
      </w:r>
      <w:r w:rsidRPr="00415205">
        <w:rPr>
          <w:lang w:val="x-none"/>
        </w:rPr>
        <w:t>than 80 per</w:t>
      </w:r>
      <w:r w:rsidRPr="008130B1">
        <w:rPr>
          <w:lang w:val="x-none"/>
        </w:rPr>
        <w:t xml:space="preserve"> cent of the heavy haulage vehicles used in the mining industry and </w:t>
      </w:r>
      <w:r w:rsidRPr="005B3E11">
        <w:rPr>
          <w:lang w:val="x-none"/>
        </w:rPr>
        <w:t>around</w:t>
      </w:r>
      <w:r w:rsidR="005B3E11">
        <w:rPr>
          <w:lang w:val="en-US"/>
        </w:rPr>
        <w:t xml:space="preserve"> </w:t>
      </w:r>
      <w:r w:rsidRPr="005B3E11">
        <w:rPr>
          <w:lang w:val="x-none"/>
        </w:rPr>
        <w:t>95 per cent of</w:t>
      </w:r>
      <w:r w:rsidRPr="008130B1">
        <w:rPr>
          <w:lang w:val="x-none"/>
        </w:rPr>
        <w:t xml:space="preserve"> heavy trailers. </w:t>
      </w:r>
      <w:r w:rsidR="005B3E11" w:rsidRPr="005B3E11">
        <w:rPr>
          <w:lang w:val="x-none"/>
        </w:rPr>
        <w:t>Around two thirds of heavy trucks are imported, mostly from Japan or Europe</w:t>
      </w:r>
      <w:r w:rsidR="005B3E11">
        <w:rPr>
          <w:lang w:val="en-US"/>
        </w:rPr>
        <w:t xml:space="preserve">. </w:t>
      </w:r>
      <w:r w:rsidRPr="008130B1">
        <w:rPr>
          <w:lang w:val="x-none"/>
        </w:rPr>
        <w:t xml:space="preserve">This means that the designs and regulations effective in other markets will have a lesser influence on the makeup of the Australian heavy duty truck fleet. </w:t>
      </w:r>
      <w:r w:rsidR="00A42C6E">
        <w:rPr>
          <w:lang w:val="en-US"/>
        </w:rPr>
        <w:t>Consequently,</w:t>
      </w:r>
      <w:r w:rsidR="00DA6EC0">
        <w:rPr>
          <w:lang w:val="en-US"/>
        </w:rPr>
        <w:t xml:space="preserve"> </w:t>
      </w:r>
      <w:r w:rsidR="00A42C6E">
        <w:rPr>
          <w:lang w:val="en-US"/>
        </w:rPr>
        <w:t>the</w:t>
      </w:r>
      <w:r w:rsidRPr="008130B1">
        <w:rPr>
          <w:lang w:val="x-none"/>
        </w:rPr>
        <w:t xml:space="preserve"> rate of fitment of </w:t>
      </w:r>
      <w:r w:rsidR="00A70107">
        <w:rPr>
          <w:lang w:val="en-US"/>
        </w:rPr>
        <w:t xml:space="preserve">primary and secondary </w:t>
      </w:r>
      <w:r w:rsidRPr="008130B1">
        <w:rPr>
          <w:lang w:val="x-none"/>
        </w:rPr>
        <w:t xml:space="preserve">safety systems in the Australian </w:t>
      </w:r>
      <w:r w:rsidR="00A70107">
        <w:rPr>
          <w:lang w:val="en-US"/>
        </w:rPr>
        <w:t xml:space="preserve">heavy vehicle </w:t>
      </w:r>
      <w:r w:rsidRPr="008130B1">
        <w:rPr>
          <w:lang w:val="x-none"/>
        </w:rPr>
        <w:t>market is likely to remain relatively independent of fitment rates in other markets, in the absence of market intervention.</w:t>
      </w:r>
      <w:r w:rsidR="00B64FBE">
        <w:rPr>
          <w:lang w:val="en-US"/>
        </w:rPr>
        <w:t xml:space="preserve"> </w:t>
      </w:r>
    </w:p>
    <w:p w14:paraId="71C1164F" w14:textId="27094FB7" w:rsidR="008D71A3" w:rsidRDefault="008D71A3" w:rsidP="008D71A3">
      <w:pPr>
        <w:pStyle w:val="Caption"/>
        <w:keepNext/>
      </w:pPr>
      <w:r>
        <w:t xml:space="preserve">Figure </w:t>
      </w:r>
      <w:fldSimple w:instr=" SEQ Figure \* ARABIC ">
        <w:r w:rsidR="008E07C6">
          <w:rPr>
            <w:noProof/>
          </w:rPr>
          <w:t>6</w:t>
        </w:r>
      </w:fldSimple>
      <w:r>
        <w:t xml:space="preserve">: Truck sales in Australia by country/region </w:t>
      </w:r>
      <w:r w:rsidRPr="00A20144">
        <w:t>of manufacture (T</w:t>
      </w:r>
      <w:r w:rsidR="00A20144" w:rsidRPr="00A20144">
        <w:t xml:space="preserve">ruck </w:t>
      </w:r>
      <w:r w:rsidRPr="00A20144">
        <w:t>I</w:t>
      </w:r>
      <w:r w:rsidR="00A20144" w:rsidRPr="00A20144">
        <w:t xml:space="preserve">ndustry </w:t>
      </w:r>
      <w:r w:rsidRPr="00A20144">
        <w:t>C</w:t>
      </w:r>
      <w:r w:rsidR="00A20144" w:rsidRPr="00A20144">
        <w:t>ouncil</w:t>
      </w:r>
      <w:proofErr w:type="gramStart"/>
      <w:r w:rsidRPr="00A20144">
        <w:t>,2021</w:t>
      </w:r>
      <w:proofErr w:type="gramEnd"/>
      <w:r w:rsidRPr="00A20144">
        <w:t>).</w:t>
      </w:r>
    </w:p>
    <w:p w14:paraId="1781BD14" w14:textId="77777777" w:rsidR="00330B51" w:rsidRDefault="00330B51" w:rsidP="006C1340">
      <w:pPr>
        <w:rPr>
          <w:lang w:val="x-none"/>
        </w:rPr>
      </w:pPr>
      <w:r w:rsidRPr="00330B51">
        <w:rPr>
          <w:noProof/>
          <w:lang w:eastAsia="en-AU"/>
        </w:rPr>
        <w:drawing>
          <wp:inline distT="0" distB="0" distL="0" distR="0" wp14:anchorId="1600A551" wp14:editId="31D2D46A">
            <wp:extent cx="6263640" cy="2369290"/>
            <wp:effectExtent l="0" t="0" r="381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263640" cy="2369290"/>
                    </a:xfrm>
                    <a:prstGeom prst="rect">
                      <a:avLst/>
                    </a:prstGeom>
                    <a:noFill/>
                    <a:ln>
                      <a:noFill/>
                    </a:ln>
                  </pic:spPr>
                </pic:pic>
              </a:graphicData>
            </a:graphic>
          </wp:inline>
        </w:drawing>
      </w:r>
    </w:p>
    <w:p w14:paraId="673F5CCA" w14:textId="77777777" w:rsidR="008130B1" w:rsidRDefault="008130B1" w:rsidP="006C1340">
      <w:pPr>
        <w:rPr>
          <w:lang w:val="x-none"/>
        </w:rPr>
      </w:pPr>
      <w:r w:rsidRPr="008130B1">
        <w:rPr>
          <w:lang w:val="x-none"/>
        </w:rPr>
        <w:t xml:space="preserve">Businesses profit from the manufacture of heavy vehicles and from their operation on Australia’s public road network. However, heavy vehicle trauma and associated financial costs are borne by all road network users and the broader Australian community more generally. Though actions </w:t>
      </w:r>
      <w:r w:rsidR="00FE6024">
        <w:t>targeting</w:t>
      </w:r>
      <w:r w:rsidR="00FE6024" w:rsidRPr="008130B1">
        <w:rPr>
          <w:lang w:val="x-none"/>
        </w:rPr>
        <w:t xml:space="preserve"> </w:t>
      </w:r>
      <w:r w:rsidRPr="008130B1">
        <w:rPr>
          <w:lang w:val="x-none"/>
        </w:rPr>
        <w:t>driver</w:t>
      </w:r>
      <w:r w:rsidR="00FE6024">
        <w:t>s</w:t>
      </w:r>
      <w:r w:rsidRPr="008130B1">
        <w:rPr>
          <w:lang w:val="x-none"/>
        </w:rPr>
        <w:t xml:space="preserve"> and fleet managers can reduce the frequency of heavy vehicle at-fault crashes, technology suc</w:t>
      </w:r>
      <w:r>
        <w:rPr>
          <w:lang w:val="x-none"/>
        </w:rPr>
        <w:t xml:space="preserve">h as </w:t>
      </w:r>
      <w:r w:rsidRPr="008130B1">
        <w:rPr>
          <w:lang w:val="x-none"/>
        </w:rPr>
        <w:t>ABS</w:t>
      </w:r>
      <w:r>
        <w:rPr>
          <w:lang w:val="x-none"/>
        </w:rPr>
        <w:t xml:space="preserve">, ESC, AEB, </w:t>
      </w:r>
      <w:r w:rsidRPr="008130B1">
        <w:rPr>
          <w:lang w:val="x-none"/>
        </w:rPr>
        <w:t xml:space="preserve">LKA </w:t>
      </w:r>
      <w:r>
        <w:rPr>
          <w:lang w:val="en-US"/>
        </w:rPr>
        <w:t xml:space="preserve">and LDWS </w:t>
      </w:r>
      <w:r w:rsidRPr="008130B1">
        <w:rPr>
          <w:lang w:val="x-none"/>
        </w:rPr>
        <w:t xml:space="preserve">can also </w:t>
      </w:r>
      <w:r w:rsidR="00FE6024">
        <w:t>prevent</w:t>
      </w:r>
      <w:r w:rsidR="00FE6024" w:rsidRPr="008130B1">
        <w:rPr>
          <w:lang w:val="x-none"/>
        </w:rPr>
        <w:t xml:space="preserve"> </w:t>
      </w:r>
      <w:r w:rsidRPr="008130B1">
        <w:rPr>
          <w:lang w:val="x-none"/>
        </w:rPr>
        <w:t>crashes and/or mitigate crash severity.</w:t>
      </w:r>
    </w:p>
    <w:p w14:paraId="04D797E3" w14:textId="0D50C34C" w:rsidR="0066500C" w:rsidRDefault="00A20144" w:rsidP="00B34190">
      <w:pPr>
        <w:rPr>
          <w:lang w:val="x-none"/>
        </w:rPr>
      </w:pPr>
      <w:r>
        <w:rPr>
          <w:lang w:val="en-US"/>
        </w:rPr>
        <w:t>Australian r</w:t>
      </w:r>
      <w:r w:rsidR="00E14A0B">
        <w:rPr>
          <w:lang w:val="en-US"/>
        </w:rPr>
        <w:t xml:space="preserve">esearch </w:t>
      </w:r>
      <w:r>
        <w:rPr>
          <w:lang w:val="en-US"/>
        </w:rPr>
        <w:t>(</w:t>
      </w:r>
      <w:r w:rsidRPr="00DF4399">
        <w:rPr>
          <w:lang w:val="x-none"/>
        </w:rPr>
        <w:t>Budd &amp; Newstead</w:t>
      </w:r>
      <w:r w:rsidRPr="00DF4399">
        <w:rPr>
          <w:lang w:val="en-US"/>
        </w:rPr>
        <w:t>, 2014</w:t>
      </w:r>
      <w:r>
        <w:rPr>
          <w:lang w:val="en-US"/>
        </w:rPr>
        <w:t xml:space="preserve">) </w:t>
      </w:r>
      <w:r w:rsidR="00E14A0B">
        <w:rPr>
          <w:lang w:val="en-US"/>
        </w:rPr>
        <w:t xml:space="preserve">showed that </w:t>
      </w:r>
      <w:r w:rsidR="00E14A0B">
        <w:rPr>
          <w:lang w:val="x-none"/>
        </w:rPr>
        <w:t>although only four per</w:t>
      </w:r>
      <w:r>
        <w:rPr>
          <w:lang w:val="en-US"/>
        </w:rPr>
        <w:t xml:space="preserve"> </w:t>
      </w:r>
      <w:r w:rsidR="00E14A0B">
        <w:rPr>
          <w:lang w:val="x-none"/>
        </w:rPr>
        <w:t>cent</w:t>
      </w:r>
      <w:r w:rsidR="00E14A0B" w:rsidRPr="00E14A0B">
        <w:rPr>
          <w:lang w:val="x-none"/>
        </w:rPr>
        <w:t xml:space="preserve"> of Australian heavy vehicle crashed vehicl</w:t>
      </w:r>
      <w:r w:rsidR="00E14A0B">
        <w:rPr>
          <w:lang w:val="x-none"/>
        </w:rPr>
        <w:t>es were identified as sensitive</w:t>
      </w:r>
      <w:r w:rsidR="00E14A0B">
        <w:rPr>
          <w:lang w:val="en-US"/>
        </w:rPr>
        <w:t xml:space="preserve"> </w:t>
      </w:r>
      <w:r w:rsidR="00E14A0B" w:rsidRPr="00E14A0B">
        <w:rPr>
          <w:lang w:val="x-none"/>
        </w:rPr>
        <w:t>to LDWS, the protection offered was greater for higher sev</w:t>
      </w:r>
      <w:r w:rsidR="005F2921">
        <w:rPr>
          <w:lang w:val="x-none"/>
        </w:rPr>
        <w:t>erity crashes with 11 per cent</w:t>
      </w:r>
      <w:r w:rsidR="00E14A0B">
        <w:rPr>
          <w:lang w:val="x-none"/>
        </w:rPr>
        <w:t xml:space="preserve"> of fatal</w:t>
      </w:r>
      <w:r w:rsidR="00E14A0B">
        <w:rPr>
          <w:lang w:val="en-US"/>
        </w:rPr>
        <w:t xml:space="preserve"> </w:t>
      </w:r>
      <w:r w:rsidR="005F2921">
        <w:rPr>
          <w:lang w:val="x-none"/>
        </w:rPr>
        <w:t>crashes sensitive to LDWS.</w:t>
      </w:r>
      <w:r w:rsidR="005F2921">
        <w:rPr>
          <w:lang w:val="en-US"/>
        </w:rPr>
        <w:t xml:space="preserve"> </w:t>
      </w:r>
    </w:p>
    <w:p w14:paraId="5DEAA585" w14:textId="77777777" w:rsidR="00042060" w:rsidRPr="006202AC" w:rsidRDefault="00AF3413" w:rsidP="006202AC">
      <w:pPr>
        <w:pStyle w:val="Heading2"/>
      </w:pPr>
      <w:bookmarkStart w:id="25" w:name="_Toc100326787"/>
      <w:r>
        <w:lastRenderedPageBreak/>
        <w:t>Availability and uptake of LDWS</w:t>
      </w:r>
      <w:bookmarkEnd w:id="25"/>
    </w:p>
    <w:p w14:paraId="0DDCD927" w14:textId="7C6B7B5D" w:rsidR="00B34190" w:rsidRDefault="00B34190" w:rsidP="00B34190">
      <w:pPr>
        <w:rPr>
          <w:lang w:val="en-US"/>
        </w:rPr>
      </w:pPr>
      <w:r>
        <w:rPr>
          <w:lang w:val="en-US"/>
        </w:rPr>
        <w:t xml:space="preserve">LDWS was </w:t>
      </w:r>
      <w:r w:rsidR="00213F67">
        <w:rPr>
          <w:lang w:val="en-US"/>
        </w:rPr>
        <w:t xml:space="preserve">generally </w:t>
      </w:r>
      <w:r>
        <w:rPr>
          <w:lang w:val="en-US"/>
        </w:rPr>
        <w:t xml:space="preserve">not </w:t>
      </w:r>
      <w:r w:rsidR="00213F67">
        <w:rPr>
          <w:lang w:val="en-US"/>
        </w:rPr>
        <w:t>fitted</w:t>
      </w:r>
      <w:r>
        <w:rPr>
          <w:lang w:val="en-US"/>
        </w:rPr>
        <w:t xml:space="preserve"> </w:t>
      </w:r>
      <w:r w:rsidR="00213F67">
        <w:rPr>
          <w:lang w:val="en-US"/>
        </w:rPr>
        <w:t>to</w:t>
      </w:r>
      <w:r>
        <w:rPr>
          <w:lang w:val="en-US"/>
        </w:rPr>
        <w:t xml:space="preserve"> </w:t>
      </w:r>
      <w:r w:rsidR="00213F67">
        <w:rPr>
          <w:lang w:val="en-US"/>
        </w:rPr>
        <w:t>heavy vehicles</w:t>
      </w:r>
      <w:r>
        <w:rPr>
          <w:lang w:val="en-US"/>
        </w:rPr>
        <w:t xml:space="preserve"> delivered to the Australian market prior to the middle of 2016, as reported by the Truck Industry Council (TIC).</w:t>
      </w:r>
      <w:r w:rsidR="0042093B">
        <w:rPr>
          <w:lang w:val="en-US"/>
        </w:rPr>
        <w:t xml:space="preserve"> Since </w:t>
      </w:r>
      <w:r w:rsidR="00213F67">
        <w:rPr>
          <w:lang w:val="en-US"/>
        </w:rPr>
        <w:t>then</w:t>
      </w:r>
      <w:r w:rsidR="00FE6024">
        <w:rPr>
          <w:lang w:val="en-US"/>
        </w:rPr>
        <w:t>,</w:t>
      </w:r>
      <w:r w:rsidR="00213F67">
        <w:rPr>
          <w:lang w:val="en-US"/>
        </w:rPr>
        <w:t xml:space="preserve"> LDWS has typically been offered as </w:t>
      </w:r>
      <w:r w:rsidR="00E74BD1">
        <w:rPr>
          <w:lang w:val="en-US"/>
        </w:rPr>
        <w:t>part of a more expensive package of optional safety upgrades</w:t>
      </w:r>
      <w:r w:rsidR="00213F67">
        <w:rPr>
          <w:lang w:val="en-US"/>
        </w:rPr>
        <w:t xml:space="preserve"> to purchasers of ne</w:t>
      </w:r>
      <w:r w:rsidR="008359BF">
        <w:rPr>
          <w:lang w:val="en-US"/>
        </w:rPr>
        <w:t>w heavy vehicles</w:t>
      </w:r>
      <w:r w:rsidR="00FE6024">
        <w:rPr>
          <w:lang w:val="en-US"/>
        </w:rPr>
        <w:t>. This kind of</w:t>
      </w:r>
      <w:r w:rsidR="008359BF">
        <w:rPr>
          <w:lang w:val="en-US"/>
        </w:rPr>
        <w:t xml:space="preserve"> advanced safety package</w:t>
      </w:r>
      <w:r w:rsidR="00213F67">
        <w:rPr>
          <w:lang w:val="en-US"/>
        </w:rPr>
        <w:t xml:space="preserve"> also included AEB in most cases.</w:t>
      </w:r>
      <w:r w:rsidR="008359BF">
        <w:rPr>
          <w:lang w:val="en-US"/>
        </w:rPr>
        <w:t xml:space="preserve"> </w:t>
      </w:r>
      <w:r w:rsidR="00383596">
        <w:rPr>
          <w:lang w:val="en-US"/>
        </w:rPr>
        <w:t xml:space="preserve">Figure </w:t>
      </w:r>
      <w:r w:rsidR="00CC6F65">
        <w:rPr>
          <w:lang w:val="en-US"/>
        </w:rPr>
        <w:t>7</w:t>
      </w:r>
      <w:r w:rsidR="00383596">
        <w:rPr>
          <w:lang w:val="en-US"/>
        </w:rPr>
        <w:t xml:space="preserve"> shows a significant increase in the fitment rate for prime movers and NB1 category rigid vehicles with no market intervention, however the data shows a stagnat</w:t>
      </w:r>
      <w:r w:rsidR="005619F7">
        <w:rPr>
          <w:lang w:val="en-US"/>
        </w:rPr>
        <w:t>ion in the</w:t>
      </w:r>
      <w:r w:rsidR="00632E03">
        <w:rPr>
          <w:lang w:val="en-US"/>
        </w:rPr>
        <w:t xml:space="preserve"> growth of the</w:t>
      </w:r>
      <w:r w:rsidR="005619F7">
        <w:rPr>
          <w:lang w:val="en-US"/>
        </w:rPr>
        <w:t xml:space="preserve"> fitment rate in the last three years.</w:t>
      </w:r>
      <w:r w:rsidR="00E74BD1" w:rsidRPr="00E74BD1">
        <w:t xml:space="preserve"> </w:t>
      </w:r>
    </w:p>
    <w:p w14:paraId="6C836DFB" w14:textId="77777777" w:rsidR="008359BF" w:rsidRDefault="008359BF" w:rsidP="008359BF">
      <w:pPr>
        <w:keepNext/>
        <w:jc w:val="center"/>
      </w:pPr>
      <w:r>
        <w:rPr>
          <w:noProof/>
          <w:lang w:eastAsia="en-AU"/>
        </w:rPr>
        <w:drawing>
          <wp:inline distT="0" distB="0" distL="0" distR="0" wp14:anchorId="002BC4FF" wp14:editId="3806C42F">
            <wp:extent cx="5486400" cy="3114136"/>
            <wp:effectExtent l="0" t="0" r="0" b="10160"/>
            <wp:docPr id="17" name="Chart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091F1499" w14:textId="52C385B9" w:rsidR="008359BF" w:rsidRDefault="008359BF" w:rsidP="008359BF">
      <w:pPr>
        <w:pStyle w:val="Caption"/>
        <w:jc w:val="center"/>
        <w:rPr>
          <w:lang w:val="x-none"/>
        </w:rPr>
      </w:pPr>
      <w:r>
        <w:t xml:space="preserve">Figure </w:t>
      </w:r>
      <w:fldSimple w:instr=" SEQ Figure \* ARABIC ">
        <w:r w:rsidR="008E07C6">
          <w:rPr>
            <w:noProof/>
          </w:rPr>
          <w:t>7</w:t>
        </w:r>
      </w:fldSimple>
      <w:r>
        <w:t>: Australian Truck LDWS Fitment Rates 2015 – 2021 (TIC, 2021)</w:t>
      </w:r>
    </w:p>
    <w:p w14:paraId="0865DFF7" w14:textId="77777777" w:rsidR="00B34190" w:rsidRDefault="0041183D" w:rsidP="00B34190">
      <w:pPr>
        <w:rPr>
          <w:lang w:val="x-none"/>
        </w:rPr>
      </w:pPr>
      <w:r>
        <w:rPr>
          <w:lang w:val="x-none"/>
        </w:rPr>
        <w:t>H</w:t>
      </w:r>
      <w:r w:rsidR="00B34190" w:rsidRPr="008130B1">
        <w:rPr>
          <w:lang w:val="x-none"/>
        </w:rPr>
        <w:t xml:space="preserve">eavy vehicle </w:t>
      </w:r>
      <w:r w:rsidR="00B34190">
        <w:rPr>
          <w:lang w:val="en-US"/>
        </w:rPr>
        <w:t>LDWS</w:t>
      </w:r>
      <w:r>
        <w:rPr>
          <w:lang w:val="x-none"/>
        </w:rPr>
        <w:t xml:space="preserve"> fitment rates have </w:t>
      </w:r>
      <w:r w:rsidRPr="0041183D">
        <w:rPr>
          <w:lang w:val="x-none"/>
        </w:rPr>
        <w:t>remained</w:t>
      </w:r>
      <w:r w:rsidR="00B34190" w:rsidRPr="0041183D">
        <w:rPr>
          <w:lang w:val="x-none"/>
        </w:rPr>
        <w:t xml:space="preserve"> low w</w:t>
      </w:r>
      <w:r w:rsidR="00B34190" w:rsidRPr="008130B1">
        <w:rPr>
          <w:lang w:val="x-none"/>
        </w:rPr>
        <w:t xml:space="preserve">ith only around </w:t>
      </w:r>
      <w:r w:rsidR="00E57EC7">
        <w:rPr>
          <w:lang w:val="en-US"/>
        </w:rPr>
        <w:t>36</w:t>
      </w:r>
      <w:r w:rsidR="00B34190" w:rsidRPr="008130B1">
        <w:rPr>
          <w:lang w:val="x-none"/>
        </w:rPr>
        <w:t xml:space="preserve"> per cent of all new heavy vehicles sold</w:t>
      </w:r>
      <w:r w:rsidR="00E57EC7">
        <w:rPr>
          <w:lang w:val="en-US"/>
        </w:rPr>
        <w:t xml:space="preserve"> in 2021</w:t>
      </w:r>
      <w:r w:rsidR="00B34190" w:rsidRPr="008130B1">
        <w:rPr>
          <w:lang w:val="x-none"/>
        </w:rPr>
        <w:t xml:space="preserve"> being fitted with </w:t>
      </w:r>
      <w:r w:rsidR="00B34190">
        <w:rPr>
          <w:lang w:val="en-US"/>
        </w:rPr>
        <w:t>LDWS</w:t>
      </w:r>
      <w:r w:rsidR="00B34190" w:rsidRPr="008130B1">
        <w:rPr>
          <w:lang w:val="x-none"/>
        </w:rPr>
        <w:t xml:space="preserve"> complying with internatio</w:t>
      </w:r>
      <w:r w:rsidR="00B34190">
        <w:rPr>
          <w:lang w:val="x-none"/>
        </w:rPr>
        <w:t xml:space="preserve">nally adopted standards. Table </w:t>
      </w:r>
      <w:r w:rsidR="00B34190" w:rsidRPr="005F2921">
        <w:rPr>
          <w:lang w:val="en-US"/>
        </w:rPr>
        <w:t>4</w:t>
      </w:r>
      <w:r w:rsidR="00B34190">
        <w:rPr>
          <w:lang w:val="en-US"/>
        </w:rPr>
        <w:t xml:space="preserve"> </w:t>
      </w:r>
      <w:r w:rsidR="00B34190" w:rsidRPr="005F2921">
        <w:rPr>
          <w:lang w:val="en-US"/>
        </w:rPr>
        <w:t>below</w:t>
      </w:r>
      <w:r w:rsidR="00B34190" w:rsidRPr="008130B1">
        <w:rPr>
          <w:lang w:val="x-none"/>
        </w:rPr>
        <w:t xml:space="preserve"> shows </w:t>
      </w:r>
      <w:r w:rsidR="00B34190" w:rsidRPr="007655F3">
        <w:rPr>
          <w:lang w:val="x-none"/>
        </w:rPr>
        <w:t xml:space="preserve">that most of these are in the heavy duty prime mover segment at </w:t>
      </w:r>
      <w:r w:rsidR="007655F3" w:rsidRPr="007655F3">
        <w:rPr>
          <w:lang w:val="x-none"/>
        </w:rPr>
        <w:t>51.7</w:t>
      </w:r>
      <w:r w:rsidR="00B34190" w:rsidRPr="007655F3">
        <w:rPr>
          <w:lang w:val="x-none"/>
        </w:rPr>
        <w:t xml:space="preserve"> per cent </w:t>
      </w:r>
      <w:r w:rsidR="007655F3" w:rsidRPr="007655F3">
        <w:rPr>
          <w:lang w:val="x-none"/>
        </w:rPr>
        <w:t>(NC category prime mover</w:t>
      </w:r>
      <w:r w:rsidR="00B34190" w:rsidRPr="007655F3">
        <w:rPr>
          <w:lang w:val="x-none"/>
        </w:rPr>
        <w:t xml:space="preserve">). The remaining fitment of </w:t>
      </w:r>
      <w:r w:rsidR="00B34190" w:rsidRPr="007655F3">
        <w:rPr>
          <w:lang w:val="en-US"/>
        </w:rPr>
        <w:t>LDWS</w:t>
      </w:r>
      <w:r w:rsidR="007655F3" w:rsidRPr="007655F3">
        <w:rPr>
          <w:lang w:val="x-none"/>
        </w:rPr>
        <w:t xml:space="preserve"> </w:t>
      </w:r>
      <w:r w:rsidR="007655F3" w:rsidRPr="007655F3">
        <w:rPr>
          <w:lang w:val="en-US"/>
        </w:rPr>
        <w:t xml:space="preserve">in new heavy vehicles sold in 2021 </w:t>
      </w:r>
      <w:r w:rsidR="007655F3" w:rsidRPr="007655F3">
        <w:rPr>
          <w:lang w:val="x-none"/>
        </w:rPr>
        <w:t xml:space="preserve">occurs in close to 41.8 per cent of NB1 </w:t>
      </w:r>
      <w:r w:rsidR="00B34190" w:rsidRPr="007655F3">
        <w:rPr>
          <w:lang w:val="x-none"/>
        </w:rPr>
        <w:t>category rigid</w:t>
      </w:r>
      <w:r w:rsidR="007655F3" w:rsidRPr="007655F3">
        <w:rPr>
          <w:lang w:val="x-none"/>
        </w:rPr>
        <w:t xml:space="preserve"> vehicles, 24.6</w:t>
      </w:r>
      <w:r w:rsidR="00B34190" w:rsidRPr="007655F3">
        <w:rPr>
          <w:lang w:val="x-none"/>
        </w:rPr>
        <w:t xml:space="preserve"> per cent of NB</w:t>
      </w:r>
      <w:r w:rsidR="007655F3" w:rsidRPr="007655F3">
        <w:rPr>
          <w:lang w:val="en-US"/>
        </w:rPr>
        <w:t>2</w:t>
      </w:r>
      <w:r w:rsidR="00B34190" w:rsidRPr="007655F3">
        <w:rPr>
          <w:lang w:val="x-none"/>
        </w:rPr>
        <w:t xml:space="preserve"> category vehicles</w:t>
      </w:r>
      <w:r w:rsidR="007655F3" w:rsidRPr="007655F3">
        <w:rPr>
          <w:lang w:val="en-US"/>
        </w:rPr>
        <w:t xml:space="preserve"> and 24.3 per cent in NC category rigid vehicles</w:t>
      </w:r>
      <w:r w:rsidR="00B34190" w:rsidRPr="007655F3">
        <w:rPr>
          <w:lang w:val="x-none"/>
        </w:rPr>
        <w:t>.</w:t>
      </w:r>
    </w:p>
    <w:p w14:paraId="474DCAEA" w14:textId="0E44B5E7" w:rsidR="00B34190" w:rsidRDefault="00B34190" w:rsidP="00B34190">
      <w:pPr>
        <w:pStyle w:val="Caption"/>
        <w:keepNext/>
      </w:pPr>
      <w:bookmarkStart w:id="26" w:name="_Toc100326834"/>
      <w:r>
        <w:t xml:space="preserve">Table </w:t>
      </w:r>
      <w:fldSimple w:instr=" SEQ Table \* ARABIC ">
        <w:r w:rsidR="008E07C6">
          <w:rPr>
            <w:noProof/>
          </w:rPr>
          <w:t>4</w:t>
        </w:r>
      </w:fldSimple>
      <w:r>
        <w:t xml:space="preserve">: Industry reported LDWS fitment to heavy </w:t>
      </w:r>
      <w:r w:rsidRPr="00FF0101">
        <w:t>vehicles (TIC, 2021)</w:t>
      </w:r>
      <w:bookmarkEnd w:id="26"/>
    </w:p>
    <w:tbl>
      <w:tblPr>
        <w:tblStyle w:val="DefaultTable1"/>
        <w:tblW w:w="0" w:type="auto"/>
        <w:tblLook w:val="04E0" w:firstRow="1" w:lastRow="1" w:firstColumn="1" w:lastColumn="0" w:noHBand="0" w:noVBand="1"/>
        <w:tblCaption w:val="Sample table"/>
        <w:tblDescription w:val="Sample table"/>
      </w:tblPr>
      <w:tblGrid>
        <w:gridCol w:w="1540"/>
        <w:gridCol w:w="660"/>
        <w:gridCol w:w="63"/>
        <w:gridCol w:w="514"/>
        <w:gridCol w:w="108"/>
        <w:gridCol w:w="612"/>
        <w:gridCol w:w="11"/>
        <w:gridCol w:w="622"/>
        <w:gridCol w:w="606"/>
        <w:gridCol w:w="57"/>
        <w:gridCol w:w="548"/>
        <w:gridCol w:w="115"/>
        <w:gridCol w:w="653"/>
        <w:gridCol w:w="11"/>
        <w:gridCol w:w="663"/>
        <w:gridCol w:w="703"/>
        <w:gridCol w:w="67"/>
        <w:gridCol w:w="637"/>
        <w:gridCol w:w="133"/>
        <w:gridCol w:w="758"/>
        <w:gridCol w:w="13"/>
        <w:gridCol w:w="770"/>
      </w:tblGrid>
      <w:tr w:rsidR="00B34190" w14:paraId="0B2A8C36" w14:textId="77777777" w:rsidTr="003009E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63" w:type="dxa"/>
          </w:tcPr>
          <w:p w14:paraId="0E6E5817" w14:textId="77777777" w:rsidR="00B34190" w:rsidRDefault="00B34190" w:rsidP="0042093B"/>
        </w:tc>
        <w:tc>
          <w:tcPr>
            <w:tcW w:w="2593" w:type="dxa"/>
            <w:gridSpan w:val="7"/>
          </w:tcPr>
          <w:p w14:paraId="3A361F1B" w14:textId="77777777" w:rsidR="00B34190" w:rsidRDefault="00B34190" w:rsidP="0042093B">
            <w:pPr>
              <w:cnfStyle w:val="100000000000" w:firstRow="1" w:lastRow="0" w:firstColumn="0" w:lastColumn="0" w:oddVBand="0" w:evenVBand="0" w:oddHBand="0" w:evenHBand="0" w:firstRowFirstColumn="0" w:firstRowLastColumn="0" w:lastRowFirstColumn="0" w:lastRowLastColumn="0"/>
            </w:pPr>
            <w:r>
              <w:t>Total new heavy vehicle sales (as reported)</w:t>
            </w:r>
          </w:p>
        </w:tc>
        <w:tc>
          <w:tcPr>
            <w:tcW w:w="2655" w:type="dxa"/>
            <w:gridSpan w:val="7"/>
          </w:tcPr>
          <w:p w14:paraId="495423DA" w14:textId="77777777" w:rsidR="00B34190" w:rsidRDefault="00B34190" w:rsidP="0042093B">
            <w:pPr>
              <w:cnfStyle w:val="100000000000" w:firstRow="1" w:lastRow="0" w:firstColumn="0" w:lastColumn="0" w:oddVBand="0" w:evenVBand="0" w:oddHBand="0" w:evenHBand="0" w:firstRowFirstColumn="0" w:firstRowLastColumn="0" w:lastRowFirstColumn="0" w:lastRowLastColumn="0"/>
            </w:pPr>
            <w:r>
              <w:t>Estimated number of new vehicles fitted with LDWS (as reported)</w:t>
            </w:r>
          </w:p>
        </w:tc>
        <w:tc>
          <w:tcPr>
            <w:tcW w:w="2453" w:type="dxa"/>
            <w:gridSpan w:val="7"/>
          </w:tcPr>
          <w:p w14:paraId="3BF04241" w14:textId="77777777" w:rsidR="00B34190" w:rsidRDefault="00B34190" w:rsidP="0042093B">
            <w:pPr>
              <w:cnfStyle w:val="100000000000" w:firstRow="1" w:lastRow="0" w:firstColumn="0" w:lastColumn="0" w:oddVBand="0" w:evenVBand="0" w:oddHBand="0" w:evenHBand="0" w:firstRowFirstColumn="0" w:firstRowLastColumn="0" w:lastRowFirstColumn="0" w:lastRowLastColumn="0"/>
            </w:pPr>
            <w:r>
              <w:t>Estimated fitment of LDWS per category (%)</w:t>
            </w:r>
          </w:p>
        </w:tc>
      </w:tr>
      <w:tr w:rsidR="00B34190" w14:paraId="2A662975" w14:textId="77777777" w:rsidTr="003009EC">
        <w:tc>
          <w:tcPr>
            <w:cnfStyle w:val="001000000000" w:firstRow="0" w:lastRow="0" w:firstColumn="1" w:lastColumn="0" w:oddVBand="0" w:evenVBand="0" w:oddHBand="0" w:evenHBand="0" w:firstRowFirstColumn="0" w:firstRowLastColumn="0" w:lastRowFirstColumn="0" w:lastRowLastColumn="0"/>
            <w:tcW w:w="2163" w:type="dxa"/>
          </w:tcPr>
          <w:p w14:paraId="7A51A9DD" w14:textId="77777777" w:rsidR="00B34190" w:rsidRPr="002E11CA" w:rsidRDefault="00B34190" w:rsidP="0042093B">
            <w:r w:rsidRPr="002E11CA">
              <w:t>ADR Category</w:t>
            </w:r>
          </w:p>
        </w:tc>
        <w:tc>
          <w:tcPr>
            <w:tcW w:w="661" w:type="dxa"/>
          </w:tcPr>
          <w:p w14:paraId="29EE709B" w14:textId="77777777" w:rsidR="00B34190" w:rsidRPr="002E11CA" w:rsidRDefault="00B34190" w:rsidP="0042093B">
            <w:pPr>
              <w:cnfStyle w:val="000000000000" w:firstRow="0" w:lastRow="0" w:firstColumn="0" w:lastColumn="0" w:oddVBand="0" w:evenVBand="0" w:oddHBand="0" w:evenHBand="0" w:firstRowFirstColumn="0" w:firstRowLastColumn="0" w:lastRowFirstColumn="0" w:lastRowLastColumn="0"/>
            </w:pPr>
            <w:r w:rsidRPr="002E11CA">
              <w:t>NB1</w:t>
            </w:r>
          </w:p>
        </w:tc>
        <w:tc>
          <w:tcPr>
            <w:tcW w:w="577" w:type="dxa"/>
            <w:gridSpan w:val="2"/>
          </w:tcPr>
          <w:p w14:paraId="3B62C4BF" w14:textId="77777777" w:rsidR="00B34190" w:rsidRPr="002E11CA" w:rsidRDefault="00B34190" w:rsidP="0042093B">
            <w:pPr>
              <w:cnfStyle w:val="000000000000" w:firstRow="0" w:lastRow="0" w:firstColumn="0" w:lastColumn="0" w:oddVBand="0" w:evenVBand="0" w:oddHBand="0" w:evenHBand="0" w:firstRowFirstColumn="0" w:firstRowLastColumn="0" w:lastRowFirstColumn="0" w:lastRowLastColumn="0"/>
            </w:pPr>
            <w:r w:rsidRPr="002E11CA">
              <w:t>NB2</w:t>
            </w:r>
          </w:p>
        </w:tc>
        <w:tc>
          <w:tcPr>
            <w:tcW w:w="720" w:type="dxa"/>
            <w:gridSpan w:val="2"/>
          </w:tcPr>
          <w:p w14:paraId="5722B671" w14:textId="77777777" w:rsidR="00B34190" w:rsidRPr="002E11CA" w:rsidRDefault="00442C30" w:rsidP="00442C30">
            <w:pPr>
              <w:cnfStyle w:val="000000000000" w:firstRow="0" w:lastRow="0" w:firstColumn="0" w:lastColumn="0" w:oddVBand="0" w:evenVBand="0" w:oddHBand="0" w:evenHBand="0" w:firstRowFirstColumn="0" w:firstRowLastColumn="0" w:lastRowFirstColumn="0" w:lastRowLastColumn="0"/>
            </w:pPr>
            <w:r>
              <w:t>NC P</w:t>
            </w:r>
            <w:r w:rsidR="00B34190" w:rsidRPr="002E11CA">
              <w:t>rime</w:t>
            </w:r>
          </w:p>
        </w:tc>
        <w:tc>
          <w:tcPr>
            <w:tcW w:w="635" w:type="dxa"/>
            <w:gridSpan w:val="2"/>
          </w:tcPr>
          <w:p w14:paraId="69BDEBD5" w14:textId="77777777" w:rsidR="00B34190" w:rsidRPr="002E11CA" w:rsidRDefault="00B34190" w:rsidP="0042093B">
            <w:pPr>
              <w:cnfStyle w:val="000000000000" w:firstRow="0" w:lastRow="0" w:firstColumn="0" w:lastColumn="0" w:oddVBand="0" w:evenVBand="0" w:oddHBand="0" w:evenHBand="0" w:firstRowFirstColumn="0" w:firstRowLastColumn="0" w:lastRowFirstColumn="0" w:lastRowLastColumn="0"/>
            </w:pPr>
            <w:r w:rsidRPr="002E11CA">
              <w:t>NC Rigid</w:t>
            </w:r>
          </w:p>
        </w:tc>
        <w:tc>
          <w:tcPr>
            <w:tcW w:w="606" w:type="dxa"/>
          </w:tcPr>
          <w:p w14:paraId="360D41F7" w14:textId="77777777" w:rsidR="00B34190" w:rsidRPr="002E11CA" w:rsidRDefault="00B34190" w:rsidP="0042093B">
            <w:pPr>
              <w:cnfStyle w:val="000000000000" w:firstRow="0" w:lastRow="0" w:firstColumn="0" w:lastColumn="0" w:oddVBand="0" w:evenVBand="0" w:oddHBand="0" w:evenHBand="0" w:firstRowFirstColumn="0" w:firstRowLastColumn="0" w:lastRowFirstColumn="0" w:lastRowLastColumn="0"/>
            </w:pPr>
            <w:r w:rsidRPr="002E11CA">
              <w:t>NB1</w:t>
            </w:r>
          </w:p>
        </w:tc>
        <w:tc>
          <w:tcPr>
            <w:tcW w:w="605" w:type="dxa"/>
            <w:gridSpan w:val="2"/>
          </w:tcPr>
          <w:p w14:paraId="35A876AD" w14:textId="77777777" w:rsidR="00B34190" w:rsidRPr="002E11CA" w:rsidRDefault="00B34190" w:rsidP="0042093B">
            <w:pPr>
              <w:cnfStyle w:val="000000000000" w:firstRow="0" w:lastRow="0" w:firstColumn="0" w:lastColumn="0" w:oddVBand="0" w:evenVBand="0" w:oddHBand="0" w:evenHBand="0" w:firstRowFirstColumn="0" w:firstRowLastColumn="0" w:lastRowFirstColumn="0" w:lastRowLastColumn="0"/>
            </w:pPr>
            <w:r w:rsidRPr="002E11CA">
              <w:t>NB2</w:t>
            </w:r>
          </w:p>
        </w:tc>
        <w:tc>
          <w:tcPr>
            <w:tcW w:w="768" w:type="dxa"/>
            <w:gridSpan w:val="2"/>
          </w:tcPr>
          <w:p w14:paraId="1ADD8B70" w14:textId="77777777" w:rsidR="00B34190" w:rsidRPr="002E11CA" w:rsidRDefault="00B34190" w:rsidP="0042093B">
            <w:pPr>
              <w:cnfStyle w:val="000000000000" w:firstRow="0" w:lastRow="0" w:firstColumn="0" w:lastColumn="0" w:oddVBand="0" w:evenVBand="0" w:oddHBand="0" w:evenHBand="0" w:firstRowFirstColumn="0" w:firstRowLastColumn="0" w:lastRowFirstColumn="0" w:lastRowLastColumn="0"/>
            </w:pPr>
            <w:r w:rsidRPr="002E11CA">
              <w:t>NC Prime</w:t>
            </w:r>
          </w:p>
        </w:tc>
        <w:tc>
          <w:tcPr>
            <w:tcW w:w="676" w:type="dxa"/>
            <w:gridSpan w:val="2"/>
          </w:tcPr>
          <w:p w14:paraId="403B1131" w14:textId="77777777" w:rsidR="00B34190" w:rsidRPr="002E11CA" w:rsidRDefault="00B34190" w:rsidP="0042093B">
            <w:pPr>
              <w:cnfStyle w:val="000000000000" w:firstRow="0" w:lastRow="0" w:firstColumn="0" w:lastColumn="0" w:oddVBand="0" w:evenVBand="0" w:oddHBand="0" w:evenHBand="0" w:firstRowFirstColumn="0" w:firstRowLastColumn="0" w:lastRowFirstColumn="0" w:lastRowLastColumn="0"/>
            </w:pPr>
            <w:r w:rsidRPr="002E11CA">
              <w:t>NC Rigid</w:t>
            </w:r>
          </w:p>
        </w:tc>
        <w:tc>
          <w:tcPr>
            <w:tcW w:w="562" w:type="dxa"/>
          </w:tcPr>
          <w:p w14:paraId="350F65E9" w14:textId="77777777" w:rsidR="00B34190" w:rsidRPr="002E11CA" w:rsidRDefault="00B34190" w:rsidP="0042093B">
            <w:pPr>
              <w:cnfStyle w:val="000000000000" w:firstRow="0" w:lastRow="0" w:firstColumn="0" w:lastColumn="0" w:oddVBand="0" w:evenVBand="0" w:oddHBand="0" w:evenHBand="0" w:firstRowFirstColumn="0" w:firstRowLastColumn="0" w:lastRowFirstColumn="0" w:lastRowLastColumn="0"/>
            </w:pPr>
            <w:r w:rsidRPr="002E11CA">
              <w:t>NB1</w:t>
            </w:r>
          </w:p>
        </w:tc>
        <w:tc>
          <w:tcPr>
            <w:tcW w:w="561" w:type="dxa"/>
            <w:gridSpan w:val="2"/>
          </w:tcPr>
          <w:p w14:paraId="2AC55EB5" w14:textId="77777777" w:rsidR="00B34190" w:rsidRPr="002E11CA" w:rsidRDefault="00B34190" w:rsidP="0042093B">
            <w:pPr>
              <w:cnfStyle w:val="000000000000" w:firstRow="0" w:lastRow="0" w:firstColumn="0" w:lastColumn="0" w:oddVBand="0" w:evenVBand="0" w:oddHBand="0" w:evenHBand="0" w:firstRowFirstColumn="0" w:firstRowLastColumn="0" w:lastRowFirstColumn="0" w:lastRowLastColumn="0"/>
            </w:pPr>
            <w:r w:rsidRPr="002E11CA">
              <w:t>NB2</w:t>
            </w:r>
          </w:p>
        </w:tc>
        <w:tc>
          <w:tcPr>
            <w:tcW w:w="704" w:type="dxa"/>
            <w:gridSpan w:val="2"/>
          </w:tcPr>
          <w:p w14:paraId="70CF0F08" w14:textId="77777777" w:rsidR="00B34190" w:rsidRPr="002E11CA" w:rsidRDefault="00B34190" w:rsidP="0042093B">
            <w:pPr>
              <w:cnfStyle w:val="000000000000" w:firstRow="0" w:lastRow="0" w:firstColumn="0" w:lastColumn="0" w:oddVBand="0" w:evenVBand="0" w:oddHBand="0" w:evenHBand="0" w:firstRowFirstColumn="0" w:firstRowLastColumn="0" w:lastRowFirstColumn="0" w:lastRowLastColumn="0"/>
            </w:pPr>
            <w:r w:rsidRPr="002E11CA">
              <w:t>NC Prime</w:t>
            </w:r>
          </w:p>
        </w:tc>
        <w:tc>
          <w:tcPr>
            <w:tcW w:w="626" w:type="dxa"/>
            <w:gridSpan w:val="2"/>
          </w:tcPr>
          <w:p w14:paraId="52809879" w14:textId="77777777" w:rsidR="00B34190" w:rsidRPr="002E11CA" w:rsidRDefault="00B34190" w:rsidP="0042093B">
            <w:pPr>
              <w:cnfStyle w:val="000000000000" w:firstRow="0" w:lastRow="0" w:firstColumn="0" w:lastColumn="0" w:oddVBand="0" w:evenVBand="0" w:oddHBand="0" w:evenHBand="0" w:firstRowFirstColumn="0" w:firstRowLastColumn="0" w:lastRowFirstColumn="0" w:lastRowLastColumn="0"/>
            </w:pPr>
            <w:r w:rsidRPr="002E11CA">
              <w:t>NC Rigid</w:t>
            </w:r>
          </w:p>
        </w:tc>
      </w:tr>
      <w:tr w:rsidR="003009EC" w14:paraId="29F86160" w14:textId="77777777" w:rsidTr="003009EC">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63" w:type="dxa"/>
          </w:tcPr>
          <w:p w14:paraId="2C513CA1" w14:textId="77777777" w:rsidR="003009EC" w:rsidRPr="002E11CA" w:rsidRDefault="003009EC" w:rsidP="003009EC">
            <w:pPr>
              <w:rPr>
                <w:b w:val="0"/>
              </w:rPr>
            </w:pPr>
          </w:p>
        </w:tc>
        <w:tc>
          <w:tcPr>
            <w:tcW w:w="724" w:type="dxa"/>
            <w:gridSpan w:val="2"/>
          </w:tcPr>
          <w:p w14:paraId="438FBF22" w14:textId="77777777" w:rsidR="003009EC" w:rsidRPr="002E11CA" w:rsidRDefault="003009EC" w:rsidP="003009EC">
            <w:pPr>
              <w:cnfStyle w:val="010000000000" w:firstRow="0" w:lastRow="1" w:firstColumn="0" w:lastColumn="0" w:oddVBand="0" w:evenVBand="0" w:oddHBand="0" w:evenHBand="0" w:firstRowFirstColumn="0" w:firstRowLastColumn="0" w:lastRowFirstColumn="0" w:lastRowLastColumn="0"/>
              <w:rPr>
                <w:b w:val="0"/>
              </w:rPr>
            </w:pPr>
            <w:r w:rsidRPr="003F3DF6">
              <w:t>16225</w:t>
            </w:r>
          </w:p>
        </w:tc>
        <w:tc>
          <w:tcPr>
            <w:tcW w:w="622" w:type="dxa"/>
            <w:gridSpan w:val="2"/>
          </w:tcPr>
          <w:p w14:paraId="7CA46299" w14:textId="77777777" w:rsidR="003009EC" w:rsidRPr="002E11CA" w:rsidRDefault="003009EC" w:rsidP="003009EC">
            <w:pPr>
              <w:cnfStyle w:val="010000000000" w:firstRow="0" w:lastRow="1" w:firstColumn="0" w:lastColumn="0" w:oddVBand="0" w:evenVBand="0" w:oddHBand="0" w:evenHBand="0" w:firstRowFirstColumn="0" w:firstRowLastColumn="0" w:lastRowFirstColumn="0" w:lastRowLastColumn="0"/>
              <w:rPr>
                <w:b w:val="0"/>
              </w:rPr>
            </w:pPr>
            <w:r w:rsidRPr="003F3DF6">
              <w:t>8135</w:t>
            </w:r>
          </w:p>
        </w:tc>
        <w:tc>
          <w:tcPr>
            <w:tcW w:w="625" w:type="dxa"/>
            <w:gridSpan w:val="2"/>
          </w:tcPr>
          <w:p w14:paraId="49679353" w14:textId="77777777" w:rsidR="003009EC" w:rsidRPr="002E11CA" w:rsidRDefault="003009EC" w:rsidP="003009EC">
            <w:pPr>
              <w:cnfStyle w:val="010000000000" w:firstRow="0" w:lastRow="1" w:firstColumn="0" w:lastColumn="0" w:oddVBand="0" w:evenVBand="0" w:oddHBand="0" w:evenHBand="0" w:firstRowFirstColumn="0" w:firstRowLastColumn="0" w:lastRowFirstColumn="0" w:lastRowLastColumn="0"/>
              <w:rPr>
                <w:b w:val="0"/>
              </w:rPr>
            </w:pPr>
            <w:r w:rsidRPr="003F3DF6">
              <w:t>6000</w:t>
            </w:r>
          </w:p>
        </w:tc>
        <w:tc>
          <w:tcPr>
            <w:tcW w:w="622" w:type="dxa"/>
          </w:tcPr>
          <w:p w14:paraId="258BA7DA" w14:textId="77777777" w:rsidR="003009EC" w:rsidRPr="002E11CA" w:rsidRDefault="003009EC" w:rsidP="003009EC">
            <w:pPr>
              <w:cnfStyle w:val="010000000000" w:firstRow="0" w:lastRow="1" w:firstColumn="0" w:lastColumn="0" w:oddVBand="0" w:evenVBand="0" w:oddHBand="0" w:evenHBand="0" w:firstRowFirstColumn="0" w:firstRowLastColumn="0" w:lastRowFirstColumn="0" w:lastRowLastColumn="0"/>
              <w:rPr>
                <w:b w:val="0"/>
              </w:rPr>
            </w:pPr>
            <w:r w:rsidRPr="003F3DF6">
              <w:t>9000</w:t>
            </w:r>
          </w:p>
        </w:tc>
        <w:tc>
          <w:tcPr>
            <w:tcW w:w="663" w:type="dxa"/>
            <w:gridSpan w:val="2"/>
            <w:vAlign w:val="bottom"/>
          </w:tcPr>
          <w:p w14:paraId="79B321B8" w14:textId="77777777" w:rsidR="003009EC" w:rsidRPr="002E11CA" w:rsidRDefault="003009EC" w:rsidP="003009EC">
            <w:pPr>
              <w:cnfStyle w:val="010000000000" w:firstRow="0" w:lastRow="1" w:firstColumn="0" w:lastColumn="0" w:oddVBand="0" w:evenVBand="0" w:oddHBand="0" w:evenHBand="0" w:firstRowFirstColumn="0" w:firstRowLastColumn="0" w:lastRowFirstColumn="0" w:lastRowLastColumn="0"/>
              <w:rPr>
                <w:b w:val="0"/>
              </w:rPr>
            </w:pPr>
            <w:r>
              <w:rPr>
                <w:rFonts w:ascii="Calibri" w:hAnsi="Calibri" w:cs="Calibri"/>
                <w:color w:val="000000"/>
                <w:sz w:val="22"/>
                <w:szCs w:val="22"/>
              </w:rPr>
              <w:t>6781</w:t>
            </w:r>
          </w:p>
        </w:tc>
        <w:tc>
          <w:tcPr>
            <w:tcW w:w="663" w:type="dxa"/>
            <w:gridSpan w:val="2"/>
            <w:vAlign w:val="bottom"/>
          </w:tcPr>
          <w:p w14:paraId="682193A4" w14:textId="77777777" w:rsidR="003009EC" w:rsidRPr="002E11CA" w:rsidRDefault="003009EC" w:rsidP="003009EC">
            <w:pPr>
              <w:cnfStyle w:val="010000000000" w:firstRow="0" w:lastRow="1" w:firstColumn="0" w:lastColumn="0" w:oddVBand="0" w:evenVBand="0" w:oddHBand="0" w:evenHBand="0" w:firstRowFirstColumn="0" w:firstRowLastColumn="0" w:lastRowFirstColumn="0" w:lastRowLastColumn="0"/>
              <w:rPr>
                <w:b w:val="0"/>
              </w:rPr>
            </w:pPr>
            <w:r>
              <w:rPr>
                <w:rFonts w:ascii="Calibri" w:hAnsi="Calibri" w:cs="Calibri"/>
                <w:color w:val="000000"/>
                <w:sz w:val="22"/>
                <w:szCs w:val="22"/>
              </w:rPr>
              <w:t>1997</w:t>
            </w:r>
          </w:p>
        </w:tc>
        <w:tc>
          <w:tcPr>
            <w:tcW w:w="666" w:type="dxa"/>
            <w:gridSpan w:val="2"/>
            <w:vAlign w:val="bottom"/>
          </w:tcPr>
          <w:p w14:paraId="6B29E7E5" w14:textId="77777777" w:rsidR="003009EC" w:rsidRPr="002E11CA" w:rsidRDefault="003009EC" w:rsidP="003009EC">
            <w:pPr>
              <w:cnfStyle w:val="010000000000" w:firstRow="0" w:lastRow="1" w:firstColumn="0" w:lastColumn="0" w:oddVBand="0" w:evenVBand="0" w:oddHBand="0" w:evenHBand="0" w:firstRowFirstColumn="0" w:firstRowLastColumn="0" w:lastRowFirstColumn="0" w:lastRowLastColumn="0"/>
              <w:rPr>
                <w:b w:val="0"/>
              </w:rPr>
            </w:pPr>
            <w:r>
              <w:rPr>
                <w:rFonts w:ascii="Calibri" w:hAnsi="Calibri" w:cs="Calibri"/>
                <w:color w:val="000000"/>
                <w:sz w:val="22"/>
                <w:szCs w:val="22"/>
              </w:rPr>
              <w:t>3102</w:t>
            </w:r>
          </w:p>
        </w:tc>
        <w:tc>
          <w:tcPr>
            <w:tcW w:w="663" w:type="dxa"/>
            <w:vAlign w:val="bottom"/>
          </w:tcPr>
          <w:p w14:paraId="41B23CEB" w14:textId="77777777" w:rsidR="003009EC" w:rsidRPr="002E11CA" w:rsidRDefault="003009EC" w:rsidP="003009EC">
            <w:pPr>
              <w:cnfStyle w:val="010000000000" w:firstRow="0" w:lastRow="1" w:firstColumn="0" w:lastColumn="0" w:oddVBand="0" w:evenVBand="0" w:oddHBand="0" w:evenHBand="0" w:firstRowFirstColumn="0" w:firstRowLastColumn="0" w:lastRowFirstColumn="0" w:lastRowLastColumn="0"/>
              <w:rPr>
                <w:b w:val="0"/>
              </w:rPr>
            </w:pPr>
            <w:r>
              <w:rPr>
                <w:rFonts w:ascii="Calibri" w:hAnsi="Calibri" w:cs="Calibri"/>
                <w:color w:val="000000"/>
                <w:sz w:val="22"/>
                <w:szCs w:val="22"/>
              </w:rPr>
              <w:t>2188</w:t>
            </w:r>
          </w:p>
        </w:tc>
        <w:tc>
          <w:tcPr>
            <w:tcW w:w="615" w:type="dxa"/>
            <w:gridSpan w:val="2"/>
            <w:vAlign w:val="bottom"/>
          </w:tcPr>
          <w:p w14:paraId="6DD7DF9B" w14:textId="77777777" w:rsidR="003009EC" w:rsidRPr="002E11CA" w:rsidRDefault="003009EC" w:rsidP="003009EC">
            <w:pPr>
              <w:cnfStyle w:val="010000000000" w:firstRow="0" w:lastRow="1" w:firstColumn="0" w:lastColumn="0" w:oddVBand="0" w:evenVBand="0" w:oddHBand="0" w:evenHBand="0" w:firstRowFirstColumn="0" w:firstRowLastColumn="0" w:lastRowFirstColumn="0" w:lastRowLastColumn="0"/>
              <w:rPr>
                <w:b w:val="0"/>
              </w:rPr>
            </w:pPr>
            <w:r>
              <w:rPr>
                <w:rFonts w:ascii="Calibri" w:hAnsi="Calibri" w:cs="Calibri"/>
                <w:color w:val="000000"/>
                <w:sz w:val="22"/>
                <w:szCs w:val="22"/>
              </w:rPr>
              <w:t>41.8%</w:t>
            </w:r>
          </w:p>
        </w:tc>
        <w:tc>
          <w:tcPr>
            <w:tcW w:w="614" w:type="dxa"/>
            <w:gridSpan w:val="2"/>
            <w:vAlign w:val="bottom"/>
          </w:tcPr>
          <w:p w14:paraId="0DAA2E27" w14:textId="77777777" w:rsidR="003009EC" w:rsidRPr="002E11CA" w:rsidRDefault="003009EC" w:rsidP="003009EC">
            <w:pPr>
              <w:cnfStyle w:val="010000000000" w:firstRow="0" w:lastRow="1" w:firstColumn="0" w:lastColumn="0" w:oddVBand="0" w:evenVBand="0" w:oddHBand="0" w:evenHBand="0" w:firstRowFirstColumn="0" w:firstRowLastColumn="0" w:lastRowFirstColumn="0" w:lastRowLastColumn="0"/>
              <w:rPr>
                <w:b w:val="0"/>
              </w:rPr>
            </w:pPr>
            <w:r>
              <w:rPr>
                <w:rFonts w:ascii="Calibri" w:hAnsi="Calibri" w:cs="Calibri"/>
                <w:color w:val="000000"/>
                <w:sz w:val="22"/>
                <w:szCs w:val="22"/>
              </w:rPr>
              <w:t>24.6%</w:t>
            </w:r>
          </w:p>
        </w:tc>
        <w:tc>
          <w:tcPr>
            <w:tcW w:w="612" w:type="dxa"/>
            <w:gridSpan w:val="2"/>
            <w:vAlign w:val="bottom"/>
          </w:tcPr>
          <w:p w14:paraId="54B956EC" w14:textId="77777777" w:rsidR="003009EC" w:rsidRPr="002E11CA" w:rsidRDefault="003009EC" w:rsidP="003009EC">
            <w:pPr>
              <w:cnfStyle w:val="010000000000" w:firstRow="0" w:lastRow="1" w:firstColumn="0" w:lastColumn="0" w:oddVBand="0" w:evenVBand="0" w:oddHBand="0" w:evenHBand="0" w:firstRowFirstColumn="0" w:firstRowLastColumn="0" w:lastRowFirstColumn="0" w:lastRowLastColumn="0"/>
              <w:rPr>
                <w:b w:val="0"/>
              </w:rPr>
            </w:pPr>
            <w:r>
              <w:rPr>
                <w:rFonts w:ascii="Calibri" w:hAnsi="Calibri" w:cs="Calibri"/>
                <w:color w:val="000000"/>
                <w:sz w:val="22"/>
                <w:szCs w:val="22"/>
              </w:rPr>
              <w:t>51.7%</w:t>
            </w:r>
          </w:p>
        </w:tc>
        <w:tc>
          <w:tcPr>
            <w:tcW w:w="612" w:type="dxa"/>
            <w:vAlign w:val="bottom"/>
          </w:tcPr>
          <w:p w14:paraId="654883E2" w14:textId="77777777" w:rsidR="003009EC" w:rsidRPr="002E11CA" w:rsidRDefault="003009EC" w:rsidP="003009EC">
            <w:pPr>
              <w:cnfStyle w:val="010000000000" w:firstRow="0" w:lastRow="1" w:firstColumn="0" w:lastColumn="0" w:oddVBand="0" w:evenVBand="0" w:oddHBand="0" w:evenHBand="0" w:firstRowFirstColumn="0" w:firstRowLastColumn="0" w:lastRowFirstColumn="0" w:lastRowLastColumn="0"/>
              <w:rPr>
                <w:b w:val="0"/>
              </w:rPr>
            </w:pPr>
            <w:r>
              <w:rPr>
                <w:rFonts w:ascii="Calibri" w:hAnsi="Calibri" w:cs="Calibri"/>
                <w:color w:val="000000"/>
                <w:sz w:val="22"/>
                <w:szCs w:val="22"/>
              </w:rPr>
              <w:t>24.3%</w:t>
            </w:r>
          </w:p>
        </w:tc>
      </w:tr>
    </w:tbl>
    <w:p w14:paraId="38BC6569" w14:textId="0E18AD14" w:rsidR="00B34190" w:rsidRDefault="00B34190" w:rsidP="00B34190">
      <w:pPr>
        <w:rPr>
          <w:lang w:val="x-none"/>
        </w:rPr>
      </w:pPr>
      <w:r w:rsidRPr="00B24DD2">
        <w:rPr>
          <w:lang w:val="x-none"/>
        </w:rPr>
        <w:t xml:space="preserve">In Australia, the fitment of </w:t>
      </w:r>
      <w:r w:rsidRPr="00B24DD2">
        <w:rPr>
          <w:lang w:val="en-US"/>
        </w:rPr>
        <w:t>LDWS</w:t>
      </w:r>
      <w:r w:rsidRPr="00B24DD2">
        <w:rPr>
          <w:lang w:val="x-none"/>
        </w:rPr>
        <w:t xml:space="preserve"> is significantly </w:t>
      </w:r>
      <w:r w:rsidRPr="00E37CA8">
        <w:rPr>
          <w:lang w:val="x-none"/>
        </w:rPr>
        <w:t>higher</w:t>
      </w:r>
      <w:r>
        <w:rPr>
          <w:lang w:val="en-US"/>
        </w:rPr>
        <w:t xml:space="preserve"> </w:t>
      </w:r>
      <w:r w:rsidRPr="00B24DD2">
        <w:rPr>
          <w:lang w:val="x-none"/>
        </w:rPr>
        <w:t xml:space="preserve">for NC category heavy duty prime movers than for other </w:t>
      </w:r>
      <w:r w:rsidR="00E37CA8">
        <w:rPr>
          <w:lang w:val="en-US"/>
        </w:rPr>
        <w:t xml:space="preserve">heavy </w:t>
      </w:r>
      <w:r w:rsidRPr="00B24DD2">
        <w:rPr>
          <w:lang w:val="x-none"/>
        </w:rPr>
        <w:t xml:space="preserve">vehicle categories. The reason for this is not clear, but it may relate to the higher value of these </w:t>
      </w:r>
      <w:r w:rsidR="00E37CA8">
        <w:rPr>
          <w:lang w:val="en-US"/>
        </w:rPr>
        <w:t xml:space="preserve">prime movers </w:t>
      </w:r>
      <w:r w:rsidRPr="00B24DD2">
        <w:rPr>
          <w:lang w:val="x-none"/>
        </w:rPr>
        <w:t>a</w:t>
      </w:r>
      <w:r w:rsidR="00E37CA8">
        <w:rPr>
          <w:lang w:val="x-none"/>
        </w:rPr>
        <w:t xml:space="preserve">nd the loads that they carry. A </w:t>
      </w:r>
      <w:r w:rsidR="00E37CA8">
        <w:rPr>
          <w:lang w:val="en-US"/>
        </w:rPr>
        <w:t xml:space="preserve">heavy vehicle </w:t>
      </w:r>
      <w:r w:rsidRPr="00B24DD2">
        <w:rPr>
          <w:lang w:val="x-none"/>
        </w:rPr>
        <w:t xml:space="preserve">owner is more likely to order the technology if its cost is less relative to the overall cost of the </w:t>
      </w:r>
      <w:r w:rsidR="00E37CA8">
        <w:rPr>
          <w:lang w:val="en-US"/>
        </w:rPr>
        <w:t>heavy vehicle</w:t>
      </w:r>
      <w:r w:rsidRPr="00B24DD2">
        <w:rPr>
          <w:lang w:val="x-none"/>
        </w:rPr>
        <w:t xml:space="preserve">. Another factor may be the awareness of owners </w:t>
      </w:r>
      <w:r w:rsidR="00FB4019">
        <w:t>of</w:t>
      </w:r>
      <w:r w:rsidRPr="00B24DD2">
        <w:rPr>
          <w:lang w:val="x-none"/>
        </w:rPr>
        <w:t xml:space="preserve"> heavy duty prime movers </w:t>
      </w:r>
      <w:r w:rsidR="00FB4019">
        <w:t>to</w:t>
      </w:r>
      <w:r w:rsidR="00FB4019" w:rsidRPr="00B24DD2">
        <w:rPr>
          <w:lang w:val="x-none"/>
        </w:rPr>
        <w:t xml:space="preserve"> </w:t>
      </w:r>
      <w:r w:rsidRPr="00B24DD2">
        <w:rPr>
          <w:lang w:val="x-none"/>
        </w:rPr>
        <w:t>a greater exposure to high loads</w:t>
      </w:r>
      <w:r>
        <w:rPr>
          <w:lang w:val="en-US"/>
        </w:rPr>
        <w:t>, long distances</w:t>
      </w:r>
      <w:r w:rsidRPr="00B24DD2">
        <w:rPr>
          <w:lang w:val="x-none"/>
        </w:rPr>
        <w:t xml:space="preserve"> and highway speeds</w:t>
      </w:r>
      <w:r w:rsidR="00FB4019">
        <w:t>. This means that</w:t>
      </w:r>
      <w:r w:rsidR="00FB4019" w:rsidRPr="00B24DD2">
        <w:rPr>
          <w:lang w:val="x-none"/>
        </w:rPr>
        <w:t xml:space="preserve"> </w:t>
      </w:r>
      <w:r w:rsidRPr="00B24DD2">
        <w:rPr>
          <w:lang w:val="x-none"/>
        </w:rPr>
        <w:t>there are greater co</w:t>
      </w:r>
      <w:r w:rsidR="00E37CA8">
        <w:rPr>
          <w:lang w:val="x-none"/>
        </w:rPr>
        <w:t>nsequences should a crash occur.</w:t>
      </w:r>
    </w:p>
    <w:p w14:paraId="2E8B3633" w14:textId="77777777" w:rsidR="00432DF7" w:rsidRDefault="00C60D57" w:rsidP="00445D5D">
      <w:pPr>
        <w:pStyle w:val="Heading2"/>
      </w:pPr>
      <w:bookmarkStart w:id="27" w:name="_Toc100326788"/>
      <w:r>
        <w:lastRenderedPageBreak/>
        <w:t>Consumer knowledge</w:t>
      </w:r>
      <w:bookmarkEnd w:id="27"/>
    </w:p>
    <w:p w14:paraId="2DAB2030" w14:textId="4AE5CB4B" w:rsidR="00C60D57" w:rsidRDefault="00C60D57" w:rsidP="00B34190">
      <w:r w:rsidRPr="003E1CB7">
        <w:t>Road vehicles today are complex machines which o</w:t>
      </w:r>
      <w:r w:rsidRPr="00CA5351">
        <w:t>perate in a high risk environment, leading to deaths and injuries each year</w:t>
      </w:r>
      <w:r w:rsidRPr="003E1CB7">
        <w:t xml:space="preserve">. Vehicles are made of multiple, complex and sophisticated mechanical, electrical and electronic components and the average consumer is often </w:t>
      </w:r>
      <w:r w:rsidRPr="00CA5351">
        <w:t xml:space="preserve">unaware of the function of each component and its contribution to the functioning of the vehicle as a whole. For example, a consumer </w:t>
      </w:r>
      <w:r w:rsidRPr="003E1CB7">
        <w:t>is unlikely to be able to assess the crashworthiness of the vehicle because the structural design determines the degree of occupant protection, with many important components</w:t>
      </w:r>
      <w:r w:rsidRPr="00CA5351">
        <w:t xml:space="preserve">, </w:t>
      </w:r>
      <w:r w:rsidRPr="003E1CB7">
        <w:t xml:space="preserve">e.g. side intrusion bars, concealed and overall structural integrity influenced by the mechanical properties, e.g. yield strength, stiffness etc., of materials used, as well as the design geometry, e.g. thickness, width etc., and weld properties. </w:t>
      </w:r>
    </w:p>
    <w:p w14:paraId="18FEAD3A" w14:textId="3666651A" w:rsidR="00C60D57" w:rsidRDefault="00C60D57" w:rsidP="00C60D57">
      <w:r w:rsidRPr="00CA5351">
        <w:t xml:space="preserve">It is difficult for consumers to obtain the information and understanding required to evaluate a vehicle’s safety performance and make an informed decision </w:t>
      </w:r>
      <w:r>
        <w:t>about</w:t>
      </w:r>
      <w:r w:rsidRPr="00CA5351">
        <w:t xml:space="preserve"> the appropriate vehicle to purchase. Without any intervention, the consumer would need to inform themselves of all those components to make the best choice. Moreover, some vehicle safety technologies emphasise externalities and might not be prioritised or seen as necessary by consumers, who are likely to focus on their own safety over pedestrian safety.</w:t>
      </w:r>
    </w:p>
    <w:p w14:paraId="7D485119" w14:textId="6FD283D8" w:rsidR="00B34190" w:rsidRPr="009E04E9" w:rsidRDefault="00C60D57" w:rsidP="00B34190">
      <w:pPr>
        <w:rPr>
          <w:lang w:val="x-none"/>
        </w:rPr>
      </w:pPr>
      <w:r>
        <w:t>There is some help available for the consumer to assist with the choice of purchasing a new vehicle in the light vehicle segment. The Australian New Car Assessment Program (</w:t>
      </w:r>
      <w:r w:rsidR="00B34190" w:rsidRPr="009E04E9">
        <w:rPr>
          <w:lang w:val="x-none"/>
        </w:rPr>
        <w:t>ANCAP</w:t>
      </w:r>
      <w:r>
        <w:t>)</w:t>
      </w:r>
      <w:r w:rsidR="00B34190" w:rsidRPr="009E04E9">
        <w:rPr>
          <w:lang w:val="x-none"/>
        </w:rPr>
        <w:t xml:space="preserve"> publishes safety ratings for a range of new passenger, sports utility (SUV) and light commercial vehicles (LCV) entering the Australian and New Zealand markets, using a rating system of 0 to 5 stars. ANCAP has reported that the number of top 100 selling </w:t>
      </w:r>
      <w:r w:rsidR="00B34190">
        <w:rPr>
          <w:lang w:val="en-US"/>
        </w:rPr>
        <w:t>light vehicle</w:t>
      </w:r>
      <w:r w:rsidR="00B34190" w:rsidRPr="009E04E9">
        <w:rPr>
          <w:lang w:val="x-none"/>
        </w:rPr>
        <w:t xml:space="preserve"> models offered with</w:t>
      </w:r>
      <w:r w:rsidR="002E371B">
        <w:rPr>
          <w:lang w:val="en-US"/>
        </w:rPr>
        <w:t xml:space="preserve"> a</w:t>
      </w:r>
      <w:r w:rsidR="00B34190" w:rsidRPr="009E04E9">
        <w:rPr>
          <w:lang w:val="x-none"/>
        </w:rPr>
        <w:t xml:space="preserve"> </w:t>
      </w:r>
      <w:r w:rsidR="00B34190">
        <w:rPr>
          <w:lang w:val="en-US"/>
        </w:rPr>
        <w:t>LDWS</w:t>
      </w:r>
      <w:r w:rsidR="00B34190" w:rsidRPr="009E04E9">
        <w:rPr>
          <w:lang w:val="x-none"/>
        </w:rPr>
        <w:t xml:space="preserve"> as</w:t>
      </w:r>
      <w:r w:rsidR="004C2077">
        <w:rPr>
          <w:lang w:val="en-US"/>
        </w:rPr>
        <w:t xml:space="preserve"> </w:t>
      </w:r>
      <w:r w:rsidR="00B34190" w:rsidRPr="009E04E9">
        <w:rPr>
          <w:lang w:val="x-none"/>
        </w:rPr>
        <w:t>standard</w:t>
      </w:r>
      <w:r w:rsidR="004C2077">
        <w:rPr>
          <w:lang w:val="en-US"/>
        </w:rPr>
        <w:t xml:space="preserve"> fitment has</w:t>
      </w:r>
      <w:r w:rsidR="00B34190" w:rsidRPr="009E04E9">
        <w:rPr>
          <w:lang w:val="x-none"/>
        </w:rPr>
        <w:t xml:space="preserve"> increased from 3</w:t>
      </w:r>
      <w:r w:rsidR="00B34190">
        <w:rPr>
          <w:lang w:val="en-US"/>
        </w:rPr>
        <w:t>5</w:t>
      </w:r>
      <w:r w:rsidR="00B34190" w:rsidRPr="009E04E9">
        <w:rPr>
          <w:lang w:val="x-none"/>
        </w:rPr>
        <w:t xml:space="preserve"> per cent of the market in </w:t>
      </w:r>
      <w:r w:rsidR="00B34190">
        <w:rPr>
          <w:lang w:val="en-US"/>
        </w:rPr>
        <w:t xml:space="preserve">June </w:t>
      </w:r>
      <w:r w:rsidR="00B34190" w:rsidRPr="009E04E9">
        <w:rPr>
          <w:lang w:val="x-none"/>
        </w:rPr>
        <w:t>201</w:t>
      </w:r>
      <w:r w:rsidR="00B34190">
        <w:rPr>
          <w:lang w:val="en-US"/>
        </w:rPr>
        <w:t>9</w:t>
      </w:r>
      <w:r w:rsidR="00B34190" w:rsidRPr="009E04E9">
        <w:rPr>
          <w:lang w:val="x-none"/>
        </w:rPr>
        <w:t xml:space="preserve">, to </w:t>
      </w:r>
      <w:r w:rsidR="00B34190">
        <w:rPr>
          <w:lang w:val="en-US"/>
        </w:rPr>
        <w:t>53</w:t>
      </w:r>
      <w:r w:rsidR="00B34190" w:rsidRPr="009E04E9">
        <w:rPr>
          <w:lang w:val="x-none"/>
        </w:rPr>
        <w:t xml:space="preserve"> per cent of the market in</w:t>
      </w:r>
      <w:r w:rsidR="00B34190">
        <w:rPr>
          <w:lang w:val="en-US"/>
        </w:rPr>
        <w:t xml:space="preserve"> June</w:t>
      </w:r>
      <w:r w:rsidR="00B34190" w:rsidRPr="009E04E9">
        <w:rPr>
          <w:lang w:val="x-none"/>
        </w:rPr>
        <w:t xml:space="preserve"> 20</w:t>
      </w:r>
      <w:r w:rsidR="00B34190">
        <w:rPr>
          <w:lang w:val="en-US"/>
        </w:rPr>
        <w:t>20</w:t>
      </w:r>
      <w:r w:rsidR="004C2077">
        <w:rPr>
          <w:lang w:val="en-US"/>
        </w:rPr>
        <w:t xml:space="preserve"> (ANCAP, 2021)</w:t>
      </w:r>
      <w:r w:rsidR="00B34190">
        <w:rPr>
          <w:lang w:val="x-none"/>
        </w:rPr>
        <w:t>.</w:t>
      </w:r>
    </w:p>
    <w:p w14:paraId="5A5C33C7" w14:textId="77777777" w:rsidR="00042060" w:rsidRDefault="00B34190" w:rsidP="00042060">
      <w:pPr>
        <w:rPr>
          <w:lang w:val="x-none"/>
        </w:rPr>
      </w:pPr>
      <w:r w:rsidRPr="009E04E9">
        <w:rPr>
          <w:lang w:val="x-none"/>
        </w:rPr>
        <w:t xml:space="preserve">Unlike the light vehicle fleet, there are no national consumer safety ratings schemes for new heavy vehicles. Despite </w:t>
      </w:r>
      <w:r>
        <w:rPr>
          <w:lang w:val="en-US"/>
        </w:rPr>
        <w:t>LDWS</w:t>
      </w:r>
      <w:r w:rsidRPr="009E04E9">
        <w:rPr>
          <w:lang w:val="x-none"/>
        </w:rPr>
        <w:t xml:space="preserve"> being a</w:t>
      </w:r>
      <w:r w:rsidR="00FB4019">
        <w:t xml:space="preserve"> demonstrated safety technology</w:t>
      </w:r>
      <w:r w:rsidRPr="009E04E9">
        <w:rPr>
          <w:lang w:val="x-none"/>
        </w:rPr>
        <w:t>, new heavy vehicles are generally configured with an emphasis on productivity, with a lower level of passive and active safety features than is typical of light vehicles.</w:t>
      </w:r>
    </w:p>
    <w:p w14:paraId="1E3B3156" w14:textId="4077D493" w:rsidR="006B7C78" w:rsidRDefault="006B7C78" w:rsidP="006B7C78">
      <w:r>
        <w:t xml:space="preserve">To provide a suitable and sufficient risk assessment of vehicles, governments around the world have over the past 20-30 years collectively leaned towards the use of a combination of regulatory, i.e. mandatory standards, and non-regulatory, e.g. New Car Assessment Programs (NCAPs), performance based tests, as the primary policy to improve safety for vehicle occupants and other road users. </w:t>
      </w:r>
    </w:p>
    <w:p w14:paraId="5FE07420" w14:textId="77777777" w:rsidR="00AF3413" w:rsidRPr="005F794B" w:rsidRDefault="00AF3413" w:rsidP="00AF3413">
      <w:pPr>
        <w:pStyle w:val="Heading2"/>
      </w:pPr>
      <w:bookmarkStart w:id="28" w:name="_Toc100326789"/>
      <w:r>
        <w:t>Vehicle technology interventions</w:t>
      </w:r>
      <w:bookmarkEnd w:id="28"/>
    </w:p>
    <w:p w14:paraId="40D3DF32" w14:textId="2D1267A7" w:rsidR="00657808" w:rsidRDefault="00657808" w:rsidP="00FC2EB9">
      <w:r w:rsidRPr="00657808">
        <w:t>As early as 2004 (</w:t>
      </w:r>
      <w:r w:rsidRPr="00DF4399">
        <w:t>MUARC, 2004</w:t>
      </w:r>
      <w:r w:rsidRPr="00657808">
        <w:t>), Australian experts identified the potential of several heavy truck and bus advanced safety technologies as promising countermeasures to reduce crashes</w:t>
      </w:r>
      <w:r w:rsidR="00FB4019">
        <w:t xml:space="preserve"> involving heavy vehicles and buses</w:t>
      </w:r>
      <w:r w:rsidRPr="00657808">
        <w:t>. These safety technologies are commonly referred to as Advanced Driver Assist Systems (ADAS). They may use sensors or alerts to warn a driver of a possible collision, actively assume control of a vehicle in situations where a driver does not react to the threat of an imminent crash, or improve driver and fleet management (e.g., monitoring vehicle safety systems and drivers’ hours-of-service status). Although some ADAS may be effective at preventing crashes, it is also important to know whether they are cost-effective, as this information may assist consumers in purchasing advanced safety technologies and/or government regulators in mandating their use.</w:t>
      </w:r>
      <w:r w:rsidR="008C21AE" w:rsidRPr="008C21AE">
        <w:t xml:space="preserve"> Research suggests that LDWS fitted to heavy vehicles may reduce up to six per cent of fatal heavy vehicle crashes (</w:t>
      </w:r>
      <w:proofErr w:type="spellStart"/>
      <w:r w:rsidR="008C21AE" w:rsidRPr="00DF4399">
        <w:t>TfNSW</w:t>
      </w:r>
      <w:proofErr w:type="spellEnd"/>
      <w:r w:rsidR="008C21AE" w:rsidRPr="00DF4399">
        <w:t>, 2020</w:t>
      </w:r>
      <w:r w:rsidR="008C21AE" w:rsidRPr="008C21AE">
        <w:t>).</w:t>
      </w:r>
    </w:p>
    <w:p w14:paraId="1B264666" w14:textId="77777777" w:rsidR="002B5004" w:rsidRPr="00562765" w:rsidRDefault="002B5004" w:rsidP="00FC2EB9">
      <w:pPr>
        <w:rPr>
          <w:lang w:val="en-US"/>
        </w:rPr>
      </w:pPr>
      <w:r w:rsidRPr="00562765">
        <w:t xml:space="preserve">On-board safety systems for heavy commercial vehicles have been developed and implemented over a considerable period of time, ranging from anti-lock braking systems (ABS) and speed control, through stability control (ESC, RSC), forward collision warning (FCW), adaptive cruise control (ACC) and driver drowsiness monitoring, to crash-imminent braking (AEB). </w:t>
      </w:r>
      <w:r w:rsidR="00A34E5E" w:rsidRPr="00562765">
        <w:rPr>
          <w:lang w:val="x-none"/>
        </w:rPr>
        <w:t>Improvements to heavy vehicle design and safety</w:t>
      </w:r>
      <w:r w:rsidR="00A34E5E" w:rsidRPr="00562765">
        <w:rPr>
          <w:lang w:val="en-US"/>
        </w:rPr>
        <w:t xml:space="preserve"> </w:t>
      </w:r>
      <w:r w:rsidR="00A34E5E" w:rsidRPr="00562765">
        <w:rPr>
          <w:lang w:val="x-none"/>
        </w:rPr>
        <w:t xml:space="preserve">features </w:t>
      </w:r>
      <w:r w:rsidRPr="00562765">
        <w:rPr>
          <w:lang w:val="en-US"/>
        </w:rPr>
        <w:t xml:space="preserve">therefore </w:t>
      </w:r>
      <w:r w:rsidR="00A34E5E" w:rsidRPr="00562765">
        <w:rPr>
          <w:lang w:val="x-none"/>
        </w:rPr>
        <w:t>have contribut</w:t>
      </w:r>
      <w:r w:rsidR="00A42C6E">
        <w:rPr>
          <w:lang w:val="en-US"/>
        </w:rPr>
        <w:t>ed</w:t>
      </w:r>
      <w:r w:rsidR="00A34E5E" w:rsidRPr="00562765">
        <w:rPr>
          <w:lang w:val="x-none"/>
        </w:rPr>
        <w:t xml:space="preserve"> to</w:t>
      </w:r>
      <w:r w:rsidR="00A34E5E" w:rsidRPr="00562765">
        <w:rPr>
          <w:lang w:val="en-US"/>
        </w:rPr>
        <w:t xml:space="preserve"> </w:t>
      </w:r>
      <w:r w:rsidR="00A34E5E" w:rsidRPr="00562765">
        <w:rPr>
          <w:lang w:val="x-none"/>
        </w:rPr>
        <w:t xml:space="preserve">reducing the number and severity of </w:t>
      </w:r>
      <w:r w:rsidRPr="00562765">
        <w:rPr>
          <w:lang w:val="en-US"/>
        </w:rPr>
        <w:t xml:space="preserve">heavy vehicle </w:t>
      </w:r>
      <w:r w:rsidR="00A34E5E" w:rsidRPr="00562765">
        <w:rPr>
          <w:lang w:val="x-none"/>
        </w:rPr>
        <w:t>crashes.</w:t>
      </w:r>
      <w:r w:rsidR="00FC2EB9" w:rsidRPr="00562765">
        <w:t xml:space="preserve"> </w:t>
      </w:r>
      <w:r w:rsidR="00FC2EB9" w:rsidRPr="00562765">
        <w:rPr>
          <w:lang w:val="x-none"/>
        </w:rPr>
        <w:t>Some technologies have additional benefits such</w:t>
      </w:r>
      <w:r w:rsidR="00FC2EB9" w:rsidRPr="00562765">
        <w:rPr>
          <w:lang w:val="en-US"/>
        </w:rPr>
        <w:t xml:space="preserve"> </w:t>
      </w:r>
      <w:r w:rsidR="00FC2EB9" w:rsidRPr="00562765">
        <w:rPr>
          <w:lang w:val="x-none"/>
        </w:rPr>
        <w:t>as improving driver and passenger comfort. Some</w:t>
      </w:r>
      <w:r w:rsidR="00FC2EB9" w:rsidRPr="00562765">
        <w:rPr>
          <w:lang w:val="en-US"/>
        </w:rPr>
        <w:t xml:space="preserve"> </w:t>
      </w:r>
      <w:r w:rsidR="00FC2EB9" w:rsidRPr="00562765">
        <w:rPr>
          <w:lang w:val="x-none"/>
        </w:rPr>
        <w:t>of the more advanced technologies come at a cost</w:t>
      </w:r>
      <w:r w:rsidR="00FC2EB9" w:rsidRPr="00562765">
        <w:rPr>
          <w:lang w:val="en-US"/>
        </w:rPr>
        <w:t xml:space="preserve"> </w:t>
      </w:r>
      <w:r w:rsidR="00FC2EB9" w:rsidRPr="00562765">
        <w:rPr>
          <w:lang w:val="x-none"/>
        </w:rPr>
        <w:t>but many are inexpensive</w:t>
      </w:r>
      <w:r w:rsidRPr="00562765">
        <w:rPr>
          <w:lang w:val="en-US"/>
        </w:rPr>
        <w:t xml:space="preserve"> over the longer term</w:t>
      </w:r>
      <w:r w:rsidR="00FC2EB9" w:rsidRPr="00562765">
        <w:rPr>
          <w:lang w:val="x-none"/>
        </w:rPr>
        <w:t xml:space="preserve"> and practical to integrate into the heavy vehicle architecture at the design and production phase of a new heavy vehicle.</w:t>
      </w:r>
      <w:r w:rsidR="00FC2EB9" w:rsidRPr="00562765">
        <w:rPr>
          <w:lang w:val="en-US"/>
        </w:rPr>
        <w:t xml:space="preserve"> </w:t>
      </w:r>
    </w:p>
    <w:p w14:paraId="26678A9A" w14:textId="0B1D443B" w:rsidR="00A47A43" w:rsidRPr="00FC2EB9" w:rsidRDefault="00FC2EB9" w:rsidP="00FC2EB9">
      <w:pPr>
        <w:rPr>
          <w:lang w:val="en-US"/>
        </w:rPr>
      </w:pPr>
      <w:r w:rsidRPr="00562765">
        <w:rPr>
          <w:lang w:val="en-US"/>
        </w:rPr>
        <w:t xml:space="preserve">Crash avoidance features are safety technologies that assist the driver to reduce the </w:t>
      </w:r>
      <w:r w:rsidR="00323FF6" w:rsidRPr="00562765">
        <w:rPr>
          <w:lang w:val="en-US"/>
        </w:rPr>
        <w:t xml:space="preserve">likelihood of a crash. Other crash avoidance features actively intervene </w:t>
      </w:r>
      <w:r w:rsidR="00FB4019">
        <w:rPr>
          <w:lang w:val="en-US"/>
        </w:rPr>
        <w:t>i</w:t>
      </w:r>
      <w:r w:rsidR="00323FF6" w:rsidRPr="00562765">
        <w:rPr>
          <w:lang w:val="en-US"/>
        </w:rPr>
        <w:t xml:space="preserve">n the driving </w:t>
      </w:r>
      <w:r w:rsidR="002B5004" w:rsidRPr="00562765">
        <w:rPr>
          <w:lang w:val="en-US"/>
        </w:rPr>
        <w:t>task</w:t>
      </w:r>
      <w:r w:rsidR="00323FF6" w:rsidRPr="00562765">
        <w:rPr>
          <w:lang w:val="en-US"/>
        </w:rPr>
        <w:t xml:space="preserve"> to prevent or mitigate a crash.</w:t>
      </w:r>
      <w:r w:rsidR="00A70107">
        <w:rPr>
          <w:lang w:val="en-US"/>
        </w:rPr>
        <w:t xml:space="preserve"> </w:t>
      </w:r>
      <w:r w:rsidR="00A47A43" w:rsidRPr="00562765">
        <w:t>Research</w:t>
      </w:r>
      <w:r w:rsidR="00583843">
        <w:t xml:space="preserve"> </w:t>
      </w:r>
      <w:r w:rsidR="00583843">
        <w:rPr>
          <w:lang w:val="en-US"/>
        </w:rPr>
        <w:t>(</w:t>
      </w:r>
      <w:r w:rsidR="00583843" w:rsidRPr="00DF4399">
        <w:rPr>
          <w:lang w:val="x-none"/>
        </w:rPr>
        <w:t xml:space="preserve">Budd </w:t>
      </w:r>
      <w:r w:rsidR="00583843">
        <w:rPr>
          <w:lang w:val="en-US"/>
        </w:rPr>
        <w:t>et al., 2015)</w:t>
      </w:r>
      <w:r w:rsidR="00A47A43" w:rsidRPr="00562765">
        <w:t xml:space="preserve"> has </w:t>
      </w:r>
      <w:r w:rsidR="00A47A43" w:rsidRPr="00562765">
        <w:lastRenderedPageBreak/>
        <w:t xml:space="preserve">shown these systems to be effective in reducing crashes – in some cases, highly effective – and implementation has taken place through the voluntary action of manufacturers and fleets, and in </w:t>
      </w:r>
      <w:r w:rsidR="00CE208B" w:rsidRPr="00562765">
        <w:t>other</w:t>
      </w:r>
      <w:r w:rsidR="00A47A43" w:rsidRPr="00562765">
        <w:t xml:space="preserve"> cases through government-mandated requirements for new vehicles.</w:t>
      </w:r>
    </w:p>
    <w:p w14:paraId="6D3CFDB9" w14:textId="77777777" w:rsidR="00E618E6" w:rsidRDefault="00E618E6" w:rsidP="00E618E6">
      <w:pPr>
        <w:pStyle w:val="Heading2"/>
        <w:rPr>
          <w:lang w:val="en-US"/>
        </w:rPr>
      </w:pPr>
      <w:bookmarkStart w:id="29" w:name="_Toc100326790"/>
      <w:r>
        <w:rPr>
          <w:lang w:val="en-US"/>
        </w:rPr>
        <w:t>Lane Departure Warning Systems</w:t>
      </w:r>
      <w:bookmarkEnd w:id="29"/>
    </w:p>
    <w:p w14:paraId="57DEA2DC" w14:textId="08740C1A" w:rsidR="00AF3413" w:rsidRDefault="00B410E5" w:rsidP="00B410E5">
      <w:pPr>
        <w:rPr>
          <w:lang w:val="x-none"/>
        </w:rPr>
      </w:pPr>
      <w:r w:rsidRPr="00B410E5">
        <w:rPr>
          <w:lang w:val="x-none"/>
        </w:rPr>
        <w:t xml:space="preserve">Lane departure warning systems </w:t>
      </w:r>
      <w:r w:rsidR="00323FF6">
        <w:rPr>
          <w:lang w:val="en-US"/>
        </w:rPr>
        <w:t xml:space="preserve">(LDWS) </w:t>
      </w:r>
      <w:r w:rsidRPr="00B410E5">
        <w:rPr>
          <w:lang w:val="x-none"/>
        </w:rPr>
        <w:t>have been in development by industry for over 20 years. LDWS</w:t>
      </w:r>
      <w:r>
        <w:rPr>
          <w:lang w:val="en-US"/>
        </w:rPr>
        <w:t xml:space="preserve"> </w:t>
      </w:r>
      <w:r w:rsidRPr="00B410E5">
        <w:rPr>
          <w:lang w:val="x-none"/>
        </w:rPr>
        <w:t>are generally visual</w:t>
      </w:r>
      <w:r>
        <w:rPr>
          <w:lang w:val="en-US"/>
        </w:rPr>
        <w:t xml:space="preserve"> </w:t>
      </w:r>
      <w:r w:rsidRPr="00B410E5">
        <w:rPr>
          <w:lang w:val="x-none"/>
        </w:rPr>
        <w:t>devices that look at the lane line markers to compute a predicted moment of</w:t>
      </w:r>
      <w:r>
        <w:rPr>
          <w:lang w:val="en-US"/>
        </w:rPr>
        <w:t xml:space="preserve"> </w:t>
      </w:r>
      <w:r w:rsidRPr="00B410E5">
        <w:rPr>
          <w:lang w:val="x-none"/>
        </w:rPr>
        <w:t>lane departure and alert the driver when</w:t>
      </w:r>
      <w:r>
        <w:rPr>
          <w:lang w:val="en-US"/>
        </w:rPr>
        <w:t xml:space="preserve"> </w:t>
      </w:r>
      <w:r w:rsidRPr="00B410E5">
        <w:rPr>
          <w:lang w:val="x-none"/>
        </w:rPr>
        <w:t>unintended lane departures are about to occur without</w:t>
      </w:r>
      <w:r>
        <w:rPr>
          <w:lang w:val="en-US"/>
        </w:rPr>
        <w:t xml:space="preserve"> </w:t>
      </w:r>
      <w:r w:rsidRPr="00B410E5">
        <w:rPr>
          <w:lang w:val="x-none"/>
        </w:rPr>
        <w:t>causing undue false warnings due to subtle lateral lane position</w:t>
      </w:r>
      <w:r>
        <w:rPr>
          <w:lang w:val="en-US"/>
        </w:rPr>
        <w:t xml:space="preserve"> </w:t>
      </w:r>
      <w:r w:rsidRPr="00B410E5">
        <w:rPr>
          <w:lang w:val="x-none"/>
        </w:rPr>
        <w:t>changes. Beginning with simple</w:t>
      </w:r>
      <w:r>
        <w:rPr>
          <w:lang w:val="en-US"/>
        </w:rPr>
        <w:t xml:space="preserve"> </w:t>
      </w:r>
      <w:r w:rsidRPr="00B410E5">
        <w:rPr>
          <w:lang w:val="x-none"/>
        </w:rPr>
        <w:t>line scan video, LDW</w:t>
      </w:r>
      <w:r w:rsidR="001A0096">
        <w:rPr>
          <w:lang w:val="en-GB"/>
        </w:rPr>
        <w:t>S</w:t>
      </w:r>
      <w:r w:rsidRPr="00B410E5">
        <w:rPr>
          <w:lang w:val="x-none"/>
        </w:rPr>
        <w:t xml:space="preserve"> ha</w:t>
      </w:r>
      <w:r w:rsidR="001A0096">
        <w:rPr>
          <w:lang w:val="en-GB"/>
        </w:rPr>
        <w:t>ve</w:t>
      </w:r>
      <w:r w:rsidRPr="00B410E5">
        <w:rPr>
          <w:lang w:val="x-none"/>
        </w:rPr>
        <w:t xml:space="preserve"> developed into sophisticated lane marker identification and lane</w:t>
      </w:r>
      <w:r>
        <w:rPr>
          <w:lang w:val="en-US"/>
        </w:rPr>
        <w:t xml:space="preserve"> </w:t>
      </w:r>
      <w:r w:rsidRPr="00B410E5">
        <w:rPr>
          <w:lang w:val="x-none"/>
        </w:rPr>
        <w:t>boundary projection systems that provide the driver with a warning if the vehicle has a trajectory</w:t>
      </w:r>
      <w:r>
        <w:rPr>
          <w:lang w:val="en-US"/>
        </w:rPr>
        <w:t xml:space="preserve"> </w:t>
      </w:r>
      <w:r w:rsidRPr="00B410E5">
        <w:rPr>
          <w:lang w:val="x-none"/>
        </w:rPr>
        <w:t>that will take it out of</w:t>
      </w:r>
      <w:r w:rsidR="00A42C6E">
        <w:rPr>
          <w:lang w:val="en-US"/>
        </w:rPr>
        <w:t xml:space="preserve"> its</w:t>
      </w:r>
      <w:r>
        <w:rPr>
          <w:lang w:val="en-US"/>
        </w:rPr>
        <w:t xml:space="preserve"> </w:t>
      </w:r>
      <w:r w:rsidRPr="00B410E5">
        <w:rPr>
          <w:lang w:val="x-none"/>
        </w:rPr>
        <w:t xml:space="preserve">lane. While most LDWS apply video </w:t>
      </w:r>
      <w:r w:rsidR="00A42C6E">
        <w:rPr>
          <w:lang w:val="en-US"/>
        </w:rPr>
        <w:t>technology</w:t>
      </w:r>
      <w:r w:rsidRPr="00B410E5">
        <w:rPr>
          <w:lang w:val="x-none"/>
        </w:rPr>
        <w:t xml:space="preserve">, other </w:t>
      </w:r>
      <w:r w:rsidR="00A42C6E">
        <w:rPr>
          <w:lang w:val="en-US"/>
        </w:rPr>
        <w:t>methods</w:t>
      </w:r>
      <w:r>
        <w:rPr>
          <w:lang w:val="en-US"/>
        </w:rPr>
        <w:t xml:space="preserve"> </w:t>
      </w:r>
      <w:r w:rsidRPr="00B410E5">
        <w:rPr>
          <w:lang w:val="x-none"/>
        </w:rPr>
        <w:t>include infrared, Lidar, magnetic, and electronic</w:t>
      </w:r>
      <w:r>
        <w:rPr>
          <w:lang w:val="en-US"/>
        </w:rPr>
        <w:t xml:space="preserve"> </w:t>
      </w:r>
      <w:r w:rsidRPr="00B410E5">
        <w:rPr>
          <w:lang w:val="x-none"/>
        </w:rPr>
        <w:t>mapping technologies.</w:t>
      </w:r>
    </w:p>
    <w:p w14:paraId="131AA71E" w14:textId="77777777" w:rsidR="00B410E5" w:rsidRDefault="00B410E5" w:rsidP="00B410E5">
      <w:pPr>
        <w:rPr>
          <w:lang w:val="x-none"/>
        </w:rPr>
      </w:pPr>
      <w:r w:rsidRPr="00B410E5">
        <w:rPr>
          <w:lang w:val="x-none"/>
        </w:rPr>
        <w:t>Initial LDWS development was for standalon</w:t>
      </w:r>
      <w:r>
        <w:rPr>
          <w:lang w:val="x-none"/>
        </w:rPr>
        <w:t xml:space="preserve">e systems, but with the </w:t>
      </w:r>
      <w:r w:rsidRPr="00B410E5">
        <w:rPr>
          <w:lang w:val="x-none"/>
        </w:rPr>
        <w:t>mandate</w:t>
      </w:r>
      <w:r>
        <w:rPr>
          <w:lang w:val="en-US"/>
        </w:rPr>
        <w:t xml:space="preserve"> </w:t>
      </w:r>
      <w:r w:rsidRPr="00B410E5">
        <w:rPr>
          <w:lang w:val="x-none"/>
        </w:rPr>
        <w:t xml:space="preserve">for </w:t>
      </w:r>
      <w:r>
        <w:rPr>
          <w:lang w:val="en-US"/>
        </w:rPr>
        <w:t>ESC</w:t>
      </w:r>
      <w:r w:rsidR="00323FF6">
        <w:rPr>
          <w:lang w:val="en-US"/>
        </w:rPr>
        <w:t xml:space="preserve"> (ADR 35/06 – Commercial Vehicle Brake Systems)</w:t>
      </w:r>
      <w:r w:rsidRPr="00B410E5">
        <w:rPr>
          <w:lang w:val="x-none"/>
        </w:rPr>
        <w:t xml:space="preserve"> systems on heavy vehicles</w:t>
      </w:r>
      <w:r>
        <w:rPr>
          <w:lang w:val="en-US"/>
        </w:rPr>
        <w:t xml:space="preserve"> in Australia</w:t>
      </w:r>
      <w:r w:rsidRPr="00B410E5">
        <w:rPr>
          <w:lang w:val="x-none"/>
        </w:rPr>
        <w:t>, OEMs are looking toward future</w:t>
      </w:r>
      <w:r>
        <w:rPr>
          <w:lang w:val="en-US"/>
        </w:rPr>
        <w:t xml:space="preserve"> </w:t>
      </w:r>
      <w:r w:rsidRPr="00B410E5">
        <w:rPr>
          <w:lang w:val="x-none"/>
        </w:rPr>
        <w:t>sensor fusion, or combining LDWS, F</w:t>
      </w:r>
      <w:r w:rsidR="0059526E">
        <w:rPr>
          <w:lang w:val="en-US"/>
        </w:rPr>
        <w:t xml:space="preserve">orward </w:t>
      </w:r>
      <w:r w:rsidRPr="00B410E5">
        <w:rPr>
          <w:lang w:val="x-none"/>
        </w:rPr>
        <w:t>C</w:t>
      </w:r>
      <w:r w:rsidR="0059526E">
        <w:rPr>
          <w:lang w:val="en-US"/>
        </w:rPr>
        <w:t xml:space="preserve">ollision </w:t>
      </w:r>
      <w:r w:rsidRPr="00B410E5">
        <w:rPr>
          <w:lang w:val="x-none"/>
        </w:rPr>
        <w:t>W</w:t>
      </w:r>
      <w:r w:rsidR="0059526E">
        <w:rPr>
          <w:lang w:val="en-US"/>
        </w:rPr>
        <w:t>arning (FCW)</w:t>
      </w:r>
      <w:r w:rsidRPr="00B410E5">
        <w:rPr>
          <w:lang w:val="x-none"/>
        </w:rPr>
        <w:t>, and B</w:t>
      </w:r>
      <w:r w:rsidR="0059526E">
        <w:rPr>
          <w:lang w:val="en-US"/>
        </w:rPr>
        <w:t xml:space="preserve">lind </w:t>
      </w:r>
      <w:r w:rsidRPr="00B410E5">
        <w:rPr>
          <w:lang w:val="x-none"/>
        </w:rPr>
        <w:t>S</w:t>
      </w:r>
      <w:r w:rsidR="0059526E">
        <w:rPr>
          <w:lang w:val="en-US"/>
        </w:rPr>
        <w:t xml:space="preserve">pot </w:t>
      </w:r>
      <w:r w:rsidRPr="00B410E5">
        <w:rPr>
          <w:lang w:val="x-none"/>
        </w:rPr>
        <w:t>W</w:t>
      </w:r>
      <w:r w:rsidR="0059526E">
        <w:rPr>
          <w:lang w:val="en-US"/>
        </w:rPr>
        <w:t>arning</w:t>
      </w:r>
      <w:r>
        <w:rPr>
          <w:lang w:val="en-US"/>
        </w:rPr>
        <w:t xml:space="preserve"> </w:t>
      </w:r>
      <w:r w:rsidR="00347BC2">
        <w:rPr>
          <w:lang w:val="en-US"/>
        </w:rPr>
        <w:t>(BSW)</w:t>
      </w:r>
      <w:r w:rsidRPr="00B410E5">
        <w:rPr>
          <w:lang w:val="x-none"/>
        </w:rPr>
        <w:t>with stability controls. The</w:t>
      </w:r>
      <w:r>
        <w:rPr>
          <w:lang w:val="en-US"/>
        </w:rPr>
        <w:t xml:space="preserve">se </w:t>
      </w:r>
      <w:r w:rsidRPr="00B410E5">
        <w:rPr>
          <w:lang w:val="x-none"/>
        </w:rPr>
        <w:t>integrated</w:t>
      </w:r>
      <w:r>
        <w:rPr>
          <w:lang w:val="en-US"/>
        </w:rPr>
        <w:t xml:space="preserve"> </w:t>
      </w:r>
      <w:r w:rsidRPr="00B410E5">
        <w:rPr>
          <w:lang w:val="x-none"/>
        </w:rPr>
        <w:t>perimeter sensing systems would then provide the driver with warnings from 360-degrees of</w:t>
      </w:r>
      <w:r>
        <w:rPr>
          <w:lang w:val="en-US"/>
        </w:rPr>
        <w:t xml:space="preserve"> </w:t>
      </w:r>
      <w:r w:rsidRPr="00B410E5">
        <w:rPr>
          <w:lang w:val="x-none"/>
        </w:rPr>
        <w:t xml:space="preserve">roadway observations, rather than just a narrow look ahead. Once integrated, the sensor array </w:t>
      </w:r>
      <w:r w:rsidR="0076686E">
        <w:rPr>
          <w:lang w:val="en-US"/>
        </w:rPr>
        <w:t>may</w:t>
      </w:r>
      <w:r>
        <w:rPr>
          <w:lang w:val="en-US"/>
        </w:rPr>
        <w:t xml:space="preserve"> </w:t>
      </w:r>
      <w:r w:rsidRPr="00B410E5">
        <w:rPr>
          <w:lang w:val="x-none"/>
        </w:rPr>
        <w:t>be further</w:t>
      </w:r>
      <w:r>
        <w:rPr>
          <w:lang w:val="en-US"/>
        </w:rPr>
        <w:t xml:space="preserve"> </w:t>
      </w:r>
      <w:r w:rsidRPr="00B410E5">
        <w:rPr>
          <w:lang w:val="x-none"/>
        </w:rPr>
        <w:t xml:space="preserve">infused into the stability control systems </w:t>
      </w:r>
      <w:r>
        <w:rPr>
          <w:lang w:val="en-US"/>
        </w:rPr>
        <w:t>(E</w:t>
      </w:r>
      <w:r w:rsidR="00C6254C">
        <w:rPr>
          <w:lang w:val="en-US"/>
        </w:rPr>
        <w:t>SC</w:t>
      </w:r>
      <w:r>
        <w:rPr>
          <w:lang w:val="en-US"/>
        </w:rPr>
        <w:t xml:space="preserve">, RSC, ABS) </w:t>
      </w:r>
      <w:r w:rsidRPr="00B410E5">
        <w:rPr>
          <w:lang w:val="x-none"/>
        </w:rPr>
        <w:t>and future vehicle-to-vehicle and vehicle-to</w:t>
      </w:r>
      <w:r w:rsidRPr="00B410E5">
        <w:rPr>
          <w:lang w:val="x-none"/>
        </w:rPr>
        <w:softHyphen/>
      </w:r>
      <w:r>
        <w:rPr>
          <w:lang w:val="en-US"/>
        </w:rPr>
        <w:t>-</w:t>
      </w:r>
      <w:r w:rsidRPr="00B410E5">
        <w:rPr>
          <w:lang w:val="x-none"/>
        </w:rPr>
        <w:t>infrastructure intermodal</w:t>
      </w:r>
      <w:r>
        <w:rPr>
          <w:lang w:val="en-US"/>
        </w:rPr>
        <w:t xml:space="preserve"> </w:t>
      </w:r>
      <w:r w:rsidRPr="00B410E5">
        <w:rPr>
          <w:lang w:val="x-none"/>
        </w:rPr>
        <w:t>communications. These combined systems would enhance crash</w:t>
      </w:r>
      <w:r>
        <w:rPr>
          <w:lang w:val="en-US"/>
        </w:rPr>
        <w:t xml:space="preserve"> </w:t>
      </w:r>
      <w:r w:rsidRPr="00B410E5">
        <w:rPr>
          <w:lang w:val="x-none"/>
        </w:rPr>
        <w:t>avoidance mitigation solutions, and play important roles</w:t>
      </w:r>
      <w:r>
        <w:rPr>
          <w:lang w:val="en-US"/>
        </w:rPr>
        <w:t xml:space="preserve"> </w:t>
      </w:r>
      <w:r w:rsidRPr="00B410E5">
        <w:rPr>
          <w:lang w:val="x-none"/>
        </w:rPr>
        <w:t>in setting pre-crash conditions that</w:t>
      </w:r>
      <w:r>
        <w:rPr>
          <w:lang w:val="en-US"/>
        </w:rPr>
        <w:t xml:space="preserve"> </w:t>
      </w:r>
      <w:r w:rsidRPr="00B410E5">
        <w:rPr>
          <w:lang w:val="x-none"/>
        </w:rPr>
        <w:t xml:space="preserve">would reduce crash related </w:t>
      </w:r>
      <w:r>
        <w:rPr>
          <w:lang w:val="en-US"/>
        </w:rPr>
        <w:t>trauma</w:t>
      </w:r>
      <w:r w:rsidR="00643D47">
        <w:rPr>
          <w:lang w:val="en-US"/>
        </w:rPr>
        <w:t xml:space="preserve"> </w:t>
      </w:r>
      <w:r w:rsidR="00643D47" w:rsidRPr="00DF4399">
        <w:rPr>
          <w:lang w:val="en-US"/>
        </w:rPr>
        <w:t>(NHTSA, 2014)</w:t>
      </w:r>
      <w:r w:rsidRPr="00DF4399">
        <w:rPr>
          <w:lang w:val="x-none"/>
        </w:rPr>
        <w:t>.</w:t>
      </w:r>
    </w:p>
    <w:p w14:paraId="0089F189" w14:textId="5B161793" w:rsidR="00FC2EB9" w:rsidRDefault="00FC2EB9" w:rsidP="00B410E5">
      <w:pPr>
        <w:rPr>
          <w:lang w:val="x-none"/>
        </w:rPr>
      </w:pPr>
      <w:r w:rsidRPr="0076686E">
        <w:rPr>
          <w:lang w:val="x-none"/>
        </w:rPr>
        <w:t xml:space="preserve">LDWS offer significant safety benefits as a large number of heavy vehicle crashes involve </w:t>
      </w:r>
      <w:r w:rsidR="00FB4019">
        <w:t xml:space="preserve">a </w:t>
      </w:r>
      <w:r w:rsidRPr="0076686E">
        <w:rPr>
          <w:lang w:val="x-none"/>
        </w:rPr>
        <w:t xml:space="preserve">single vehicle running off the road. A LDWS warns a driver when the vehicle unintentionally crosses a distinguishable lane boundary. The system uses optical signal processing techniques to determine the position of the vehicle within the lane as well as monitoring the driver’s input through their steering and indicator use. If the driver takes no action when the vehicle </w:t>
      </w:r>
      <w:r w:rsidR="001A0096">
        <w:rPr>
          <w:lang w:val="en-GB"/>
        </w:rPr>
        <w:t>deviate</w:t>
      </w:r>
      <w:r w:rsidR="001A0096" w:rsidRPr="0076686E">
        <w:rPr>
          <w:lang w:val="x-none"/>
        </w:rPr>
        <w:t xml:space="preserve">s </w:t>
      </w:r>
      <w:r w:rsidRPr="0076686E">
        <w:rPr>
          <w:lang w:val="x-none"/>
        </w:rPr>
        <w:t xml:space="preserve">from the lane, the system will </w:t>
      </w:r>
      <w:r w:rsidR="0076686E" w:rsidRPr="0076686E">
        <w:rPr>
          <w:lang w:val="en-US"/>
        </w:rPr>
        <w:t>warn the driver</w:t>
      </w:r>
      <w:r w:rsidRPr="0076686E">
        <w:rPr>
          <w:lang w:val="x-none"/>
        </w:rPr>
        <w:t xml:space="preserve">. </w:t>
      </w:r>
      <w:r w:rsidR="00E40773">
        <w:rPr>
          <w:lang w:val="en-GB"/>
        </w:rPr>
        <w:t>Unless</w:t>
      </w:r>
      <w:r w:rsidR="001A0096">
        <w:rPr>
          <w:lang w:val="en-GB"/>
        </w:rPr>
        <w:t xml:space="preserve"> </w:t>
      </w:r>
      <w:r w:rsidRPr="0076686E">
        <w:rPr>
          <w:lang w:val="x-none"/>
        </w:rPr>
        <w:t xml:space="preserve">there is an immediate response, the system will activate a steering shudder to further alert the driver. This system combines very </w:t>
      </w:r>
      <w:r w:rsidR="007673D3" w:rsidRPr="0076686E">
        <w:rPr>
          <w:lang w:val="x-none"/>
        </w:rPr>
        <w:t>effectively with an AEB system</w:t>
      </w:r>
      <w:r w:rsidRPr="0076686E">
        <w:rPr>
          <w:lang w:val="x-none"/>
        </w:rPr>
        <w:t>. A LDWS cannot function on roads where lane deli</w:t>
      </w:r>
      <w:r w:rsidR="0076686E" w:rsidRPr="0076686E">
        <w:rPr>
          <w:lang w:val="x-none"/>
        </w:rPr>
        <w:t xml:space="preserve">neation is poor or non-existent. </w:t>
      </w:r>
      <w:r w:rsidRPr="0076686E">
        <w:rPr>
          <w:lang w:val="x-none"/>
        </w:rPr>
        <w:t>LDWS can assist in fatigue and distraction monitoring by alerting a driver at the early stages of a loss of concentration. A LDWS can be retrofitted.</w:t>
      </w:r>
    </w:p>
    <w:p w14:paraId="4703BAC2" w14:textId="77777777" w:rsidR="00AF3413" w:rsidRPr="005F794B" w:rsidRDefault="00AF3413" w:rsidP="00AF3413">
      <w:pPr>
        <w:pStyle w:val="Heading2"/>
      </w:pPr>
      <w:bookmarkStart w:id="30" w:name="_Toc100326791"/>
      <w:r>
        <w:t>Summary of UN Regulation No. 130</w:t>
      </w:r>
      <w:bookmarkEnd w:id="30"/>
    </w:p>
    <w:p w14:paraId="752081D6" w14:textId="745A0CFF" w:rsidR="001168FB" w:rsidRPr="001168FB" w:rsidRDefault="006B7C78" w:rsidP="001168FB">
      <w:pPr>
        <w:rPr>
          <w:lang w:val="x-none"/>
        </w:rPr>
      </w:pPr>
      <w:r>
        <w:t xml:space="preserve">Since attaining WP.29 endorsement in 2013, </w:t>
      </w:r>
      <w:proofErr w:type="spellStart"/>
      <w:r w:rsidR="00D96A35">
        <w:t>t</w:t>
      </w:r>
      <w:r w:rsidR="00D96A35" w:rsidRPr="001168FB">
        <w:rPr>
          <w:lang w:val="x-none"/>
        </w:rPr>
        <w:t>he</w:t>
      </w:r>
      <w:proofErr w:type="spellEnd"/>
      <w:r w:rsidR="001168FB" w:rsidRPr="001168FB">
        <w:rPr>
          <w:lang w:val="x-none"/>
        </w:rPr>
        <w:t xml:space="preserve"> recognised international standard for LDWS for heavy vehicles is </w:t>
      </w:r>
      <w:r w:rsidR="001168FB" w:rsidRPr="00473D2A">
        <w:rPr>
          <w:i/>
          <w:lang w:val="x-none"/>
        </w:rPr>
        <w:t>UN Regulation No. 130 (R130) – Uniform provisions concerning the approval of motor vehicles with regard to the Lane Departure Warning System (LDWS)</w:t>
      </w:r>
      <w:r w:rsidR="001168FB" w:rsidRPr="001168FB">
        <w:rPr>
          <w:lang w:val="x-none"/>
        </w:rPr>
        <w:t xml:space="preserve">. It is applicable </w:t>
      </w:r>
      <w:r w:rsidR="001A0096">
        <w:rPr>
          <w:lang w:val="en-GB"/>
        </w:rPr>
        <w:t>to</w:t>
      </w:r>
      <w:r w:rsidR="001168FB" w:rsidRPr="001168FB">
        <w:rPr>
          <w:lang w:val="x-none"/>
        </w:rPr>
        <w:t xml:space="preserve"> omnibuses (UN category M</w:t>
      </w:r>
      <w:r w:rsidR="001168FB" w:rsidRPr="003D3978">
        <w:rPr>
          <w:vertAlign w:val="subscript"/>
          <w:lang w:val="x-none"/>
        </w:rPr>
        <w:t>2</w:t>
      </w:r>
      <w:r w:rsidR="001168FB" w:rsidRPr="001168FB">
        <w:rPr>
          <w:lang w:val="x-none"/>
        </w:rPr>
        <w:t xml:space="preserve"> and M</w:t>
      </w:r>
      <w:r w:rsidR="001168FB" w:rsidRPr="003D3978">
        <w:rPr>
          <w:vertAlign w:val="subscript"/>
          <w:lang w:val="x-none"/>
        </w:rPr>
        <w:t>3</w:t>
      </w:r>
      <w:r w:rsidR="001168FB" w:rsidRPr="001168FB">
        <w:rPr>
          <w:lang w:val="x-none"/>
        </w:rPr>
        <w:t xml:space="preserve"> vehicles), and goods vehicles with a maximum mass over 3.5 tonnes (UN category N</w:t>
      </w:r>
      <w:r w:rsidR="001168FB" w:rsidRPr="003D3978">
        <w:rPr>
          <w:vertAlign w:val="subscript"/>
          <w:lang w:val="x-none"/>
        </w:rPr>
        <w:t>2</w:t>
      </w:r>
      <w:r w:rsidR="001168FB" w:rsidRPr="001168FB">
        <w:rPr>
          <w:lang w:val="x-none"/>
        </w:rPr>
        <w:t xml:space="preserve"> and N</w:t>
      </w:r>
      <w:r w:rsidR="001168FB" w:rsidRPr="003D3978">
        <w:rPr>
          <w:vertAlign w:val="subscript"/>
          <w:lang w:val="x-none"/>
        </w:rPr>
        <w:t>3</w:t>
      </w:r>
      <w:r w:rsidR="001168FB" w:rsidRPr="001168FB">
        <w:rPr>
          <w:lang w:val="x-none"/>
        </w:rPr>
        <w:t xml:space="preserve"> vehicles).</w:t>
      </w:r>
    </w:p>
    <w:p w14:paraId="7B21E07B" w14:textId="039FB44C" w:rsidR="006B7C78" w:rsidRDefault="006B7C78" w:rsidP="001168FB">
      <w:r w:rsidRPr="001168FB">
        <w:rPr>
          <w:lang w:val="x-none"/>
        </w:rPr>
        <w:t xml:space="preserve">To meet UN R130, a LDWS must be active at vehicle speeds above 60 km/h (unless manually deactivated). If </w:t>
      </w:r>
      <w:r w:rsidR="001A0096">
        <w:rPr>
          <w:lang w:val="en-GB"/>
        </w:rPr>
        <w:t>the</w:t>
      </w:r>
      <w:r w:rsidRPr="001168FB">
        <w:rPr>
          <w:lang w:val="x-none"/>
        </w:rPr>
        <w:t xml:space="preserve"> means (e.g. </w:t>
      </w:r>
      <w:proofErr w:type="gramStart"/>
      <w:r w:rsidR="001A0096">
        <w:rPr>
          <w:lang w:val="en-GB"/>
        </w:rPr>
        <w:t>a</w:t>
      </w:r>
      <w:proofErr w:type="gramEnd"/>
      <w:r w:rsidR="001A0096">
        <w:rPr>
          <w:lang w:val="en-GB"/>
        </w:rPr>
        <w:t xml:space="preserve"> </w:t>
      </w:r>
      <w:r w:rsidRPr="001168FB">
        <w:rPr>
          <w:lang w:val="x-none"/>
        </w:rPr>
        <w:t xml:space="preserve">switch) is provided to manually deactivate the LDWS, the LDWS function must be automatically </w:t>
      </w:r>
      <w:r w:rsidR="001A0096">
        <w:rPr>
          <w:lang w:val="en-GB"/>
        </w:rPr>
        <w:t>reactivated</w:t>
      </w:r>
      <w:r w:rsidRPr="001168FB">
        <w:rPr>
          <w:lang w:val="x-none"/>
        </w:rPr>
        <w:t xml:space="preserve"> at the start of each new ignition on (run) cycle, and a constant optical warning must be provided to inform the driver when the LDWS is deactivated. The LDWS is required</w:t>
      </w:r>
      <w:r w:rsidR="001A0096">
        <w:rPr>
          <w:lang w:val="en-GB"/>
        </w:rPr>
        <w:t>,</w:t>
      </w:r>
      <w:r w:rsidRPr="001168FB">
        <w:rPr>
          <w:lang w:val="x-none"/>
        </w:rPr>
        <w:t>when active</w:t>
      </w:r>
      <w:r w:rsidR="001A0096">
        <w:rPr>
          <w:lang w:val="en-GB"/>
        </w:rPr>
        <w:t>,</w:t>
      </w:r>
      <w:r w:rsidRPr="001168FB">
        <w:rPr>
          <w:lang w:val="x-none"/>
        </w:rPr>
        <w:t xml:space="preserve"> to warn the driver if the vehicle crosses over a visible lane marking, when there has been no purposeful demand to do so</w:t>
      </w:r>
      <w:r>
        <w:t>.</w:t>
      </w:r>
    </w:p>
    <w:p w14:paraId="5DADC4B2" w14:textId="77777777" w:rsidR="00400C38" w:rsidRDefault="00400C38" w:rsidP="00D96A35">
      <w:pPr>
        <w:rPr>
          <w:sz w:val="36"/>
          <w:szCs w:val="26"/>
        </w:rPr>
      </w:pPr>
      <w:r w:rsidRPr="00D96A35">
        <w:rPr>
          <w:rFonts w:asciiTheme="majorHAnsi" w:eastAsiaTheme="majorEastAsia" w:hAnsiTheme="majorHAnsi" w:cstheme="majorBidi"/>
          <w:color w:val="081E3E" w:themeColor="text2"/>
          <w:sz w:val="36"/>
          <w:szCs w:val="26"/>
        </w:rPr>
        <w:t>Conclusion</w:t>
      </w:r>
    </w:p>
    <w:p w14:paraId="6E5FBDCC" w14:textId="399E16E5" w:rsidR="00400C38" w:rsidRDefault="00400C38" w:rsidP="00D96A35">
      <w:r w:rsidRPr="00D96A35">
        <w:t>The reasons why government should intervene</w:t>
      </w:r>
      <w:r>
        <w:t xml:space="preserve"> in the market and introduce a new regulation to mandate the fitment of LDWS for new heavy vehicles have been demonstrated in this and the previous chapter. In the first chapter it was </w:t>
      </w:r>
      <w:r w:rsidR="001A0096">
        <w:t xml:space="preserve">shown </w:t>
      </w:r>
      <w:r>
        <w:t>that there are still an unacceptably high rate of people getting killed and serious</w:t>
      </w:r>
      <w:r w:rsidR="001A0096">
        <w:t>ly</w:t>
      </w:r>
      <w:r>
        <w:t xml:space="preserve"> injured from unintentional lane departures. Such crashes include sideswipes, opposite sideswipes, run off road, rollover and head-on collisions.</w:t>
      </w:r>
    </w:p>
    <w:p w14:paraId="6A0132D8" w14:textId="25169699" w:rsidR="00400C38" w:rsidRPr="00400C38" w:rsidRDefault="00400C38" w:rsidP="00D96A35">
      <w:pPr>
        <w:sectPr w:rsidR="00400C38" w:rsidRPr="00400C38" w:rsidSect="00D87AD8">
          <w:pgSz w:w="11906" w:h="16838" w:code="9"/>
          <w:pgMar w:top="1021" w:right="1021" w:bottom="1021" w:left="1021" w:header="510" w:footer="567" w:gutter="0"/>
          <w:cols w:space="708"/>
          <w:docGrid w:linePitch="360"/>
        </w:sectPr>
      </w:pPr>
      <w:r>
        <w:t>The availability of an international standard for LDWS and the introduction of ESC for heavy vehicles in Australia makes it viable to examine the introduction</w:t>
      </w:r>
      <w:r w:rsidR="00112418">
        <w:t xml:space="preserve"> of</w:t>
      </w:r>
      <w:r>
        <w:t xml:space="preserve"> a regulation to mitigate and prevent such crashes.</w:t>
      </w:r>
    </w:p>
    <w:p w14:paraId="4B086C7F" w14:textId="77777777" w:rsidR="00044540" w:rsidRDefault="00044540" w:rsidP="00044540">
      <w:pPr>
        <w:pStyle w:val="Heading1"/>
      </w:pPr>
      <w:bookmarkStart w:id="31" w:name="_Toc100326792"/>
      <w:r>
        <w:lastRenderedPageBreak/>
        <w:t xml:space="preserve">Chapter 3: </w:t>
      </w:r>
      <w:r w:rsidR="002218D5">
        <w:t>P</w:t>
      </w:r>
      <w:r>
        <w:t>olicy options considered</w:t>
      </w:r>
      <w:bookmarkEnd w:id="31"/>
    </w:p>
    <w:p w14:paraId="1D3730C9" w14:textId="77777777" w:rsidR="00550A4F" w:rsidRDefault="0083212C" w:rsidP="00550A4F">
      <w:pPr>
        <w:suppressAutoHyphens w:val="0"/>
        <w:autoSpaceDE w:val="0"/>
        <w:autoSpaceDN w:val="0"/>
        <w:adjustRightInd w:val="0"/>
        <w:snapToGrid w:val="0"/>
        <w:spacing w:before="0" w:after="0"/>
        <w:rPr>
          <w:rFonts w:ascii="Calibri" w:eastAsia="Times New Roman" w:hAnsi="Calibri" w:cs="Calibri"/>
          <w:color w:val="000000"/>
          <w:kern w:val="0"/>
          <w:szCs w:val="24"/>
          <w:lang w:val="x-none"/>
        </w:rPr>
      </w:pPr>
      <w:r>
        <w:t>Two</w:t>
      </w:r>
      <w:r w:rsidR="000910B7" w:rsidRPr="000910B7">
        <w:t xml:space="preserve"> options to increase the fitment of </w:t>
      </w:r>
      <w:r w:rsidR="000910B7">
        <w:t xml:space="preserve">LDWS </w:t>
      </w:r>
      <w:r w:rsidR="000910B7" w:rsidRPr="000910B7">
        <w:t>to new heavy vehicles supplied to the Australian market</w:t>
      </w:r>
      <w:r w:rsidR="002218D5">
        <w:t xml:space="preserve"> </w:t>
      </w:r>
      <w:r w:rsidR="002218D5" w:rsidRPr="000910B7">
        <w:t>were considered</w:t>
      </w:r>
      <w:r w:rsidR="00550A4F">
        <w:t>; a non-regulatory option of no intervention and a regulatory option</w:t>
      </w:r>
      <w:r w:rsidR="000910B7" w:rsidRPr="000910B7">
        <w:t xml:space="preserve">. </w:t>
      </w:r>
      <w:r w:rsidR="00550A4F" w:rsidRPr="00550A4F">
        <w:t>The exclusion of other alternative options for this regulatory impact</w:t>
      </w:r>
      <w:r w:rsidR="00550A4F">
        <w:t xml:space="preserve"> </w:t>
      </w:r>
      <w:r w:rsidR="00550A4F" w:rsidRPr="00550A4F">
        <w:t>assessment considering the introduction of a new vehicle standard was agreed with the Office of Best Practice</w:t>
      </w:r>
      <w:r w:rsidR="00550A4F">
        <w:t xml:space="preserve"> </w:t>
      </w:r>
      <w:r w:rsidR="00550A4F">
        <w:rPr>
          <w:rFonts w:ascii="Calibri" w:eastAsia="Times New Roman" w:hAnsi="Calibri" w:cs="Calibri"/>
          <w:color w:val="000000"/>
          <w:kern w:val="0"/>
          <w:szCs w:val="24"/>
          <w:lang w:val="x-none"/>
        </w:rPr>
        <w:t xml:space="preserve">Regulation </w:t>
      </w:r>
      <w:r w:rsidR="005E3848">
        <w:rPr>
          <w:rFonts w:ascii="Calibri" w:eastAsia="Times New Roman" w:hAnsi="Calibri" w:cs="Calibri"/>
          <w:color w:val="000000"/>
          <w:kern w:val="0"/>
          <w:szCs w:val="24"/>
          <w:lang w:val="en-US"/>
        </w:rPr>
        <w:t xml:space="preserve">(OBPR) </w:t>
      </w:r>
      <w:r w:rsidR="00550A4F">
        <w:rPr>
          <w:rFonts w:ascii="Calibri" w:eastAsia="Times New Roman" w:hAnsi="Calibri" w:cs="Calibri"/>
          <w:color w:val="000000"/>
          <w:kern w:val="0"/>
          <w:szCs w:val="24"/>
          <w:lang w:val="x-none"/>
        </w:rPr>
        <w:t>in early 2020.</w:t>
      </w:r>
    </w:p>
    <w:p w14:paraId="69575107" w14:textId="77777777" w:rsidR="00AF3413" w:rsidRPr="005F794B" w:rsidRDefault="00AF3413" w:rsidP="00AF3413">
      <w:pPr>
        <w:pStyle w:val="Heading2"/>
      </w:pPr>
      <w:bookmarkStart w:id="32" w:name="_Toc100326793"/>
      <w:r>
        <w:t>Summary of options</w:t>
      </w:r>
      <w:bookmarkEnd w:id="32"/>
    </w:p>
    <w:p w14:paraId="55CC7AB8" w14:textId="77777777" w:rsidR="00AF3413" w:rsidRDefault="000910B7" w:rsidP="00AF3413">
      <w:pPr>
        <w:rPr>
          <w:b/>
          <w:lang w:val="en-US"/>
        </w:rPr>
      </w:pPr>
      <w:r w:rsidRPr="000910B7">
        <w:rPr>
          <w:b/>
          <w:lang w:val="en-US"/>
        </w:rPr>
        <w:t>Non-regulatory Options</w:t>
      </w:r>
    </w:p>
    <w:p w14:paraId="208CC461" w14:textId="77777777" w:rsidR="000910B7" w:rsidRDefault="000910B7" w:rsidP="00B3083D">
      <w:pPr>
        <w:ind w:left="5040" w:hanging="5040"/>
        <w:rPr>
          <w:lang w:val="en-US"/>
        </w:rPr>
      </w:pPr>
      <w:r>
        <w:rPr>
          <w:lang w:val="en-US"/>
        </w:rPr>
        <w:t>Option 1: no intervention</w:t>
      </w:r>
      <w:r>
        <w:rPr>
          <w:lang w:val="en-US"/>
        </w:rPr>
        <w:tab/>
        <w:t>Allow market forces to provide a solution (Business As Usual).</w:t>
      </w:r>
    </w:p>
    <w:p w14:paraId="5356876B" w14:textId="77777777" w:rsidR="006A7209" w:rsidRDefault="00812B5E" w:rsidP="00812B5E">
      <w:pPr>
        <w:tabs>
          <w:tab w:val="left" w:pos="2314"/>
        </w:tabs>
        <w:rPr>
          <w:b/>
          <w:lang w:val="en-US"/>
        </w:rPr>
      </w:pPr>
      <w:r w:rsidRPr="00812B5E">
        <w:rPr>
          <w:b/>
          <w:lang w:val="en-US"/>
        </w:rPr>
        <w:t>Regulatory Options</w:t>
      </w:r>
    </w:p>
    <w:p w14:paraId="3995E6F8" w14:textId="77777777" w:rsidR="00337B6B" w:rsidRDefault="00337B6B" w:rsidP="004363D2">
      <w:pPr>
        <w:ind w:left="5040" w:hanging="5040"/>
      </w:pPr>
      <w:r w:rsidRPr="00337B6B">
        <w:t xml:space="preserve">Option </w:t>
      </w:r>
      <w:r w:rsidR="0083212C">
        <w:t>2</w:t>
      </w:r>
      <w:r w:rsidRPr="00337B6B">
        <w:t xml:space="preserve">: </w:t>
      </w:r>
      <w:r w:rsidR="00A45BEA" w:rsidRPr="00A45BEA">
        <w:rPr>
          <w:i/>
        </w:rPr>
        <w:t>Road Vehicle Standards Act 2018</w:t>
      </w:r>
      <w:r w:rsidRPr="00337B6B">
        <w:t xml:space="preserve"> </w:t>
      </w:r>
      <w:r w:rsidR="00A45BEA">
        <w:t>(</w:t>
      </w:r>
      <w:r w:rsidRPr="00337B6B">
        <w:t>regulation)</w:t>
      </w:r>
      <w:r>
        <w:tab/>
      </w:r>
      <w:r w:rsidR="004363D2">
        <w:t xml:space="preserve">Mandate </w:t>
      </w:r>
      <w:r w:rsidR="00CD712B">
        <w:t>a standard</w:t>
      </w:r>
      <w:r w:rsidRPr="00337B6B">
        <w:t xml:space="preserve"> requ</w:t>
      </w:r>
      <w:r w:rsidR="004363D2">
        <w:t>iring the fitment of LDWS</w:t>
      </w:r>
      <w:r w:rsidRPr="00337B6B">
        <w:t xml:space="preserve"> to new heavy vehicles under the RVS</w:t>
      </w:r>
      <w:r w:rsidR="004363D2">
        <w:t xml:space="preserve">A based on </w:t>
      </w:r>
      <w:r w:rsidR="00CD712B">
        <w:t xml:space="preserve">the </w:t>
      </w:r>
      <w:r w:rsidR="004363D2">
        <w:t>UN Regulation No. 130 (regulatory—mandatory).</w:t>
      </w:r>
    </w:p>
    <w:p w14:paraId="46CA7C6E" w14:textId="77777777" w:rsidR="00AF3413" w:rsidRPr="005F794B" w:rsidRDefault="00AF3413" w:rsidP="00AF3413">
      <w:pPr>
        <w:pStyle w:val="Heading2"/>
      </w:pPr>
      <w:bookmarkStart w:id="33" w:name="_Toc100326794"/>
      <w:r>
        <w:t>Discussion of options</w:t>
      </w:r>
      <w:bookmarkEnd w:id="33"/>
    </w:p>
    <w:p w14:paraId="6114549C" w14:textId="77777777" w:rsidR="00CC25F1" w:rsidRPr="00CC25F1" w:rsidRDefault="00CC25F1" w:rsidP="00AF3413">
      <w:pPr>
        <w:rPr>
          <w:b/>
        </w:rPr>
      </w:pPr>
      <w:r w:rsidRPr="00CC25F1">
        <w:rPr>
          <w:b/>
        </w:rPr>
        <w:t xml:space="preserve">Option 1: No Intervention (Business </w:t>
      </w:r>
      <w:proofErr w:type="gramStart"/>
      <w:r w:rsidRPr="00CC25F1">
        <w:rPr>
          <w:b/>
        </w:rPr>
        <w:t>As</w:t>
      </w:r>
      <w:proofErr w:type="gramEnd"/>
      <w:r w:rsidRPr="00CC25F1">
        <w:rPr>
          <w:b/>
        </w:rPr>
        <w:t xml:space="preserve"> Usual)</w:t>
      </w:r>
    </w:p>
    <w:p w14:paraId="63FEDDE7" w14:textId="77777777" w:rsidR="0093636A" w:rsidRDefault="00B3083D" w:rsidP="00AF3413">
      <w:r w:rsidRPr="00B3083D">
        <w:t xml:space="preserve">The Business As Usual (BAU) case relies on the market fixing the problem, the community accepting the problem, or some combination of the two. The state of current voluntary fitment of </w:t>
      </w:r>
      <w:r w:rsidR="0093636A">
        <w:t>LDWS</w:t>
      </w:r>
      <w:r w:rsidRPr="00B3083D">
        <w:t xml:space="preserve"> to</w:t>
      </w:r>
      <w:r w:rsidR="0049404F">
        <w:t xml:space="preserve"> all new</w:t>
      </w:r>
      <w:r w:rsidRPr="00B3083D">
        <w:t xml:space="preserve"> heavy vehicles is around </w:t>
      </w:r>
      <w:r w:rsidR="0049404F">
        <w:t>36</w:t>
      </w:r>
      <w:r w:rsidRPr="00B3083D">
        <w:t xml:space="preserve"> per</w:t>
      </w:r>
      <w:r w:rsidR="0049404F">
        <w:t xml:space="preserve"> cent</w:t>
      </w:r>
      <w:r w:rsidRPr="00B3083D">
        <w:t xml:space="preserve"> with heavy duty prime movers h</w:t>
      </w:r>
      <w:r w:rsidR="0093636A">
        <w:t xml:space="preserve">aving </w:t>
      </w:r>
      <w:r w:rsidR="0049404F">
        <w:t>the highest</w:t>
      </w:r>
      <w:r w:rsidR="0093636A">
        <w:t xml:space="preserve"> fitment rate of around </w:t>
      </w:r>
      <w:r w:rsidR="0049404F">
        <w:t>51.7 per cent.</w:t>
      </w:r>
    </w:p>
    <w:p w14:paraId="4393E313" w14:textId="2068F43E" w:rsidR="0093636A" w:rsidRDefault="00B3083D" w:rsidP="00AF3413">
      <w:r w:rsidRPr="00B3083D">
        <w:t xml:space="preserve">These fitment rates have arisen without regulation in Australia, including due to many heavy vehicle manufacturers and operators recognising the benefits of the technology to their businesses and/or the broader community. However, it is also important to note that fitment of these technologies is significantly higher in some other markets, most notably Europe were fitment </w:t>
      </w:r>
      <w:r w:rsidR="0093636A">
        <w:t>has been</w:t>
      </w:r>
      <w:r w:rsidRPr="00B3083D">
        <w:t xml:space="preserve"> mandatory (subject to some limited exemptions) for all new </w:t>
      </w:r>
      <w:r w:rsidR="0093636A">
        <w:t xml:space="preserve">heavy </w:t>
      </w:r>
      <w:r w:rsidRPr="00B3083D">
        <w:t>vehicles</w:t>
      </w:r>
      <w:r w:rsidR="0093636A">
        <w:t xml:space="preserve"> since 2015</w:t>
      </w:r>
      <w:r w:rsidRPr="00B3083D">
        <w:t xml:space="preserve">. </w:t>
      </w:r>
    </w:p>
    <w:p w14:paraId="1B7B28EB" w14:textId="77777777" w:rsidR="00AF3413" w:rsidRDefault="00B3083D" w:rsidP="00AF3413">
      <w:r w:rsidRPr="00B3083D">
        <w:t xml:space="preserve">In examining this case, European Commission requirements on the fitment of heavy vehicle </w:t>
      </w:r>
      <w:r w:rsidR="00FE5705">
        <w:t>LDWS</w:t>
      </w:r>
      <w:r w:rsidRPr="00B3083D">
        <w:t xml:space="preserve"> in the EU and its flow on effect to the Australian market was considered. This included decreasing production costs of </w:t>
      </w:r>
      <w:r w:rsidR="00FE5705">
        <w:t>LDWS components</w:t>
      </w:r>
      <w:r w:rsidRPr="00B3083D">
        <w:t xml:space="preserve"> as well as reduced development and testing costs over the years as the technology</w:t>
      </w:r>
      <w:r w:rsidR="00FE5705">
        <w:t xml:space="preserve"> (as a warning system) has fully matured</w:t>
      </w:r>
      <w:r w:rsidRPr="00B3083D">
        <w:t xml:space="preserve"> and best practice methods of application, development and implementation become widespread</w:t>
      </w:r>
      <w:r w:rsidR="00FE5705">
        <w:t>.</w:t>
      </w:r>
    </w:p>
    <w:p w14:paraId="5EDD911E" w14:textId="542F66BB" w:rsidR="00723284" w:rsidRDefault="00321FEB" w:rsidP="00AF3413">
      <w:r w:rsidRPr="00321FEB">
        <w:t>Actions undertaken by state and territory governments towards improving heavy vehicle safety include investment in research projects, education campaigns, and strategic partnerships. They also include increased stringency in safety requirements and access arrangements, particularly for access to government work contracts. These actions mostly address road user behaviour and infrastructure countermeasures, and only include some localised influences on the fitting of technology through contracts or by trading for road access. Thus</w:t>
      </w:r>
      <w:r w:rsidR="002218D5">
        <w:t>,</w:t>
      </w:r>
      <w:r w:rsidRPr="00321FEB">
        <w:t xml:space="preserve"> these measures are expected to have limited national impact on reducing heavy vehicle crashes</w:t>
      </w:r>
      <w:r w:rsidR="00723284">
        <w:t xml:space="preserve"> as a result of drifting unintentionally outside their lane</w:t>
      </w:r>
      <w:r w:rsidRPr="00321FEB">
        <w:t xml:space="preserve">. Nationally, </w:t>
      </w:r>
      <w:r w:rsidR="00723284">
        <w:t xml:space="preserve">ADR </w:t>
      </w:r>
      <w:r w:rsidR="00723284" w:rsidRPr="00723284">
        <w:t>35/05 – Commercial Vehicle Brake Syste</w:t>
      </w:r>
      <w:r w:rsidR="00723284">
        <w:t>ms and ADR 38/05</w:t>
      </w:r>
      <w:r w:rsidR="00723284" w:rsidRPr="00723284">
        <w:t xml:space="preserve"> – Trailer Brake Systems</w:t>
      </w:r>
      <w:r w:rsidR="00723284">
        <w:t xml:space="preserve"> are two standards that mandate ESC, ABS and RSC on heavy vehicles and trailers to </w:t>
      </w:r>
      <w:r w:rsidR="00723284" w:rsidRPr="00723284">
        <w:t>ensure safe braking under normal and emergency conditions</w:t>
      </w:r>
      <w:r w:rsidR="00AB7B71">
        <w:t xml:space="preserve">. These technologies help </w:t>
      </w:r>
      <w:r w:rsidRPr="00321FEB">
        <w:t>r</w:t>
      </w:r>
      <w:r w:rsidR="00AB7B71">
        <w:t>educe the severity of heavy vehicle related trauma due to loss of control. O</w:t>
      </w:r>
      <w:r w:rsidRPr="00321FEB">
        <w:t>ther prove</w:t>
      </w:r>
      <w:r w:rsidR="00AB7B71">
        <w:t>n technologies to date include</w:t>
      </w:r>
      <w:r w:rsidRPr="00321FEB">
        <w:t xml:space="preserve"> AEB</w:t>
      </w:r>
      <w:r w:rsidR="00AB7B71">
        <w:t xml:space="preserve"> </w:t>
      </w:r>
      <w:r w:rsidR="00F7314B">
        <w:t xml:space="preserve">(ADR 97/00 </w:t>
      </w:r>
      <w:r w:rsidR="00F7314B" w:rsidRPr="00723284">
        <w:t>–</w:t>
      </w:r>
      <w:r w:rsidR="00F7314B">
        <w:t xml:space="preserve"> </w:t>
      </w:r>
      <w:r w:rsidR="00F7314B" w:rsidRPr="00F7314B">
        <w:t>Advanced Emergency Braking (AEB) for Omnibuses</w:t>
      </w:r>
      <w:r w:rsidR="00F7314B">
        <w:t>,</w:t>
      </w:r>
      <w:r w:rsidR="00F7314B" w:rsidRPr="00F7314B">
        <w:t xml:space="preserve"> and Medium and Heavy Goods Vehicles</w:t>
      </w:r>
      <w:r w:rsidR="00F7314B">
        <w:t xml:space="preserve">) </w:t>
      </w:r>
      <w:r w:rsidR="00AB7B71">
        <w:t>and LDWS</w:t>
      </w:r>
      <w:r w:rsidRPr="00321FEB">
        <w:t xml:space="preserve">. The broad introduction of technology such as </w:t>
      </w:r>
      <w:r w:rsidR="00723284">
        <w:t>LDWS</w:t>
      </w:r>
      <w:r w:rsidRPr="00321FEB">
        <w:t xml:space="preserve"> is not practical through state and territory government efforts as there is no national consumer safety ratings scheme for new heavy vehicles (unlike ANCAP for light vehicles). </w:t>
      </w:r>
    </w:p>
    <w:p w14:paraId="75150C41" w14:textId="77777777" w:rsidR="005E1FA1" w:rsidRDefault="00321FEB" w:rsidP="00DC0862">
      <w:r w:rsidRPr="00321FEB">
        <w:lastRenderedPageBreak/>
        <w:t xml:space="preserve">Under Option 1, voluntary fitment by industry of </w:t>
      </w:r>
      <w:r w:rsidR="00723284">
        <w:t>LDWS</w:t>
      </w:r>
      <w:r w:rsidRPr="00321FEB">
        <w:t xml:space="preserve"> to new heavy vehicles is projected (based on recent trends and regulation in other markets) to increase year on year to some degree, with marked initial increases. The BAU option was analysed in detail in order to establish the baseline for comparison with other options</w:t>
      </w:r>
      <w:r w:rsidR="00BC09AE">
        <w:t>.</w:t>
      </w:r>
    </w:p>
    <w:p w14:paraId="43840A15" w14:textId="77777777" w:rsidR="005E1FA1" w:rsidRPr="005E1FA1" w:rsidRDefault="005E1FA1" w:rsidP="00561999">
      <w:pPr>
        <w:tabs>
          <w:tab w:val="left" w:pos="1290"/>
        </w:tabs>
        <w:rPr>
          <w:b/>
        </w:rPr>
      </w:pPr>
      <w:r w:rsidRPr="005E1FA1">
        <w:rPr>
          <w:b/>
        </w:rPr>
        <w:t xml:space="preserve">Option </w:t>
      </w:r>
      <w:r w:rsidR="00DC0862">
        <w:rPr>
          <w:b/>
        </w:rPr>
        <w:t>2</w:t>
      </w:r>
      <w:r w:rsidRPr="005E1FA1">
        <w:rPr>
          <w:b/>
        </w:rPr>
        <w:t xml:space="preserve">: Mandatory Standards under the RVSA—Regulation </w:t>
      </w:r>
    </w:p>
    <w:p w14:paraId="3B8393D5" w14:textId="77777777" w:rsidR="005E1FA1" w:rsidRDefault="005E1FA1" w:rsidP="00561999">
      <w:pPr>
        <w:tabs>
          <w:tab w:val="left" w:pos="1290"/>
        </w:tabs>
      </w:pPr>
      <w:r w:rsidRPr="005E1FA1">
        <w:t xml:space="preserve">Under Option </w:t>
      </w:r>
      <w:r w:rsidR="00DC0862">
        <w:t>2</w:t>
      </w:r>
      <w:r w:rsidRPr="005E1FA1">
        <w:t xml:space="preserve">, the Australian Government would mandate the fitment of </w:t>
      </w:r>
      <w:r>
        <w:t>LDWS</w:t>
      </w:r>
      <w:r w:rsidRPr="005E1FA1">
        <w:t xml:space="preserve"> to new heavy vehicles supplied to the market via a new national standard (ADR) under the RVSA. This new ADR would adopt the technical requi</w:t>
      </w:r>
      <w:r>
        <w:t>rements of UN Regulation No. 130</w:t>
      </w:r>
      <w:r w:rsidRPr="005E1FA1">
        <w:t xml:space="preserve">, incorporating up to the latest series of amendments. The ADR would also include a requirement that the </w:t>
      </w:r>
      <w:r>
        <w:t>LDWS</w:t>
      </w:r>
      <w:r w:rsidRPr="005E1FA1">
        <w:t xml:space="preserve"> be fitted as prescribed. As new ADRs only apply under the RVSA to new vehicles, implementation of this option would not affect vehicles already in service. </w:t>
      </w:r>
    </w:p>
    <w:p w14:paraId="41CB21CE" w14:textId="3766E890" w:rsidR="005E1FA1" w:rsidRDefault="005E1FA1" w:rsidP="00561999">
      <w:pPr>
        <w:tabs>
          <w:tab w:val="left" w:pos="1290"/>
        </w:tabs>
      </w:pPr>
      <w:r>
        <w:t>LDWS</w:t>
      </w:r>
      <w:r w:rsidR="00BA5AF3">
        <w:t>s</w:t>
      </w:r>
      <w:r w:rsidRPr="005E1FA1">
        <w:t xml:space="preserve"> from various manufacturers </w:t>
      </w:r>
      <w:r>
        <w:t xml:space="preserve">use a variety of techniques and sub-systems to detect </w:t>
      </w:r>
      <w:r w:rsidR="004C4CDC">
        <w:t xml:space="preserve">heavy vehicle </w:t>
      </w:r>
      <w:r>
        <w:t>lane departures</w:t>
      </w:r>
      <w:r w:rsidRPr="005E1FA1">
        <w:t>. As such</w:t>
      </w:r>
      <w:r w:rsidR="002218D5">
        <w:t>,</w:t>
      </w:r>
      <w:r w:rsidRPr="005E1FA1">
        <w:t xml:space="preserve"> </w:t>
      </w:r>
      <w:r w:rsidR="00473D2A" w:rsidRPr="005E1FA1">
        <w:t>a</w:t>
      </w:r>
      <w:r w:rsidR="00473D2A">
        <w:t>n</w:t>
      </w:r>
      <w:r w:rsidR="00473D2A" w:rsidRPr="005E1FA1">
        <w:t xml:space="preserve"> agreed</w:t>
      </w:r>
      <w:r w:rsidRPr="005E1FA1">
        <w:t xml:space="preserve"> international standard would further simplify system design and enhance quality. It is therefore important to adopt an effective standard, otherwise the benefits of </w:t>
      </w:r>
      <w:r w:rsidR="004C4CDC">
        <w:t>LDWS</w:t>
      </w:r>
      <w:r w:rsidRPr="005E1FA1">
        <w:t xml:space="preserve"> </w:t>
      </w:r>
      <w:r w:rsidR="00BA5AF3">
        <w:t>will</w:t>
      </w:r>
      <w:r w:rsidR="00BA5AF3" w:rsidRPr="005E1FA1">
        <w:t xml:space="preserve"> </w:t>
      </w:r>
      <w:r w:rsidRPr="005E1FA1">
        <w:t>be uncertain. Research</w:t>
      </w:r>
      <w:r w:rsidR="004C4CDC">
        <w:t xml:space="preserve"> has shown UN Regulation No. 130</w:t>
      </w:r>
      <w:r w:rsidRPr="005E1FA1">
        <w:t xml:space="preserve"> is effective in an</w:t>
      </w:r>
      <w:r w:rsidR="004C4CDC">
        <w:t xml:space="preserve"> Australian </w:t>
      </w:r>
      <w:r w:rsidR="004C4CDC" w:rsidRPr="00F7314B">
        <w:t>context (</w:t>
      </w:r>
      <w:r w:rsidR="00F7314B" w:rsidRPr="00F7314B">
        <w:t>Budd &amp; Newstead</w:t>
      </w:r>
      <w:r w:rsidR="004C4CDC" w:rsidRPr="00F7314B">
        <w:t>, 2014</w:t>
      </w:r>
      <w:r w:rsidR="00F7314B" w:rsidRPr="00F7314B">
        <w:t xml:space="preserve"> and Budd et al., 2015)</w:t>
      </w:r>
      <w:r w:rsidRPr="00F7314B">
        <w:t>.</w:t>
      </w:r>
      <w:r w:rsidRPr="005E1FA1">
        <w:t xml:space="preserve"> As this option is considered viable, and has been pursued internationally, the introduction of a mandatory standard was analysed further in terms of expe</w:t>
      </w:r>
      <w:r w:rsidR="004C4CDC">
        <w:t>cted benefits to the community.</w:t>
      </w:r>
    </w:p>
    <w:p w14:paraId="28DCA3FE" w14:textId="77777777" w:rsidR="00CD2D84" w:rsidRPr="00CD2D84" w:rsidRDefault="00CD2D84" w:rsidP="00561999">
      <w:pPr>
        <w:tabs>
          <w:tab w:val="left" w:pos="1290"/>
        </w:tabs>
        <w:rPr>
          <w:i/>
        </w:rPr>
      </w:pPr>
      <w:r w:rsidRPr="00CD2D84">
        <w:rPr>
          <w:i/>
        </w:rPr>
        <w:t xml:space="preserve">Background </w:t>
      </w:r>
    </w:p>
    <w:p w14:paraId="338C1E0B" w14:textId="30D7881D" w:rsidR="002218D5" w:rsidRDefault="002218D5" w:rsidP="002218D5">
      <w:r>
        <w:t xml:space="preserve">The UN World Forum for the Harmonization of Vehicle Regulations (WP. 29) is a worldwide regulatory forum that provides the framework to establish regulatory instruments concerning motor </w:t>
      </w:r>
      <w:proofErr w:type="gramStart"/>
      <w:r>
        <w:t>vehicles</w:t>
      </w:r>
      <w:r w:rsidR="004C5497">
        <w:t>, that</w:t>
      </w:r>
      <w:proofErr w:type="gramEnd"/>
      <w:r>
        <w:t xml:space="preserve"> allows for the introduction of innovative vehicle technologies to the market while continuously improving global vehicle safety. </w:t>
      </w:r>
    </w:p>
    <w:p w14:paraId="21694C83" w14:textId="69A22F0B" w:rsidR="002218D5" w:rsidRDefault="002218D5" w:rsidP="002218D5">
      <w:r>
        <w:t xml:space="preserve">Australia is one of the Contracting Parties (member countries of the United Nations) to the UN Regulations annexed to </w:t>
      </w:r>
      <w:r w:rsidRPr="00473D2A">
        <w:rPr>
          <w:i/>
        </w:rPr>
        <w:t>the</w:t>
      </w:r>
      <w:r w:rsidR="004C5497" w:rsidRPr="00473D2A">
        <w:rPr>
          <w:i/>
        </w:rPr>
        <w:t xml:space="preserve"> Agreement concerning the Adoption of Harmonized Technical United Nations Regulations for Wheeled Vehicles, Equipment and Parts which can be Fitted and/or be Used on Wheeled Vehicles and the Conditions for Reciprocal Recognition of Approvals Granted on the Basis of these United Nations Regulations</w:t>
      </w:r>
      <w:r w:rsidR="004C5497">
        <w:t xml:space="preserve"> (the 1958 Agreement) and is </w:t>
      </w:r>
      <w:r>
        <w:t>obliged to accept vehicles that comply with the requirements of the international standard UN Regulation No. 1</w:t>
      </w:r>
      <w:r w:rsidR="000F5030">
        <w:t>30</w:t>
      </w:r>
      <w:r>
        <w:t xml:space="preserve"> (UN R</w:t>
      </w:r>
      <w:r w:rsidR="000F5030">
        <w:t>130</w:t>
      </w:r>
      <w:r>
        <w:t xml:space="preserve">) titled </w:t>
      </w:r>
      <w:r w:rsidRPr="004554E2">
        <w:t>‘</w:t>
      </w:r>
      <w:r w:rsidR="000F5030" w:rsidRPr="000F5030">
        <w:rPr>
          <w:i/>
        </w:rPr>
        <w:t>Uniform provisions concerning the approval of motor vehicles with regard to the Lane Departure Warning System (LDWS)</w:t>
      </w:r>
      <w:r w:rsidRPr="004554E2">
        <w:t>’</w:t>
      </w:r>
      <w:r>
        <w:t>. The UN Regulations are recognised as the peak international standards available for vehicle safety performance requirements. Most Contracting Parties applying type approval certification systems, such as Australia, would consider UN Regulation under any examination of the case to mandate domestically. This allows for conformity in vehicle production and the mutual recognition of type approvals by the Contracting Parties.</w:t>
      </w:r>
    </w:p>
    <w:p w14:paraId="5FA90020" w14:textId="77777777" w:rsidR="002218D5" w:rsidRDefault="002218D5" w:rsidP="002218D5">
      <w:r>
        <w:t>A program of harmonising the ADRs with international standards, as developed through the UN, began in the mid-1980s and has recently been accelerated. Harmonising with UN requirements provides consumers with access to vehicles meeting the latest levels of safety and innovation, at the lowest possible cost.</w:t>
      </w:r>
      <w:r w:rsidRPr="00205631">
        <w:t xml:space="preserve"> </w:t>
      </w:r>
      <w:r>
        <w:t xml:space="preserve">The Australian Government has the capability and experience to adopt, whether by acceptance as alternative standards or by mandating, both UN Global Technical Regulations (GTR) and UN Regulations into the ADRs. </w:t>
      </w:r>
    </w:p>
    <w:p w14:paraId="7176B0DA" w14:textId="6669319D" w:rsidR="002218D5" w:rsidRDefault="002218D5" w:rsidP="002218D5">
      <w:r>
        <w:t xml:space="preserve">Harmonised Australian requirements </w:t>
      </w:r>
      <w:r w:rsidR="004C5497">
        <w:t xml:space="preserve">will </w:t>
      </w:r>
      <w:r>
        <w:t xml:space="preserve">minimise costs associated with </w:t>
      </w:r>
      <w:r w:rsidR="00473D2A">
        <w:t>technological development</w:t>
      </w:r>
      <w:r>
        <w:t>, provide manufacturers</w:t>
      </w:r>
      <w:r w:rsidR="004C5497">
        <w:t xml:space="preserve"> with</w:t>
      </w:r>
      <w:r>
        <w:t xml:space="preserve"> the flexibility to incorporate or adapt systems that have already been developed and tested for markets with the same requirements. It also enable</w:t>
      </w:r>
      <w:r w:rsidR="008D632A">
        <w:t>s</w:t>
      </w:r>
      <w:r>
        <w:t xml:space="preserve"> leveraging of testing and certification frameworks conducted in other markets.</w:t>
      </w:r>
    </w:p>
    <w:p w14:paraId="716B843E" w14:textId="2C3992F7" w:rsidR="00CD2D84" w:rsidRDefault="00CD2D84" w:rsidP="00561999">
      <w:pPr>
        <w:tabs>
          <w:tab w:val="left" w:pos="1290"/>
        </w:tabs>
      </w:pPr>
      <w:r w:rsidRPr="00CD2D84">
        <w:t>Australia mandates approximately sixty active ADRs under the RVSA. Vehicles are approved on a model</w:t>
      </w:r>
      <w:r w:rsidR="008D632A">
        <w:t xml:space="preserve">, </w:t>
      </w:r>
      <w:r w:rsidRPr="00CD2D84">
        <w:t>or vehicle type</w:t>
      </w:r>
      <w:r w:rsidR="008D632A">
        <w:t>,</w:t>
      </w:r>
      <w:r w:rsidRPr="00CD2D84">
        <w:t xml:space="preserve"> basis known as type approval, whereby the Australian Government approves a vehicle type based on test and other information supplied by the manufacturer. Compliance of vehicles built under that approval is ensured by the regular</w:t>
      </w:r>
      <w:r>
        <w:t xml:space="preserve"> </w:t>
      </w:r>
      <w:r w:rsidRPr="00CD2D84">
        <w:t>audit of the manufacturer’s production, design and test facilities. This includes audit</w:t>
      </w:r>
      <w:r w:rsidR="008D632A">
        <w:t>ing</w:t>
      </w:r>
      <w:r w:rsidRPr="00CD2D84">
        <w:t xml:space="preserve"> the manufacturers’ quality systems and processes. </w:t>
      </w:r>
    </w:p>
    <w:p w14:paraId="44BD31D7" w14:textId="5BF352A0" w:rsidR="00CD2D84" w:rsidRDefault="00CD2D84" w:rsidP="00561999">
      <w:pPr>
        <w:tabs>
          <w:tab w:val="left" w:pos="1290"/>
        </w:tabs>
      </w:pPr>
      <w:r w:rsidRPr="00CD2D84">
        <w:t xml:space="preserve">The ADRs apply equally to new imported vehicles and new vehicles manufactured in Australia. No distinction is made on the basis of country of origin/manufacture and this has been the case since the introduction of the MVSA and </w:t>
      </w:r>
      <w:r w:rsidR="008D632A">
        <w:t>is</w:t>
      </w:r>
      <w:r w:rsidRPr="00CD2D84">
        <w:t xml:space="preserve"> the case with the replacement of MVSA with the RVSA. </w:t>
      </w:r>
    </w:p>
    <w:p w14:paraId="292DCD90" w14:textId="4ACC442B" w:rsidR="00CD2D84" w:rsidRDefault="00CD2D84" w:rsidP="00561999">
      <w:pPr>
        <w:tabs>
          <w:tab w:val="left" w:pos="1290"/>
        </w:tabs>
      </w:pPr>
      <w:r w:rsidRPr="00CD2D84">
        <w:t xml:space="preserve">If this option were implemented, the requirements </w:t>
      </w:r>
      <w:r>
        <w:t>L</w:t>
      </w:r>
      <w:r w:rsidR="00580D0F">
        <w:t>DW</w:t>
      </w:r>
      <w:r w:rsidR="008D632A">
        <w:t>S</w:t>
      </w:r>
      <w:r w:rsidR="00580D0F">
        <w:t>s</w:t>
      </w:r>
      <w:r w:rsidRPr="00CD2D84">
        <w:t xml:space="preserve"> would adopt the requi</w:t>
      </w:r>
      <w:r>
        <w:t>rements of UN Regulation No. 130</w:t>
      </w:r>
      <w:r w:rsidRPr="00CD2D84">
        <w:t>.</w:t>
      </w:r>
    </w:p>
    <w:p w14:paraId="5D33D997" w14:textId="334DF63F" w:rsidR="00580D0F" w:rsidRDefault="00580D0F" w:rsidP="001128A8">
      <w:pPr>
        <w:tabs>
          <w:tab w:val="left" w:pos="1290"/>
        </w:tabs>
      </w:pPr>
      <w:r w:rsidRPr="00580D0F">
        <w:lastRenderedPageBreak/>
        <w:t>Aust</w:t>
      </w:r>
      <w:r w:rsidR="00064530">
        <w:t>ralian research has found that LDW</w:t>
      </w:r>
      <w:r w:rsidR="008D632A">
        <w:t>S</w:t>
      </w:r>
      <w:r w:rsidRPr="00580D0F">
        <w:t xml:space="preserve">s could alleviate or </w:t>
      </w:r>
      <w:r w:rsidR="00064530">
        <w:t xml:space="preserve">reduce the severity of almost </w:t>
      </w:r>
      <w:r w:rsidR="00A803B0">
        <w:t>five</w:t>
      </w:r>
      <w:r w:rsidRPr="00580D0F">
        <w:t xml:space="preserve"> per cent of all Australian heavy vehicle crashes, predominantly those involving a heavy vehicle </w:t>
      </w:r>
      <w:r w:rsidR="00064530" w:rsidRPr="00A803B0">
        <w:t>drifting outside its lane, same direction and opposite direction lane departure multiple-vehicle crashes and single-vehicle roadway departures</w:t>
      </w:r>
      <w:r w:rsidR="00A803B0">
        <w:t>. The research highlighted although only five per cent</w:t>
      </w:r>
      <w:r w:rsidR="00A803B0" w:rsidRPr="00A803B0">
        <w:t xml:space="preserve"> of Australian heavy vehicle crashed vehicles were identified as sensitive to LDWS, the protection offered was greater for </w:t>
      </w:r>
      <w:r w:rsidR="00A803B0">
        <w:t>higher severity crashes with 11 per cent</w:t>
      </w:r>
      <w:r w:rsidR="00A803B0" w:rsidRPr="00A803B0">
        <w:t xml:space="preserve"> of fatal </w:t>
      </w:r>
      <w:r w:rsidR="00A803B0">
        <w:t xml:space="preserve">crashes sensitive to LDWS. </w:t>
      </w:r>
      <w:r w:rsidR="00A803B0" w:rsidRPr="00A803B0">
        <w:t>Sensitivity to injury crashes w</w:t>
      </w:r>
      <w:r w:rsidR="008D632A">
        <w:t>ere</w:t>
      </w:r>
      <w:r w:rsidR="00A803B0" w:rsidRPr="00A803B0">
        <w:t xml:space="preserve"> almost double </w:t>
      </w:r>
      <w:r w:rsidR="00A803B0">
        <w:t>that of property damage only</w:t>
      </w:r>
      <w:r w:rsidR="00A803B0" w:rsidRPr="00A803B0">
        <w:t xml:space="preserve"> crashes.</w:t>
      </w:r>
      <w:r w:rsidR="00064530" w:rsidRPr="00A803B0">
        <w:t xml:space="preserve"> (</w:t>
      </w:r>
      <w:r w:rsidR="00FC2E86">
        <w:t>Budd &amp; Newstead</w:t>
      </w:r>
      <w:r w:rsidR="00064530">
        <w:t>, 2014).</w:t>
      </w:r>
      <w:r w:rsidR="001128A8">
        <w:t xml:space="preserve"> Furthermore, </w:t>
      </w:r>
      <w:r w:rsidR="001128A8" w:rsidRPr="001128A8">
        <w:t xml:space="preserve">LDWS </w:t>
      </w:r>
      <w:r w:rsidR="001128A8">
        <w:t>technology was found to be</w:t>
      </w:r>
      <w:r w:rsidR="001128A8" w:rsidRPr="001128A8">
        <w:t xml:space="preserve"> more sensitiv</w:t>
      </w:r>
      <w:r w:rsidR="001128A8">
        <w:t xml:space="preserve">e to the crashes of articulated </w:t>
      </w:r>
      <w:r w:rsidR="001128A8" w:rsidRPr="001128A8">
        <w:t>trucks and road trains than to those of rigid trucks and buses.</w:t>
      </w:r>
    </w:p>
    <w:p w14:paraId="292F4C40" w14:textId="77777777" w:rsidR="008E7D81" w:rsidRPr="008E7D81" w:rsidRDefault="008E7D81" w:rsidP="001128A8">
      <w:pPr>
        <w:tabs>
          <w:tab w:val="left" w:pos="1290"/>
        </w:tabs>
        <w:rPr>
          <w:b/>
        </w:rPr>
      </w:pPr>
      <w:r w:rsidRPr="008E7D81">
        <w:rPr>
          <w:b/>
        </w:rPr>
        <w:t xml:space="preserve">Scope/Applicability </w:t>
      </w:r>
    </w:p>
    <w:p w14:paraId="168CF74A" w14:textId="140DDFD4" w:rsidR="00321C88" w:rsidRDefault="00321C88" w:rsidP="00321C88">
      <w:pPr>
        <w:tabs>
          <w:tab w:val="left" w:pos="1290"/>
        </w:tabs>
      </w:pPr>
      <w:r>
        <w:t>This option was considered</w:t>
      </w:r>
      <w:r w:rsidRPr="00321C88">
        <w:t xml:space="preserve"> in relation to the scope of vehicles for which mandatory requirements for </w:t>
      </w:r>
      <w:r>
        <w:t xml:space="preserve">LDWS </w:t>
      </w:r>
      <w:r w:rsidRPr="00321C88">
        <w:t>could be applied under the ADRs</w:t>
      </w:r>
      <w:r>
        <w:t>.</w:t>
      </w:r>
      <w:r w:rsidRPr="00321C88">
        <w:t xml:space="preserve"> </w:t>
      </w:r>
      <w:r>
        <w:t>This</w:t>
      </w:r>
      <w:r w:rsidRPr="00321C88">
        <w:t xml:space="preserve"> option directly aligned with the requirements of UN Regulat</w:t>
      </w:r>
      <w:r>
        <w:t>ion No. 130</w:t>
      </w:r>
      <w:r w:rsidR="008D632A">
        <w:t>,</w:t>
      </w:r>
      <w:r>
        <w:t xml:space="preserve"> which would require </w:t>
      </w:r>
      <w:r w:rsidRPr="00321C88">
        <w:t xml:space="preserve">a new ADR </w:t>
      </w:r>
      <w:r>
        <w:t>to</w:t>
      </w:r>
      <w:r w:rsidRPr="00321C88">
        <w:t xml:space="preserve"> be implemented to require fitment of </w:t>
      </w:r>
      <w:r>
        <w:t>LDWS</w:t>
      </w:r>
      <w:r w:rsidRPr="00321C88">
        <w:t xml:space="preserve"> for new heavy </w:t>
      </w:r>
      <w:r w:rsidR="005A5805">
        <w:t xml:space="preserve">vehicles of ADR categories NB1, </w:t>
      </w:r>
      <w:r w:rsidRPr="00321C88">
        <w:t>NB2, NC, MD and ME (Goods Vehicles and Omnibuses)</w:t>
      </w:r>
      <w:r w:rsidR="009E7FD5">
        <w:t>.</w:t>
      </w:r>
    </w:p>
    <w:p w14:paraId="38F782A9" w14:textId="77777777" w:rsidR="009E7FD5" w:rsidRPr="009E7FD5" w:rsidRDefault="009E7FD5" w:rsidP="009E7FD5">
      <w:pPr>
        <w:tabs>
          <w:tab w:val="left" w:pos="1290"/>
        </w:tabs>
        <w:rPr>
          <w:b/>
        </w:rPr>
      </w:pPr>
      <w:r w:rsidRPr="009E7FD5">
        <w:rPr>
          <w:b/>
        </w:rPr>
        <w:t xml:space="preserve">Implementation Timing </w:t>
      </w:r>
    </w:p>
    <w:p w14:paraId="0A5C70C1" w14:textId="77777777" w:rsidR="009E7FD5" w:rsidRPr="009E7FD5" w:rsidRDefault="009E7FD5" w:rsidP="009E7FD5">
      <w:pPr>
        <w:tabs>
          <w:tab w:val="left" w:pos="1290"/>
        </w:tabs>
      </w:pPr>
      <w:r w:rsidRPr="009E7FD5">
        <w:t xml:space="preserve">The ADRs only apply to new vehicles and typically use a phase-in period to give models that are already established in the market, time to change their design. The implementation lead-time of an ADR is generally no less than 18 months for models that are new to the market (new model vehicles) and 24 months for models that are already established in the market (all new vehicles), but this varies depending on the complexity of the change and the requirements of the ADR. The proposed applicability dates under this option are: </w:t>
      </w:r>
    </w:p>
    <w:p w14:paraId="175E4A0C" w14:textId="77777777" w:rsidR="009E7FD5" w:rsidRPr="00C96A81" w:rsidRDefault="009E7FD5" w:rsidP="00CB0804">
      <w:pPr>
        <w:numPr>
          <w:ilvl w:val="0"/>
          <w:numId w:val="12"/>
        </w:numPr>
        <w:tabs>
          <w:tab w:val="left" w:pos="1290"/>
        </w:tabs>
        <w:autoSpaceDE w:val="0"/>
        <w:autoSpaceDN w:val="0"/>
        <w:adjustRightInd w:val="0"/>
        <w:spacing w:before="0" w:after="113" w:line="280" w:lineRule="atLeast"/>
        <w:contextualSpacing/>
        <w:textAlignment w:val="center"/>
        <w:rPr>
          <w:rFonts w:cstheme="minorHAnsi"/>
          <w:color w:val="000000"/>
          <w:kern w:val="0"/>
          <w:szCs w:val="22"/>
        </w:rPr>
      </w:pPr>
      <w:r w:rsidRPr="00C96A81">
        <w:rPr>
          <w:rFonts w:cstheme="minorHAnsi"/>
          <w:color w:val="000000"/>
          <w:kern w:val="0"/>
          <w:szCs w:val="22"/>
        </w:rPr>
        <w:t>1 November 2024 for new model vehicles; and</w:t>
      </w:r>
    </w:p>
    <w:p w14:paraId="174B6F1A" w14:textId="77777777" w:rsidR="009E7FD5" w:rsidRPr="00C96A81" w:rsidRDefault="009E7FD5" w:rsidP="00CB0804">
      <w:pPr>
        <w:numPr>
          <w:ilvl w:val="0"/>
          <w:numId w:val="12"/>
        </w:numPr>
        <w:tabs>
          <w:tab w:val="left" w:pos="1290"/>
        </w:tabs>
        <w:autoSpaceDE w:val="0"/>
        <w:autoSpaceDN w:val="0"/>
        <w:adjustRightInd w:val="0"/>
        <w:spacing w:before="0" w:after="113" w:line="280" w:lineRule="atLeast"/>
        <w:contextualSpacing/>
        <w:textAlignment w:val="center"/>
        <w:rPr>
          <w:rFonts w:cstheme="minorHAnsi"/>
          <w:color w:val="000000"/>
          <w:kern w:val="0"/>
          <w:szCs w:val="22"/>
        </w:rPr>
      </w:pPr>
      <w:r w:rsidRPr="00C96A81">
        <w:rPr>
          <w:rFonts w:cstheme="minorHAnsi"/>
          <w:color w:val="000000"/>
          <w:kern w:val="0"/>
          <w:szCs w:val="22"/>
        </w:rPr>
        <w:t xml:space="preserve">1 November 2026 for all new vehicles. </w:t>
      </w:r>
    </w:p>
    <w:p w14:paraId="43F1E986" w14:textId="77777777" w:rsidR="009E7FD5" w:rsidRDefault="009E7FD5" w:rsidP="00321C88">
      <w:pPr>
        <w:tabs>
          <w:tab w:val="left" w:pos="1290"/>
        </w:tabs>
      </w:pPr>
      <w:r w:rsidRPr="009E7FD5">
        <w:t>These lead-times are considered suitable to allow for the scope of design change and testing needed for a heavy vehicle supplier/manufacturer to incorporate an LDW system considering technology has matured significantly with regard to lane detection.</w:t>
      </w:r>
    </w:p>
    <w:p w14:paraId="3298928C" w14:textId="77777777" w:rsidR="009E7FD5" w:rsidRDefault="009E7FD5" w:rsidP="00044540">
      <w:pPr>
        <w:pStyle w:val="Heading1"/>
        <w:sectPr w:rsidR="009E7FD5" w:rsidSect="00D87AD8">
          <w:pgSz w:w="11906" w:h="16838" w:code="9"/>
          <w:pgMar w:top="1021" w:right="1021" w:bottom="1021" w:left="1021" w:header="510" w:footer="567" w:gutter="0"/>
          <w:cols w:space="708"/>
          <w:docGrid w:linePitch="360"/>
        </w:sectPr>
      </w:pPr>
    </w:p>
    <w:p w14:paraId="223AC8AC" w14:textId="77777777" w:rsidR="00044540" w:rsidRDefault="00044540" w:rsidP="00044540">
      <w:pPr>
        <w:pStyle w:val="Heading1"/>
      </w:pPr>
      <w:bookmarkStart w:id="34" w:name="_Toc100326795"/>
      <w:r>
        <w:lastRenderedPageBreak/>
        <w:t xml:space="preserve">Chapter 4: </w:t>
      </w:r>
      <w:r w:rsidR="008A2546">
        <w:t>L</w:t>
      </w:r>
      <w:r>
        <w:t>ikely net benefit of each option</w:t>
      </w:r>
      <w:bookmarkEnd w:id="34"/>
    </w:p>
    <w:p w14:paraId="443130B9" w14:textId="77777777" w:rsidR="00E74785" w:rsidRPr="005F794B" w:rsidRDefault="00E74785" w:rsidP="00E74785">
      <w:pPr>
        <w:pStyle w:val="Heading2"/>
      </w:pPr>
      <w:bookmarkStart w:id="35" w:name="_Toc100326796"/>
      <w:r>
        <w:t>Benefit-cost analysis</w:t>
      </w:r>
      <w:bookmarkEnd w:id="35"/>
    </w:p>
    <w:p w14:paraId="2E26F290" w14:textId="77777777" w:rsidR="00470CEB" w:rsidRDefault="00470CEB" w:rsidP="00E74785">
      <w:r w:rsidRPr="00470CEB">
        <w:t xml:space="preserve">The Benefit-cost methodology used in this analysis is a Net Present Value (NPV) model. Using this model, the flow of benefits and costs are reduced to one specific moment in time. The time period for which benefits are assumed to be generated is over the life of the vehicle(s). Net benefits indicate whether the returns (benefits) on a project outweigh the resources outlaid (costs) and indicate what, if any, this difference is. Benefit-cost ratios (BCRs) are a measure of efficiency of the project. For net benefits to be positive, this ratio must be greater than one. A higher BCR in turn means that for a given cost, the benefits are paid back many times over (the cost is multiplied by the BCR). For example, if a project costs $1 million but results in benefits of $3 million, the net benefit would be 3-1 = $2 million while the BCR would be 3/1 = 3. </w:t>
      </w:r>
    </w:p>
    <w:p w14:paraId="2734517C" w14:textId="77777777" w:rsidR="00470CEB" w:rsidRDefault="00470CEB" w:rsidP="00E74785">
      <w:r w:rsidRPr="00470CEB">
        <w:t xml:space="preserve">In the case of adding particular safety features to vehicles, there will be an upfront cost (by the vehicle manufacturers) at the start, followed by a series of benefits spread throughout the life of the vehicles. This is then repeated in subsequent years as additional new vehicles are registered. There may also be other ongoing business and government costs through the years, depending on the option being considered. </w:t>
      </w:r>
    </w:p>
    <w:p w14:paraId="1D26CD5A" w14:textId="77777777" w:rsidR="00C77555" w:rsidRDefault="00470CEB" w:rsidP="00E74785">
      <w:r w:rsidRPr="00470CEB">
        <w:t>The result</w:t>
      </w:r>
      <w:r w:rsidR="00C77555">
        <w:t>s</w:t>
      </w:r>
      <w:r w:rsidRPr="00470CEB">
        <w:t xml:space="preserve"> of </w:t>
      </w:r>
      <w:r w:rsidR="00C77555">
        <w:t>O</w:t>
      </w:r>
      <w:r w:rsidRPr="00470CEB">
        <w:t xml:space="preserve">ption </w:t>
      </w:r>
      <w:r w:rsidR="00C77555">
        <w:t xml:space="preserve">2 </w:t>
      </w:r>
      <w:r w:rsidRPr="00470CEB">
        <w:t xml:space="preserve">were compared with what would happen if there was no government intervention, that is, Option 1: no intervention (BAU). The period of analysis covers the expected life of the policy option (15 years of intervention) plus the time it takes for benefits to work their </w:t>
      </w:r>
      <w:r>
        <w:t>way through the fleet (around 30</w:t>
      </w:r>
      <w:r w:rsidRPr="00470CEB">
        <w:t xml:space="preserve"> years, the approximate maximum lifespan of a heavy vehicle). </w:t>
      </w:r>
    </w:p>
    <w:p w14:paraId="74A0BE39" w14:textId="169895A0" w:rsidR="00044540" w:rsidRDefault="00470CEB" w:rsidP="00E74785">
      <w:pPr>
        <w:rPr>
          <w:lang w:val="x-none"/>
        </w:rPr>
      </w:pPr>
      <w:r w:rsidRPr="00470CEB">
        <w:t>Given that the f</w:t>
      </w:r>
      <w:r>
        <w:t>unction of UN Regulation No. 130</w:t>
      </w:r>
      <w:r w:rsidRPr="00470CEB">
        <w:t xml:space="preserve"> is to enhance heavy vehicle safety, includ</w:t>
      </w:r>
      <w:r w:rsidR="001C73E1">
        <w:t>ing a</w:t>
      </w:r>
      <w:r w:rsidRPr="00470CEB">
        <w:t xml:space="preserve"> focus on the safety benefit from expected reductions in trauma. It should be noted</w:t>
      </w:r>
      <w:r w:rsidR="001C73E1">
        <w:t xml:space="preserve"> </w:t>
      </w:r>
      <w:r w:rsidRPr="00470CEB">
        <w:t>that many operators would be likely to obtain other benefits (for example, alleviation of property damage</w:t>
      </w:r>
      <w:r>
        <w:t xml:space="preserve"> and reductions in trauma as a result of the LDWS partially acting as a fatigue monitor</w:t>
      </w:r>
      <w:r w:rsidRPr="00470CEB">
        <w:t>) that have not been included in this RIS</w:t>
      </w:r>
      <w:r w:rsidR="00C3531E">
        <w:t xml:space="preserve">. </w:t>
      </w:r>
      <w:r w:rsidRPr="00470CEB">
        <w:t>The net benefit and the benefit-cost ratio for each option are therefore likely to be conservative estimates.</w:t>
      </w:r>
      <w:r w:rsidR="00F42BCC" w:rsidRPr="005819BD">
        <w:t xml:space="preserve"> </w:t>
      </w:r>
      <w:r w:rsidR="005819BD">
        <w:t>L</w:t>
      </w:r>
      <w:r w:rsidR="00F42BCC" w:rsidRPr="005819BD">
        <w:t xml:space="preserve">imitations exist </w:t>
      </w:r>
      <w:r w:rsidR="005819BD">
        <w:t xml:space="preserve">with regard to collecting the data required to </w:t>
      </w:r>
      <w:r w:rsidR="00F42BCC" w:rsidRPr="005819BD">
        <w:t>account for and tracking the VKT of heavy vehicles and road trains in this B</w:t>
      </w:r>
      <w:r w:rsidR="005819BD">
        <w:t xml:space="preserve">enefit </w:t>
      </w:r>
      <w:r w:rsidR="00F42BCC" w:rsidRPr="005819BD">
        <w:t>C</w:t>
      </w:r>
      <w:r w:rsidR="005819BD">
        <w:t xml:space="preserve">ost </w:t>
      </w:r>
      <w:r w:rsidR="005819BD" w:rsidRPr="005819BD">
        <w:t>A</w:t>
      </w:r>
      <w:r w:rsidR="005819BD">
        <w:t>nalysis</w:t>
      </w:r>
      <w:r w:rsidR="00F42BCC" w:rsidRPr="005819BD">
        <w:t>;</w:t>
      </w:r>
      <w:r w:rsidR="00F515D4" w:rsidRPr="005819BD">
        <w:t xml:space="preserve"> </w:t>
      </w:r>
      <w:r w:rsidR="005819BD">
        <w:t>this</w:t>
      </w:r>
      <w:r w:rsidR="005819BD" w:rsidRPr="005819BD">
        <w:t xml:space="preserve"> </w:t>
      </w:r>
      <w:r w:rsidR="00F42BCC" w:rsidRPr="005819BD">
        <w:t>is another benefit that is unaccounted for</w:t>
      </w:r>
      <w:r w:rsidR="005819BD" w:rsidRPr="005819BD">
        <w:t xml:space="preserve"> in this analysis.</w:t>
      </w:r>
    </w:p>
    <w:p w14:paraId="55AE8A51" w14:textId="77777777" w:rsidR="007809EA" w:rsidRPr="007809EA" w:rsidRDefault="00E74785" w:rsidP="007809EA">
      <w:pPr>
        <w:pStyle w:val="Heading2"/>
      </w:pPr>
      <w:bookmarkStart w:id="36" w:name="_Toc100326797"/>
      <w:r w:rsidRPr="00547078">
        <w:t>Economic aspects - impact analysis</w:t>
      </w:r>
      <w:bookmarkEnd w:id="36"/>
    </w:p>
    <w:p w14:paraId="23FD17C6" w14:textId="64D8F823" w:rsidR="00E74785" w:rsidRDefault="00973040" w:rsidP="00E74785">
      <w:pPr>
        <w:rPr>
          <w:lang w:val="en-US"/>
        </w:rPr>
      </w:pPr>
      <w:r w:rsidRPr="00973040">
        <w:rPr>
          <w:lang w:val="en-US"/>
        </w:rPr>
        <w:t>Impact analysis considers the magnitude and distribution of the benefits and costs among the affected parties.</w:t>
      </w:r>
      <w:r>
        <w:rPr>
          <w:lang w:val="en-US"/>
        </w:rPr>
        <w:t xml:space="preserve"> </w:t>
      </w:r>
      <w:r w:rsidRPr="00973040">
        <w:rPr>
          <w:lang w:val="en-US"/>
        </w:rPr>
        <w:t xml:space="preserve">In the case of </w:t>
      </w:r>
      <w:r w:rsidR="007809EA">
        <w:rPr>
          <w:lang w:val="en-US"/>
        </w:rPr>
        <w:t>LDW</w:t>
      </w:r>
      <w:r w:rsidR="001C73E1">
        <w:rPr>
          <w:lang w:val="en-US"/>
        </w:rPr>
        <w:t>S</w:t>
      </w:r>
      <w:r w:rsidRPr="00973040">
        <w:rPr>
          <w:lang w:val="en-US"/>
        </w:rPr>
        <w:t xml:space="preserve">s for </w:t>
      </w:r>
      <w:r w:rsidR="007809EA">
        <w:rPr>
          <w:lang w:val="en-US"/>
        </w:rPr>
        <w:t>heavy</w:t>
      </w:r>
      <w:r w:rsidRPr="00973040">
        <w:rPr>
          <w:lang w:val="en-US"/>
        </w:rPr>
        <w:t xml:space="preserve"> vehicles, the parties affected by the options are:</w:t>
      </w:r>
    </w:p>
    <w:p w14:paraId="3F85D24F" w14:textId="77777777" w:rsidR="00973040" w:rsidRDefault="00973040" w:rsidP="004725A9">
      <w:pPr>
        <w:pStyle w:val="Heading3"/>
        <w:rPr>
          <w:lang w:val="en-US"/>
        </w:rPr>
      </w:pPr>
      <w:bookmarkStart w:id="37" w:name="_Toc100326798"/>
      <w:r>
        <w:rPr>
          <w:lang w:val="en-US"/>
        </w:rPr>
        <w:t>Business</w:t>
      </w:r>
      <w:bookmarkEnd w:id="37"/>
    </w:p>
    <w:p w14:paraId="0BE1F034" w14:textId="77777777" w:rsidR="00973040" w:rsidRPr="00973040" w:rsidRDefault="00973040" w:rsidP="00CB0804">
      <w:pPr>
        <w:pStyle w:val="ListParagraph"/>
        <w:numPr>
          <w:ilvl w:val="0"/>
          <w:numId w:val="11"/>
        </w:numPr>
        <w:rPr>
          <w:rFonts w:asciiTheme="minorHAnsi" w:hAnsiTheme="minorHAnsi"/>
          <w:sz w:val="20"/>
          <w:lang w:val="en-US"/>
        </w:rPr>
      </w:pPr>
      <w:r w:rsidRPr="00973040">
        <w:rPr>
          <w:rFonts w:asciiTheme="minorHAnsi" w:hAnsiTheme="minorHAnsi"/>
          <w:sz w:val="20"/>
          <w:lang w:val="en-US"/>
        </w:rPr>
        <w:t>Vehicle manufacturers and importers;</w:t>
      </w:r>
    </w:p>
    <w:p w14:paraId="75C8A3A6" w14:textId="77777777" w:rsidR="00973040" w:rsidRPr="00973040" w:rsidRDefault="00973040" w:rsidP="00CB0804">
      <w:pPr>
        <w:pStyle w:val="ListParagraph"/>
        <w:numPr>
          <w:ilvl w:val="0"/>
          <w:numId w:val="11"/>
        </w:numPr>
        <w:rPr>
          <w:rFonts w:asciiTheme="minorHAnsi" w:hAnsiTheme="minorHAnsi"/>
          <w:sz w:val="20"/>
          <w:lang w:val="en-US"/>
        </w:rPr>
      </w:pPr>
      <w:r w:rsidRPr="00973040">
        <w:rPr>
          <w:rFonts w:asciiTheme="minorHAnsi" w:hAnsiTheme="minorHAnsi"/>
          <w:sz w:val="20"/>
          <w:lang w:val="en-US"/>
        </w:rPr>
        <w:t>Component manufacturers and suppliers</w:t>
      </w:r>
    </w:p>
    <w:p w14:paraId="2D3B1051" w14:textId="77777777" w:rsidR="00973040" w:rsidRDefault="00973040" w:rsidP="00CB0804">
      <w:pPr>
        <w:pStyle w:val="ListParagraph"/>
        <w:numPr>
          <w:ilvl w:val="0"/>
          <w:numId w:val="11"/>
        </w:numPr>
        <w:rPr>
          <w:rFonts w:asciiTheme="minorHAnsi" w:hAnsiTheme="minorHAnsi"/>
          <w:sz w:val="20"/>
          <w:lang w:val="en-US"/>
        </w:rPr>
      </w:pPr>
      <w:r w:rsidRPr="00973040">
        <w:rPr>
          <w:rFonts w:asciiTheme="minorHAnsi" w:hAnsiTheme="minorHAnsi"/>
          <w:sz w:val="20"/>
          <w:lang w:val="en-US"/>
        </w:rPr>
        <w:t>V</w:t>
      </w:r>
      <w:r>
        <w:rPr>
          <w:rFonts w:asciiTheme="minorHAnsi" w:hAnsiTheme="minorHAnsi"/>
          <w:sz w:val="20"/>
          <w:lang w:val="en-US"/>
        </w:rPr>
        <w:t>ehicle owners; and</w:t>
      </w:r>
    </w:p>
    <w:p w14:paraId="4DEDB463" w14:textId="77777777" w:rsidR="00973040" w:rsidRDefault="00973040" w:rsidP="00CB0804">
      <w:pPr>
        <w:pStyle w:val="ListParagraph"/>
        <w:numPr>
          <w:ilvl w:val="0"/>
          <w:numId w:val="11"/>
        </w:numPr>
        <w:rPr>
          <w:rFonts w:asciiTheme="minorHAnsi" w:hAnsiTheme="minorHAnsi"/>
          <w:sz w:val="20"/>
          <w:lang w:val="en-US"/>
        </w:rPr>
      </w:pPr>
      <w:r>
        <w:rPr>
          <w:rFonts w:asciiTheme="minorHAnsi" w:hAnsiTheme="minorHAnsi"/>
          <w:sz w:val="20"/>
          <w:lang w:val="en-US"/>
        </w:rPr>
        <w:t>Vehicle operators.</w:t>
      </w:r>
    </w:p>
    <w:p w14:paraId="332E2650" w14:textId="77777777" w:rsidR="00973040" w:rsidRDefault="00973040" w:rsidP="00973040">
      <w:pPr>
        <w:rPr>
          <w:lang w:val="en-US"/>
        </w:rPr>
      </w:pPr>
      <w:r w:rsidRPr="00973040">
        <w:rPr>
          <w:lang w:val="en-US"/>
        </w:rPr>
        <w:t>There is an overlap between businesses and consumers when considering heavy vehicles. Unlike light vehicles, heavy vehicle owners and operators, in general, are purchasing and operating these vehicles as part of a business. This is distinct to businesses that manufacture the veh</w:t>
      </w:r>
      <w:r>
        <w:rPr>
          <w:lang w:val="en-US"/>
        </w:rPr>
        <w:t xml:space="preserve">icles or supply the components. </w:t>
      </w:r>
      <w:r w:rsidRPr="00973040">
        <w:rPr>
          <w:lang w:val="en-US"/>
        </w:rPr>
        <w:t>The affected businesses are represented by a number of peak bodies, including:</w:t>
      </w:r>
    </w:p>
    <w:p w14:paraId="0C809791" w14:textId="101A48A7" w:rsidR="00973040" w:rsidRPr="00973040" w:rsidRDefault="00973040" w:rsidP="00CB0804">
      <w:pPr>
        <w:pStyle w:val="ListParagraph"/>
        <w:numPr>
          <w:ilvl w:val="0"/>
          <w:numId w:val="11"/>
        </w:numPr>
        <w:rPr>
          <w:rFonts w:asciiTheme="minorHAnsi" w:hAnsiTheme="minorHAnsi"/>
          <w:sz w:val="20"/>
          <w:lang w:val="en-US"/>
        </w:rPr>
      </w:pPr>
      <w:r w:rsidRPr="00973040">
        <w:rPr>
          <w:rFonts w:asciiTheme="minorHAnsi" w:hAnsiTheme="minorHAnsi"/>
          <w:sz w:val="20"/>
          <w:lang w:val="en-US"/>
        </w:rPr>
        <w:t>Australian Livestock and Rural Transporters Association (ALRTA), that represents road transport companies based in rural and regional Australia;</w:t>
      </w:r>
    </w:p>
    <w:p w14:paraId="3C435A9C" w14:textId="5B61EA16" w:rsidR="00973040" w:rsidRPr="00973040" w:rsidRDefault="00973040" w:rsidP="00CB0804">
      <w:pPr>
        <w:pStyle w:val="ListParagraph"/>
        <w:numPr>
          <w:ilvl w:val="0"/>
          <w:numId w:val="11"/>
        </w:numPr>
        <w:rPr>
          <w:rFonts w:asciiTheme="minorHAnsi" w:hAnsiTheme="minorHAnsi"/>
          <w:sz w:val="20"/>
          <w:lang w:val="en-US"/>
        </w:rPr>
      </w:pPr>
      <w:r w:rsidRPr="00973040">
        <w:rPr>
          <w:rFonts w:asciiTheme="minorHAnsi" w:hAnsiTheme="minorHAnsi"/>
          <w:sz w:val="20"/>
          <w:lang w:val="en-US"/>
        </w:rPr>
        <w:t>Australian Road Transport Suppliers Association (ARTSA), that represents suppliers of hardware and services to the Australian road transport industry;</w:t>
      </w:r>
    </w:p>
    <w:p w14:paraId="7EF7F0B4" w14:textId="565E2967" w:rsidR="00973040" w:rsidRPr="00973040" w:rsidRDefault="00973040" w:rsidP="00CB0804">
      <w:pPr>
        <w:pStyle w:val="ListParagraph"/>
        <w:numPr>
          <w:ilvl w:val="0"/>
          <w:numId w:val="11"/>
        </w:numPr>
        <w:rPr>
          <w:rFonts w:asciiTheme="minorHAnsi" w:hAnsiTheme="minorHAnsi"/>
          <w:sz w:val="20"/>
          <w:lang w:val="en-US"/>
        </w:rPr>
      </w:pPr>
      <w:r w:rsidRPr="00973040">
        <w:rPr>
          <w:rFonts w:asciiTheme="minorHAnsi" w:hAnsiTheme="minorHAnsi"/>
          <w:sz w:val="20"/>
          <w:lang w:val="en-US"/>
        </w:rPr>
        <w:lastRenderedPageBreak/>
        <w:t>Australian Trucking Association (ATA), that represents trucking operators, including major logistics companies and transport industry associations;</w:t>
      </w:r>
    </w:p>
    <w:p w14:paraId="08DA2806" w14:textId="75674555" w:rsidR="00973040" w:rsidRPr="00973040" w:rsidRDefault="00973040" w:rsidP="00CB0804">
      <w:pPr>
        <w:pStyle w:val="ListParagraph"/>
        <w:numPr>
          <w:ilvl w:val="0"/>
          <w:numId w:val="11"/>
        </w:numPr>
        <w:rPr>
          <w:rFonts w:asciiTheme="minorHAnsi" w:hAnsiTheme="minorHAnsi"/>
          <w:sz w:val="20"/>
          <w:lang w:val="en-US"/>
        </w:rPr>
      </w:pPr>
      <w:r w:rsidRPr="00973040">
        <w:rPr>
          <w:rFonts w:asciiTheme="minorHAnsi" w:hAnsiTheme="minorHAnsi"/>
          <w:sz w:val="20"/>
          <w:lang w:val="en-US"/>
        </w:rPr>
        <w:t>Bus Industry Confederation (BIC), that represents the bus and coach industry;</w:t>
      </w:r>
    </w:p>
    <w:p w14:paraId="343E20C2" w14:textId="0F71F1A6" w:rsidR="00973040" w:rsidRPr="00973040" w:rsidRDefault="00973040" w:rsidP="00CB0804">
      <w:pPr>
        <w:pStyle w:val="ListParagraph"/>
        <w:numPr>
          <w:ilvl w:val="0"/>
          <w:numId w:val="11"/>
        </w:numPr>
        <w:rPr>
          <w:rFonts w:asciiTheme="minorHAnsi" w:hAnsiTheme="minorHAnsi"/>
          <w:sz w:val="20"/>
          <w:lang w:val="en-US"/>
        </w:rPr>
      </w:pPr>
      <w:r w:rsidRPr="00973040">
        <w:rPr>
          <w:rFonts w:asciiTheme="minorHAnsi" w:hAnsiTheme="minorHAnsi"/>
          <w:sz w:val="20"/>
          <w:lang w:val="en-US"/>
        </w:rPr>
        <w:t>Commercial Vehicle Industry Association Australia (CVIAA)</w:t>
      </w:r>
      <w:r w:rsidR="008A2546">
        <w:rPr>
          <w:rFonts w:asciiTheme="minorHAnsi" w:hAnsiTheme="minorHAnsi"/>
          <w:sz w:val="20"/>
          <w:lang w:val="en-US"/>
        </w:rPr>
        <w:t>,</w:t>
      </w:r>
      <w:r w:rsidRPr="00973040">
        <w:rPr>
          <w:rFonts w:asciiTheme="minorHAnsi" w:hAnsiTheme="minorHAnsi"/>
          <w:sz w:val="20"/>
          <w:lang w:val="en-US"/>
        </w:rPr>
        <w:t xml:space="preserve"> that represents members in the commercial vehicle industry;</w:t>
      </w:r>
    </w:p>
    <w:p w14:paraId="4E7B7D41" w14:textId="77777777" w:rsidR="00973040" w:rsidRPr="00973040" w:rsidRDefault="00973040" w:rsidP="00CB0804">
      <w:pPr>
        <w:pStyle w:val="ListParagraph"/>
        <w:numPr>
          <w:ilvl w:val="0"/>
          <w:numId w:val="11"/>
        </w:numPr>
        <w:rPr>
          <w:rFonts w:asciiTheme="minorHAnsi" w:hAnsiTheme="minorHAnsi"/>
          <w:sz w:val="20"/>
          <w:lang w:val="en-US"/>
        </w:rPr>
      </w:pPr>
      <w:r w:rsidRPr="00973040">
        <w:rPr>
          <w:rFonts w:asciiTheme="minorHAnsi" w:hAnsiTheme="minorHAnsi"/>
          <w:sz w:val="20"/>
          <w:lang w:val="en-US"/>
        </w:rPr>
        <w:t>Heavy Vehicle Industry Australia (HVIA), that represents manufacturers and suppliers of heavy vehicles and their compon</w:t>
      </w:r>
      <w:r>
        <w:rPr>
          <w:rFonts w:asciiTheme="minorHAnsi" w:hAnsiTheme="minorHAnsi"/>
          <w:sz w:val="20"/>
          <w:lang w:val="en-US"/>
        </w:rPr>
        <w:t>ents, equipment and technology;</w:t>
      </w:r>
    </w:p>
    <w:p w14:paraId="72810B17" w14:textId="15DBC3D2" w:rsidR="00973040" w:rsidRDefault="00973040" w:rsidP="00CB0804">
      <w:pPr>
        <w:pStyle w:val="ListParagraph"/>
        <w:numPr>
          <w:ilvl w:val="0"/>
          <w:numId w:val="11"/>
        </w:numPr>
        <w:rPr>
          <w:rFonts w:asciiTheme="minorHAnsi" w:hAnsiTheme="minorHAnsi"/>
          <w:sz w:val="20"/>
          <w:lang w:val="en-US"/>
        </w:rPr>
      </w:pPr>
      <w:r w:rsidRPr="00973040">
        <w:rPr>
          <w:rFonts w:asciiTheme="minorHAnsi" w:hAnsiTheme="minorHAnsi"/>
          <w:sz w:val="20"/>
          <w:lang w:val="en-US"/>
        </w:rPr>
        <w:t>Truck Industry Council (TIC), that represents truck manufacturers and importers, diesel engine companies and major truck component suppliers</w:t>
      </w:r>
      <w:r w:rsidR="008A2546">
        <w:rPr>
          <w:rFonts w:asciiTheme="minorHAnsi" w:hAnsiTheme="minorHAnsi"/>
          <w:sz w:val="20"/>
          <w:lang w:val="en-US"/>
        </w:rPr>
        <w:t>;</w:t>
      </w:r>
    </w:p>
    <w:p w14:paraId="5B936172" w14:textId="2AF3FF2B" w:rsidR="00973040" w:rsidRPr="00973040" w:rsidRDefault="00973040" w:rsidP="00CB0804">
      <w:pPr>
        <w:pStyle w:val="ListParagraph"/>
        <w:numPr>
          <w:ilvl w:val="0"/>
          <w:numId w:val="11"/>
        </w:numPr>
        <w:rPr>
          <w:rFonts w:asciiTheme="minorHAnsi" w:hAnsiTheme="minorHAnsi"/>
          <w:sz w:val="20"/>
          <w:lang w:val="en-US"/>
        </w:rPr>
      </w:pPr>
      <w:r>
        <w:rPr>
          <w:rFonts w:asciiTheme="minorHAnsi" w:hAnsiTheme="minorHAnsi"/>
          <w:sz w:val="20"/>
          <w:lang w:val="en-US"/>
        </w:rPr>
        <w:t xml:space="preserve"> </w:t>
      </w:r>
      <w:r w:rsidRPr="00973040">
        <w:rPr>
          <w:rFonts w:asciiTheme="minorHAnsi" w:hAnsiTheme="minorHAnsi"/>
          <w:sz w:val="20"/>
          <w:lang w:val="en-US"/>
        </w:rPr>
        <w:t>Federal Chamber of Automotive Industries (FCAI) which represents the automotive sector and includes vehicle manufacturers, vehicle importers and component manufacturers/importers;</w:t>
      </w:r>
      <w:r>
        <w:rPr>
          <w:rFonts w:asciiTheme="minorHAnsi" w:hAnsiTheme="minorHAnsi"/>
          <w:sz w:val="20"/>
          <w:lang w:val="en-US"/>
        </w:rPr>
        <w:t xml:space="preserve"> and</w:t>
      </w:r>
    </w:p>
    <w:p w14:paraId="400E486D" w14:textId="6D90F115" w:rsidR="00973040" w:rsidRDefault="00973040" w:rsidP="00CB0804">
      <w:pPr>
        <w:pStyle w:val="ListParagraph"/>
        <w:numPr>
          <w:ilvl w:val="0"/>
          <w:numId w:val="11"/>
        </w:numPr>
        <w:rPr>
          <w:rFonts w:asciiTheme="minorHAnsi" w:hAnsiTheme="minorHAnsi"/>
          <w:sz w:val="20"/>
          <w:lang w:val="en-US"/>
        </w:rPr>
      </w:pPr>
      <w:r w:rsidRPr="00973040">
        <w:rPr>
          <w:rFonts w:asciiTheme="minorHAnsi" w:hAnsiTheme="minorHAnsi"/>
          <w:sz w:val="20"/>
          <w:lang w:val="en-US"/>
        </w:rPr>
        <w:t>Federation of Automotive Products Manufacturers (FAPM) which represents the automotive compon</w:t>
      </w:r>
      <w:r>
        <w:rPr>
          <w:rFonts w:asciiTheme="minorHAnsi" w:hAnsiTheme="minorHAnsi"/>
          <w:sz w:val="20"/>
          <w:lang w:val="en-US"/>
        </w:rPr>
        <w:t>ent manufacturers/importers.</w:t>
      </w:r>
    </w:p>
    <w:p w14:paraId="7EFD5AA8" w14:textId="77777777" w:rsidR="00973040" w:rsidRDefault="004725A9" w:rsidP="004725A9">
      <w:pPr>
        <w:pStyle w:val="Heading3"/>
        <w:rPr>
          <w:lang w:val="en-US"/>
        </w:rPr>
      </w:pPr>
      <w:bookmarkStart w:id="38" w:name="_Toc100326799"/>
      <w:r>
        <w:rPr>
          <w:lang w:val="en-US"/>
        </w:rPr>
        <w:t>Governments</w:t>
      </w:r>
      <w:bookmarkEnd w:id="38"/>
    </w:p>
    <w:p w14:paraId="588BCFCC" w14:textId="77777777" w:rsidR="004725A9" w:rsidRDefault="004725A9" w:rsidP="00973040">
      <w:pPr>
        <w:rPr>
          <w:lang w:val="en-US"/>
        </w:rPr>
      </w:pPr>
      <w:r>
        <w:rPr>
          <w:lang w:val="en-US"/>
        </w:rPr>
        <w:t>Australian state and territory governments and their represented communities.</w:t>
      </w:r>
    </w:p>
    <w:p w14:paraId="06AFAD30" w14:textId="77777777" w:rsidR="00BE6F5C" w:rsidRDefault="00BE6F5C" w:rsidP="00BE6F5C">
      <w:pPr>
        <w:pStyle w:val="Heading3"/>
        <w:rPr>
          <w:lang w:val="en-US"/>
        </w:rPr>
      </w:pPr>
      <w:bookmarkStart w:id="39" w:name="_Toc100326800"/>
      <w:r>
        <w:rPr>
          <w:lang w:val="en-US"/>
        </w:rPr>
        <w:t>Impact of viable options</w:t>
      </w:r>
      <w:bookmarkEnd w:id="39"/>
    </w:p>
    <w:p w14:paraId="1C93C961" w14:textId="77777777" w:rsidR="00BE6F5C" w:rsidRDefault="00BE6F5C" w:rsidP="00BE6F5C">
      <w:pPr>
        <w:rPr>
          <w:lang w:val="en-US"/>
        </w:rPr>
      </w:pPr>
      <w:r w:rsidRPr="00BE6F5C">
        <w:rPr>
          <w:lang w:val="en-US"/>
        </w:rPr>
        <w:t xml:space="preserve">There were </w:t>
      </w:r>
      <w:r w:rsidR="00C77555">
        <w:rPr>
          <w:lang w:val="en-US"/>
        </w:rPr>
        <w:t>two</w:t>
      </w:r>
      <w:r w:rsidR="00C77555" w:rsidRPr="00BE6F5C">
        <w:rPr>
          <w:lang w:val="en-US"/>
        </w:rPr>
        <w:t xml:space="preserve"> </w:t>
      </w:r>
      <w:r w:rsidRPr="00BE6F5C">
        <w:rPr>
          <w:lang w:val="en-US"/>
        </w:rPr>
        <w:t xml:space="preserve">options that were considered viable for further examination: Option 1: no intervention and Option </w:t>
      </w:r>
      <w:r w:rsidR="00BD5D4F">
        <w:rPr>
          <w:lang w:val="en-US"/>
        </w:rPr>
        <w:t>2</w:t>
      </w:r>
      <w:r w:rsidRPr="00BE6F5C">
        <w:rPr>
          <w:lang w:val="en-US"/>
        </w:rPr>
        <w:t xml:space="preserve">: regulation. This section looks at the impact of these options in terms of quantifying expected benefits and costs, and identifies how these would be distributed among affected parties. These </w:t>
      </w:r>
      <w:r w:rsidR="000D5324">
        <w:rPr>
          <w:lang w:val="en-US"/>
        </w:rPr>
        <w:t xml:space="preserve">were </w:t>
      </w:r>
      <w:proofErr w:type="spellStart"/>
      <w:r w:rsidRPr="00BE6F5C">
        <w:rPr>
          <w:lang w:val="en-US"/>
        </w:rPr>
        <w:t>summarised</w:t>
      </w:r>
      <w:proofErr w:type="spellEnd"/>
      <w:r w:rsidRPr="00BE6F5C">
        <w:rPr>
          <w:lang w:val="en-US"/>
        </w:rPr>
        <w:t xml:space="preserve"> previously and are discussed in more detail below.</w:t>
      </w:r>
    </w:p>
    <w:p w14:paraId="6CA157E4" w14:textId="77777777" w:rsidR="000D5324" w:rsidRPr="00F80D21" w:rsidRDefault="000D5324" w:rsidP="00BE6F5C">
      <w:pPr>
        <w:rPr>
          <w:b/>
          <w:lang w:val="en-US"/>
        </w:rPr>
      </w:pPr>
      <w:r w:rsidRPr="00F80D21">
        <w:rPr>
          <w:b/>
          <w:lang w:val="en-US"/>
        </w:rPr>
        <w:t>Option 1</w:t>
      </w:r>
      <w:r w:rsidR="004042CD" w:rsidRPr="00F80D21">
        <w:rPr>
          <w:b/>
          <w:lang w:val="en-US"/>
        </w:rPr>
        <w:t xml:space="preserve"> - No intervention </w:t>
      </w:r>
    </w:p>
    <w:p w14:paraId="04B5B4E0" w14:textId="2914ADCF" w:rsidR="000D5324" w:rsidRDefault="000D5324" w:rsidP="00BE6F5C">
      <w:pPr>
        <w:rPr>
          <w:lang w:val="en-US"/>
        </w:rPr>
      </w:pPr>
      <w:r w:rsidRPr="000D5324">
        <w:rPr>
          <w:lang w:val="en-US"/>
        </w:rPr>
        <w:t xml:space="preserve">Under this option, the </w:t>
      </w:r>
      <w:r w:rsidR="001C73E1">
        <w:rPr>
          <w:lang w:val="en-US"/>
        </w:rPr>
        <w:t>Australian G</w:t>
      </w:r>
      <w:r w:rsidRPr="000D5324">
        <w:rPr>
          <w:lang w:val="en-US"/>
        </w:rPr>
        <w:t>overnment would not intervene, with market forces instead providing a solution to the problem. As this option is the BAU case, there are no new benefits or costs allocated. Any remaining option(s) are calculated relative to this BAU option, so that what would have happened anyway in the marketplace is not attributed to any proposed intervention.</w:t>
      </w:r>
    </w:p>
    <w:p w14:paraId="49E8B058" w14:textId="77777777" w:rsidR="004042CD" w:rsidRPr="00F80D21" w:rsidRDefault="00C12912" w:rsidP="004042CD">
      <w:pPr>
        <w:rPr>
          <w:b/>
          <w:lang w:val="en-US"/>
        </w:rPr>
      </w:pPr>
      <w:r>
        <w:rPr>
          <w:b/>
          <w:lang w:val="en-US"/>
        </w:rPr>
        <w:t>Option 2</w:t>
      </w:r>
      <w:r w:rsidR="00BD5D4F" w:rsidRPr="00116C09">
        <w:rPr>
          <w:b/>
          <w:lang w:val="en-US"/>
        </w:rPr>
        <w:t xml:space="preserve"> </w:t>
      </w:r>
      <w:r w:rsidR="004042CD" w:rsidRPr="00116C09">
        <w:rPr>
          <w:b/>
          <w:lang w:val="en-US"/>
        </w:rPr>
        <w:t>- Regulation</w:t>
      </w:r>
    </w:p>
    <w:p w14:paraId="7EC1F7EE" w14:textId="7F5F24AA" w:rsidR="004042CD" w:rsidRDefault="004042CD" w:rsidP="004042CD">
      <w:pPr>
        <w:rPr>
          <w:lang w:val="en-US"/>
        </w:rPr>
      </w:pPr>
      <w:r>
        <w:rPr>
          <w:lang w:val="en-US"/>
        </w:rPr>
        <w:t xml:space="preserve">As </w:t>
      </w:r>
      <w:r w:rsidR="00C12912">
        <w:rPr>
          <w:lang w:val="en-US"/>
        </w:rPr>
        <w:t>Option 2</w:t>
      </w:r>
      <w:r>
        <w:rPr>
          <w:lang w:val="en-US"/>
        </w:rPr>
        <w:t xml:space="preserve"> </w:t>
      </w:r>
      <w:r w:rsidRPr="004042CD">
        <w:rPr>
          <w:lang w:val="en-US"/>
        </w:rPr>
        <w:t>involve</w:t>
      </w:r>
      <w:r>
        <w:rPr>
          <w:lang w:val="en-US"/>
        </w:rPr>
        <w:t>s</w:t>
      </w:r>
      <w:r w:rsidRPr="004042CD">
        <w:rPr>
          <w:lang w:val="en-US"/>
        </w:rPr>
        <w:t xml:space="preserve"> direct intervention </w:t>
      </w:r>
      <w:r w:rsidR="001C73E1">
        <w:rPr>
          <w:lang w:val="en-US"/>
        </w:rPr>
        <w:t xml:space="preserve">by the Australian Government </w:t>
      </w:r>
      <w:r w:rsidRPr="004042CD">
        <w:rPr>
          <w:lang w:val="en-US"/>
        </w:rPr>
        <w:t xml:space="preserve">to compel a change in the safety performance of heavy vehicles supplied to the marketplace, </w:t>
      </w:r>
      <w:r w:rsidR="001C73E1">
        <w:rPr>
          <w:lang w:val="en-US"/>
        </w:rPr>
        <w:t xml:space="preserve">and </w:t>
      </w:r>
      <w:r w:rsidRPr="004042CD">
        <w:rPr>
          <w:lang w:val="en-US"/>
        </w:rPr>
        <w:t xml:space="preserve">the benefits and costs are those that would occur over and above those of Option 1. The fitment of </w:t>
      </w:r>
      <w:r>
        <w:rPr>
          <w:lang w:val="en-US"/>
        </w:rPr>
        <w:t xml:space="preserve">LDWS </w:t>
      </w:r>
      <w:r w:rsidRPr="004042CD">
        <w:rPr>
          <w:lang w:val="en-US"/>
        </w:rPr>
        <w:t>would no longer be a commercial decision within this environment.</w:t>
      </w:r>
    </w:p>
    <w:p w14:paraId="72516F1A" w14:textId="77777777" w:rsidR="008A2546" w:rsidRPr="00EB0C1E" w:rsidRDefault="008A2546" w:rsidP="004042CD">
      <w:pPr>
        <w:rPr>
          <w:i/>
          <w:lang w:val="en-US"/>
        </w:rPr>
      </w:pPr>
      <w:r w:rsidRPr="00EB0C1E">
        <w:rPr>
          <w:i/>
          <w:lang w:val="en-US"/>
        </w:rPr>
        <w:t>Overall benefits</w:t>
      </w:r>
    </w:p>
    <w:p w14:paraId="39202C36" w14:textId="77777777" w:rsidR="008A2546" w:rsidRPr="007311C0" w:rsidRDefault="008A2546" w:rsidP="008A2546">
      <w:pPr>
        <w:rPr>
          <w:lang w:val="en-US"/>
        </w:rPr>
      </w:pPr>
      <w:r>
        <w:rPr>
          <w:lang w:val="en-US"/>
        </w:rPr>
        <w:t xml:space="preserve">The indirect and direct </w:t>
      </w:r>
      <w:r w:rsidRPr="00D60DF7">
        <w:rPr>
          <w:lang w:val="en-US"/>
        </w:rPr>
        <w:t xml:space="preserve">benefits </w:t>
      </w:r>
      <w:r>
        <w:rPr>
          <w:lang w:val="en-US"/>
        </w:rPr>
        <w:t>are estimated at</w:t>
      </w:r>
      <w:r w:rsidRPr="00D60DF7">
        <w:rPr>
          <w:lang w:val="en-US"/>
        </w:rPr>
        <w:t xml:space="preserve"> $221.2 million</w:t>
      </w:r>
      <w:r w:rsidRPr="00070381">
        <w:rPr>
          <w:lang w:val="en-US"/>
        </w:rPr>
        <w:t xml:space="preserve"> under </w:t>
      </w:r>
      <w:r>
        <w:rPr>
          <w:lang w:val="en-US"/>
        </w:rPr>
        <w:t>Option 2</w:t>
      </w:r>
      <w:r w:rsidRPr="00070381">
        <w:rPr>
          <w:lang w:val="en-US"/>
        </w:rPr>
        <w:t xml:space="preserve"> (over and above Option 1). These benefits would be shared among the community and as cost savings to governments.</w:t>
      </w:r>
    </w:p>
    <w:p w14:paraId="224CDF86" w14:textId="77777777" w:rsidR="008A2546" w:rsidRDefault="008A2546" w:rsidP="004042CD">
      <w:pPr>
        <w:rPr>
          <w:lang w:val="en-US"/>
        </w:rPr>
      </w:pPr>
      <w:r>
        <w:rPr>
          <w:lang w:val="en-US"/>
        </w:rPr>
        <w:t>The measure is estimated to save 63 lives and 1,732 serious and 5,389 minor injuries.</w:t>
      </w:r>
    </w:p>
    <w:p w14:paraId="7A27CB3A" w14:textId="77777777" w:rsidR="00776492" w:rsidRPr="006D1274" w:rsidRDefault="00776492" w:rsidP="00776492">
      <w:pPr>
        <w:rPr>
          <w:i/>
          <w:lang w:val="en-US"/>
        </w:rPr>
      </w:pPr>
      <w:r w:rsidRPr="006D1274">
        <w:rPr>
          <w:i/>
          <w:lang w:val="en-US"/>
        </w:rPr>
        <w:t>Benefits - Business - Heavy vehicle owners and operators</w:t>
      </w:r>
    </w:p>
    <w:p w14:paraId="63AC6F12" w14:textId="77777777" w:rsidR="00776492" w:rsidRPr="004042CD" w:rsidRDefault="00776492" w:rsidP="004042CD">
      <w:pPr>
        <w:rPr>
          <w:lang w:val="en-US"/>
        </w:rPr>
      </w:pPr>
      <w:r w:rsidRPr="00776492">
        <w:rPr>
          <w:lang w:val="en-US"/>
        </w:rPr>
        <w:t xml:space="preserve">There would be a direct benefit through a reduction in road crashes (over and above that of Option 1) for the heavy vehicle owners/operators who purchase and/or operate new heavy vehicles equipped with </w:t>
      </w:r>
      <w:r>
        <w:rPr>
          <w:lang w:val="en-US"/>
        </w:rPr>
        <w:t>LDWS</w:t>
      </w:r>
      <w:r w:rsidRPr="00776492">
        <w:rPr>
          <w:lang w:val="en-US"/>
        </w:rPr>
        <w:t xml:space="preserve"> due to a mandated standard. </w:t>
      </w:r>
      <w:r w:rsidR="008A2546">
        <w:rPr>
          <w:lang w:val="en-US"/>
        </w:rPr>
        <w:t>A significant proportion of the</w:t>
      </w:r>
      <w:r w:rsidRPr="00D60DF7">
        <w:rPr>
          <w:lang w:val="en-US"/>
        </w:rPr>
        <w:t xml:space="preserve"> estimated </w:t>
      </w:r>
      <w:r w:rsidR="00D60DF7" w:rsidRPr="00D60DF7">
        <w:rPr>
          <w:lang w:val="en-US"/>
        </w:rPr>
        <w:t>63</w:t>
      </w:r>
      <w:r w:rsidRPr="00D60DF7">
        <w:rPr>
          <w:lang w:val="en-US"/>
        </w:rPr>
        <w:t xml:space="preserve"> lives and </w:t>
      </w:r>
      <w:r w:rsidR="00D60DF7" w:rsidRPr="00D60DF7">
        <w:rPr>
          <w:lang w:val="en-US"/>
        </w:rPr>
        <w:t>1,732</w:t>
      </w:r>
      <w:r w:rsidRPr="00D60DF7">
        <w:rPr>
          <w:lang w:val="en-US"/>
        </w:rPr>
        <w:t xml:space="preserve"> serious and </w:t>
      </w:r>
      <w:r w:rsidR="00D60DF7" w:rsidRPr="00D60DF7">
        <w:rPr>
          <w:lang w:val="en-US"/>
        </w:rPr>
        <w:t>5,389</w:t>
      </w:r>
      <w:r w:rsidRPr="00D60DF7">
        <w:rPr>
          <w:lang w:val="en-US"/>
        </w:rPr>
        <w:t xml:space="preserve"> minor injuries</w:t>
      </w:r>
      <w:r w:rsidRPr="00776492">
        <w:rPr>
          <w:lang w:val="en-US"/>
        </w:rPr>
        <w:t xml:space="preserve"> under </w:t>
      </w:r>
      <w:r w:rsidR="00C12912">
        <w:rPr>
          <w:lang w:val="en-US"/>
        </w:rPr>
        <w:t>Option 2</w:t>
      </w:r>
      <w:r w:rsidRPr="00776492">
        <w:rPr>
          <w:lang w:val="en-US"/>
        </w:rPr>
        <w:t xml:space="preserve"> would be occupants of heavy vehicles</w:t>
      </w:r>
      <w:r w:rsidR="00116C09">
        <w:rPr>
          <w:lang w:val="en-US"/>
        </w:rPr>
        <w:t xml:space="preserve"> in highway conditions</w:t>
      </w:r>
      <w:r w:rsidRPr="00776492">
        <w:rPr>
          <w:lang w:val="en-US"/>
        </w:rPr>
        <w:t>.</w:t>
      </w:r>
      <w:r w:rsidR="00E54F28">
        <w:rPr>
          <w:lang w:val="en-US"/>
        </w:rPr>
        <w:t xml:space="preserve"> </w:t>
      </w:r>
      <w:r w:rsidRPr="00776492">
        <w:rPr>
          <w:lang w:val="en-US"/>
        </w:rPr>
        <w:t>There would also be direct benefits to business (including owners/operators and/or insurance companies) through reductions in compensation, legal costs, driver hiring and training, vehicle repair and replacement costs, loss of goods, and in some cases, fines relating to spills that lead to environmental contamination.</w:t>
      </w:r>
      <w:r w:rsidR="00BD5D4F">
        <w:rPr>
          <w:lang w:val="en-US"/>
        </w:rPr>
        <w:t xml:space="preserve"> </w:t>
      </w:r>
    </w:p>
    <w:p w14:paraId="0B75839E" w14:textId="77777777" w:rsidR="00776492" w:rsidRDefault="00776492" w:rsidP="00776492">
      <w:pPr>
        <w:rPr>
          <w:lang w:val="en-US"/>
        </w:rPr>
      </w:pPr>
      <w:r w:rsidRPr="006D1274">
        <w:rPr>
          <w:i/>
          <w:lang w:val="en-US"/>
        </w:rPr>
        <w:lastRenderedPageBreak/>
        <w:t xml:space="preserve">Benefits - Business - </w:t>
      </w:r>
      <w:r>
        <w:rPr>
          <w:i/>
          <w:lang w:val="en-US"/>
        </w:rPr>
        <w:t>Heavy vehicle manufacturers and component manufacturers/suppliers</w:t>
      </w:r>
    </w:p>
    <w:p w14:paraId="3646FC25" w14:textId="77777777" w:rsidR="00450ADD" w:rsidRDefault="00450ADD" w:rsidP="00776492">
      <w:pPr>
        <w:rPr>
          <w:lang w:val="en-US"/>
        </w:rPr>
      </w:pPr>
      <w:r w:rsidRPr="00450ADD">
        <w:rPr>
          <w:lang w:val="en-US"/>
        </w:rPr>
        <w:t>There would be no direct benefit to heavy vehicle manufacturers (over and above that of Option 1). Component suppliers</w:t>
      </w:r>
      <w:r>
        <w:rPr>
          <w:lang w:val="en-US"/>
        </w:rPr>
        <w:t xml:space="preserve"> and component manufacturers</w:t>
      </w:r>
      <w:r w:rsidRPr="00450ADD">
        <w:rPr>
          <w:lang w:val="en-US"/>
        </w:rPr>
        <w:t xml:space="preserve"> benefit directly in terms of increased income/revenue from supplying additi</w:t>
      </w:r>
      <w:r>
        <w:rPr>
          <w:lang w:val="en-US"/>
        </w:rPr>
        <w:t xml:space="preserve">onal equipment to heavy vehicle </w:t>
      </w:r>
      <w:r w:rsidRPr="00450ADD">
        <w:rPr>
          <w:lang w:val="en-US"/>
        </w:rPr>
        <w:t>manufacturers.</w:t>
      </w:r>
    </w:p>
    <w:p w14:paraId="5C43F6AD" w14:textId="77777777" w:rsidR="004B0F18" w:rsidRDefault="004B0F18" w:rsidP="004B0F18">
      <w:pPr>
        <w:rPr>
          <w:i/>
          <w:lang w:val="en-US"/>
        </w:rPr>
      </w:pPr>
      <w:r w:rsidRPr="006D1274">
        <w:rPr>
          <w:i/>
          <w:lang w:val="en-US"/>
        </w:rPr>
        <w:t xml:space="preserve">Benefits </w:t>
      </w:r>
      <w:r w:rsidR="007311C0">
        <w:rPr>
          <w:i/>
          <w:lang w:val="en-US"/>
        </w:rPr>
        <w:t>–</w:t>
      </w:r>
      <w:r w:rsidRPr="006D1274">
        <w:rPr>
          <w:i/>
          <w:lang w:val="en-US"/>
        </w:rPr>
        <w:t xml:space="preserve"> </w:t>
      </w:r>
      <w:r w:rsidR="007311C0">
        <w:rPr>
          <w:i/>
          <w:lang w:val="en-US"/>
        </w:rPr>
        <w:t>Governments and Community</w:t>
      </w:r>
    </w:p>
    <w:p w14:paraId="365B1F84" w14:textId="77777777" w:rsidR="00070381" w:rsidRDefault="00070381" w:rsidP="004B0F18">
      <w:pPr>
        <w:rPr>
          <w:lang w:val="en-US"/>
        </w:rPr>
      </w:pPr>
      <w:r w:rsidRPr="00070381">
        <w:rPr>
          <w:lang w:val="en-US"/>
        </w:rPr>
        <w:t xml:space="preserve">There would be an indirect benefit to governments (over and above that of Option 1) from the reduction in road crashes that would follow the increase in the number and percentage of new heavy vehicles equipped with </w:t>
      </w:r>
      <w:r>
        <w:rPr>
          <w:lang w:val="en-US"/>
        </w:rPr>
        <w:t>LDWS</w:t>
      </w:r>
      <w:r w:rsidR="007311C0">
        <w:rPr>
          <w:lang w:val="en-US"/>
        </w:rPr>
        <w:t xml:space="preserve"> due to a mandated standard.</w:t>
      </w:r>
    </w:p>
    <w:p w14:paraId="65D71366" w14:textId="77777777" w:rsidR="004606CF" w:rsidRDefault="007311C0" w:rsidP="004B0F18">
      <w:pPr>
        <w:rPr>
          <w:lang w:val="en-US"/>
        </w:rPr>
      </w:pPr>
      <w:r w:rsidRPr="00776492">
        <w:rPr>
          <w:lang w:val="en-US"/>
        </w:rPr>
        <w:t>There would be a direct benefit</w:t>
      </w:r>
      <w:r>
        <w:rPr>
          <w:lang w:val="en-US"/>
        </w:rPr>
        <w:t xml:space="preserve"> to the community</w:t>
      </w:r>
      <w:r w:rsidRPr="00776492">
        <w:rPr>
          <w:lang w:val="en-US"/>
        </w:rPr>
        <w:t xml:space="preserve"> through a reduction in road crashes (over and above that of Option 1) </w:t>
      </w:r>
      <w:r>
        <w:rPr>
          <w:lang w:val="en-US"/>
        </w:rPr>
        <w:t>as a consequence of</w:t>
      </w:r>
      <w:r w:rsidRPr="00776492">
        <w:rPr>
          <w:lang w:val="en-US"/>
        </w:rPr>
        <w:t xml:space="preserve"> new heavy vehicles equipped with </w:t>
      </w:r>
      <w:r>
        <w:rPr>
          <w:lang w:val="en-US"/>
        </w:rPr>
        <w:t>LDWS</w:t>
      </w:r>
      <w:r w:rsidRPr="00776492">
        <w:rPr>
          <w:lang w:val="en-US"/>
        </w:rPr>
        <w:t xml:space="preserve"> due to a mandated standard.</w:t>
      </w:r>
    </w:p>
    <w:p w14:paraId="60D4EE88" w14:textId="32C8ACB6" w:rsidR="007311C0" w:rsidRDefault="004606CF" w:rsidP="004B0F18">
      <w:pPr>
        <w:rPr>
          <w:lang w:val="en-US"/>
        </w:rPr>
      </w:pPr>
      <w:r>
        <w:rPr>
          <w:lang w:val="en-US"/>
        </w:rPr>
        <w:t>An</w:t>
      </w:r>
      <w:r w:rsidR="007311C0">
        <w:rPr>
          <w:lang w:val="en-US"/>
        </w:rPr>
        <w:t xml:space="preserve"> </w:t>
      </w:r>
      <w:r w:rsidR="007311C0" w:rsidRPr="007311C0">
        <w:rPr>
          <w:lang w:val="en-US"/>
        </w:rPr>
        <w:t>estimated 63 lives</w:t>
      </w:r>
      <w:r>
        <w:rPr>
          <w:lang w:val="en-US"/>
        </w:rPr>
        <w:t xml:space="preserve"> would be saved</w:t>
      </w:r>
      <w:r w:rsidR="007311C0" w:rsidRPr="007311C0">
        <w:rPr>
          <w:lang w:val="en-US"/>
        </w:rPr>
        <w:t xml:space="preserve"> and 1,732 serious and 5,389 minor injuries</w:t>
      </w:r>
      <w:r>
        <w:rPr>
          <w:lang w:val="en-US"/>
        </w:rPr>
        <w:t xml:space="preserve"> reduced</w:t>
      </w:r>
      <w:r w:rsidR="007311C0">
        <w:rPr>
          <w:lang w:val="en-US"/>
        </w:rPr>
        <w:t xml:space="preserve"> </w:t>
      </w:r>
      <w:r w:rsidR="007311C0" w:rsidRPr="007311C0">
        <w:rPr>
          <w:lang w:val="en-US"/>
        </w:rPr>
        <w:t>under Option 2</w:t>
      </w:r>
      <w:r>
        <w:rPr>
          <w:lang w:val="en-US"/>
        </w:rPr>
        <w:t>. This would be more broadly felt in the general community as</w:t>
      </w:r>
      <w:r w:rsidR="007311C0">
        <w:rPr>
          <w:lang w:val="en-US"/>
        </w:rPr>
        <w:t xml:space="preserve"> other road users are often the victims in heavy vehicle crashes due to their inherently</w:t>
      </w:r>
      <w:r>
        <w:rPr>
          <w:lang w:val="en-US"/>
        </w:rPr>
        <w:t xml:space="preserve"> more</w:t>
      </w:r>
      <w:r w:rsidR="007311C0">
        <w:rPr>
          <w:lang w:val="en-US"/>
        </w:rPr>
        <w:t xml:space="preserve"> destructive outcomes. </w:t>
      </w:r>
    </w:p>
    <w:p w14:paraId="63CFC09B" w14:textId="77777777" w:rsidR="004B0F18" w:rsidRDefault="004B0F18" w:rsidP="004B0F18">
      <w:pPr>
        <w:rPr>
          <w:lang w:val="en-US"/>
        </w:rPr>
      </w:pPr>
      <w:r w:rsidRPr="004042CD">
        <w:rPr>
          <w:i/>
          <w:lang w:val="en-US"/>
        </w:rPr>
        <w:t>Costs - Business - Heavy vehicle owners and operators</w:t>
      </w:r>
    </w:p>
    <w:p w14:paraId="341CD50C" w14:textId="77777777" w:rsidR="004B0F18" w:rsidRDefault="00070381" w:rsidP="004B0F18">
      <w:pPr>
        <w:rPr>
          <w:lang w:val="en-US"/>
        </w:rPr>
      </w:pPr>
      <w:r w:rsidRPr="00070381">
        <w:rPr>
          <w:lang w:val="en-US"/>
        </w:rPr>
        <w:t xml:space="preserve">There would be a direct cost to heavy vehicle manufacturers (over and above that of Option 1) as a result of design/development, fitment and testing costs for the additional heavy vehicles sold fitted with </w:t>
      </w:r>
      <w:r>
        <w:rPr>
          <w:lang w:val="en-US"/>
        </w:rPr>
        <w:t>LDWS</w:t>
      </w:r>
      <w:r w:rsidRPr="00070381">
        <w:rPr>
          <w:lang w:val="en-US"/>
        </w:rPr>
        <w:t xml:space="preserve"> due to a mandated standard. This would likely cost $</w:t>
      </w:r>
      <w:r w:rsidR="00D60DF7">
        <w:rPr>
          <w:lang w:val="en-US"/>
        </w:rPr>
        <w:t>203.5</w:t>
      </w:r>
      <w:r w:rsidRPr="00070381">
        <w:rPr>
          <w:lang w:val="en-US"/>
        </w:rPr>
        <w:t xml:space="preserve"> million under </w:t>
      </w:r>
      <w:r w:rsidR="00C12912">
        <w:rPr>
          <w:lang w:val="en-US"/>
        </w:rPr>
        <w:t>Option 2</w:t>
      </w:r>
      <w:r>
        <w:rPr>
          <w:lang w:val="en-US"/>
        </w:rPr>
        <w:t xml:space="preserve"> </w:t>
      </w:r>
      <w:r w:rsidRPr="00070381">
        <w:rPr>
          <w:lang w:val="en-US"/>
        </w:rPr>
        <w:t xml:space="preserve">(over and above Option 1). It is likely that manufacturers would pass this increase in costs on at the point of sale to heavy vehicle owners/operators who would then absorb </w:t>
      </w:r>
      <w:r w:rsidR="008A2546">
        <w:rPr>
          <w:lang w:val="en-US"/>
        </w:rPr>
        <w:t>some</w:t>
      </w:r>
      <w:r w:rsidR="008A2546" w:rsidRPr="00070381">
        <w:rPr>
          <w:lang w:val="en-US"/>
        </w:rPr>
        <w:t xml:space="preserve"> </w:t>
      </w:r>
      <w:r w:rsidRPr="00070381">
        <w:rPr>
          <w:lang w:val="en-US"/>
        </w:rPr>
        <w:t>of it (but, as noted above, would also receive a portion of the benefits)</w:t>
      </w:r>
      <w:r w:rsidR="008A2546">
        <w:rPr>
          <w:lang w:val="en-US"/>
        </w:rPr>
        <w:t xml:space="preserve"> and pass on some through increased supply chain costs</w:t>
      </w:r>
      <w:r w:rsidRPr="00070381">
        <w:rPr>
          <w:lang w:val="en-US"/>
        </w:rPr>
        <w:t>.</w:t>
      </w:r>
    </w:p>
    <w:p w14:paraId="512605ED" w14:textId="77777777" w:rsidR="00070381" w:rsidRDefault="00070381" w:rsidP="00070381">
      <w:pPr>
        <w:rPr>
          <w:lang w:val="en-US"/>
        </w:rPr>
      </w:pPr>
      <w:r>
        <w:rPr>
          <w:i/>
          <w:lang w:val="en-US"/>
        </w:rPr>
        <w:t>Costs</w:t>
      </w:r>
      <w:r w:rsidRPr="006D1274">
        <w:rPr>
          <w:i/>
          <w:lang w:val="en-US"/>
        </w:rPr>
        <w:t xml:space="preserve"> - </w:t>
      </w:r>
      <w:r>
        <w:rPr>
          <w:i/>
          <w:lang w:val="en-US"/>
        </w:rPr>
        <w:t>Governments</w:t>
      </w:r>
    </w:p>
    <w:p w14:paraId="3ABE2366" w14:textId="77777777" w:rsidR="00070381" w:rsidRDefault="00070381" w:rsidP="00070381">
      <w:pPr>
        <w:rPr>
          <w:lang w:val="en-US"/>
        </w:rPr>
      </w:pPr>
      <w:r w:rsidRPr="004042CD">
        <w:rPr>
          <w:lang w:val="en-US"/>
        </w:rPr>
        <w:t>There would be a cost to</w:t>
      </w:r>
      <w:r>
        <w:rPr>
          <w:lang w:val="en-US"/>
        </w:rPr>
        <w:t xml:space="preserve"> federal, state and territory </w:t>
      </w:r>
      <w:r w:rsidRPr="004042CD">
        <w:rPr>
          <w:lang w:val="en-US"/>
        </w:rPr>
        <w:t>governments for</w:t>
      </w:r>
      <w:r w:rsidRPr="00070381">
        <w:t xml:space="preserve"> </w:t>
      </w:r>
      <w:r w:rsidRPr="00070381">
        <w:rPr>
          <w:lang w:val="en-US"/>
        </w:rPr>
        <w:t xml:space="preserve">developing, implementing and administering regulations (standards) that mandate the fitment of </w:t>
      </w:r>
      <w:r>
        <w:rPr>
          <w:lang w:val="en-US"/>
        </w:rPr>
        <w:t>LDWS</w:t>
      </w:r>
      <w:r w:rsidRPr="00070381">
        <w:rPr>
          <w:lang w:val="en-US"/>
        </w:rPr>
        <w:t>. This is estima</w:t>
      </w:r>
      <w:r>
        <w:rPr>
          <w:lang w:val="en-US"/>
        </w:rPr>
        <w:t>ted to be</w:t>
      </w:r>
      <w:r w:rsidR="0017627C">
        <w:rPr>
          <w:lang w:val="en-US"/>
        </w:rPr>
        <w:t xml:space="preserve"> at approximately</w:t>
      </w:r>
      <w:r>
        <w:rPr>
          <w:lang w:val="en-US"/>
        </w:rPr>
        <w:t xml:space="preserve"> $0.5 million</w:t>
      </w:r>
      <w:r w:rsidRPr="00070381">
        <w:rPr>
          <w:lang w:val="en-US"/>
        </w:rPr>
        <w:t>.</w:t>
      </w:r>
    </w:p>
    <w:p w14:paraId="2B60D2C7" w14:textId="77777777" w:rsidR="005A467F" w:rsidRDefault="005A467F" w:rsidP="005A467F">
      <w:pPr>
        <w:pStyle w:val="Heading3"/>
        <w:rPr>
          <w:lang w:val="en-US"/>
        </w:rPr>
      </w:pPr>
      <w:bookmarkStart w:id="40" w:name="_Toc100326801"/>
      <w:r>
        <w:rPr>
          <w:lang w:val="en-US"/>
        </w:rPr>
        <w:t xml:space="preserve">Fitment effect of </w:t>
      </w:r>
      <w:r w:rsidR="001A3C46">
        <w:rPr>
          <w:lang w:val="en-US"/>
        </w:rPr>
        <w:t>Option 2</w:t>
      </w:r>
      <w:bookmarkEnd w:id="40"/>
    </w:p>
    <w:p w14:paraId="3C82E426" w14:textId="3B531274" w:rsidR="00D42B8F" w:rsidRPr="00D42B8F" w:rsidRDefault="00D42B8F" w:rsidP="00D42B8F">
      <w:pPr>
        <w:rPr>
          <w:lang w:val="en-US"/>
        </w:rPr>
      </w:pPr>
      <w:r w:rsidRPr="00D42B8F">
        <w:t xml:space="preserve">Figure </w:t>
      </w:r>
      <w:r w:rsidR="003147B2">
        <w:t>8</w:t>
      </w:r>
      <w:r w:rsidRPr="00D42B8F">
        <w:t xml:space="preserve"> show</w:t>
      </w:r>
      <w:r w:rsidR="00035E18">
        <w:t>s</w:t>
      </w:r>
      <w:r w:rsidRPr="00D42B8F">
        <w:t xml:space="preserve"> the forecast percentage of fleet fitment under </w:t>
      </w:r>
      <w:r w:rsidR="00AD08D0">
        <w:t>the</w:t>
      </w:r>
      <w:r w:rsidR="00AD08D0" w:rsidRPr="00D42B8F">
        <w:t xml:space="preserve"> </w:t>
      </w:r>
      <w:r w:rsidRPr="00D42B8F">
        <w:t xml:space="preserve">analysed intervention </w:t>
      </w:r>
      <w:r w:rsidR="00AD08D0">
        <w:t>O</w:t>
      </w:r>
      <w:r w:rsidRPr="00D42B8F">
        <w:t xml:space="preserve">ption </w:t>
      </w:r>
      <w:r w:rsidR="00AD08D0">
        <w:t xml:space="preserve">2 </w:t>
      </w:r>
      <w:r w:rsidRPr="00D42B8F">
        <w:t xml:space="preserve">in comparison to BAU (Option 1). The BAU projected fitment rates up to </w:t>
      </w:r>
      <w:r w:rsidR="0049404F">
        <w:t xml:space="preserve">early </w:t>
      </w:r>
      <w:r w:rsidR="00C55CC5" w:rsidRPr="0049404F">
        <w:t>202</w:t>
      </w:r>
      <w:r w:rsidR="0049404F" w:rsidRPr="0049404F">
        <w:t>2</w:t>
      </w:r>
      <w:r w:rsidRPr="00D42B8F">
        <w:t xml:space="preserve"> were provided by industry. For Option </w:t>
      </w:r>
      <w:r w:rsidR="00AD08D0">
        <w:t>2</w:t>
      </w:r>
      <w:r w:rsidRPr="00D42B8F">
        <w:t xml:space="preserve">, though fitment rates are known to remain close to 100 per cent after a technology is mandated, a </w:t>
      </w:r>
      <w:r w:rsidR="00C55CC5">
        <w:t>decay factor</w:t>
      </w:r>
      <w:r w:rsidRPr="00D42B8F">
        <w:t xml:space="preserve"> in fitment back to BAU rates after a 15-year policy lifespan has been incorporated (to account for example for any future policy variation and/or technology redundancy), conservatively reducing the benefits in the post-intervention run-out period of 35 years by up to 50 per cent</w:t>
      </w:r>
      <w:r w:rsidR="008A2546">
        <w:t>.</w:t>
      </w:r>
    </w:p>
    <w:p w14:paraId="04776711" w14:textId="12B33429" w:rsidR="00D42B8F" w:rsidRDefault="00CB0804" w:rsidP="00D42B8F">
      <w:pPr>
        <w:keepNext/>
        <w:jc w:val="center"/>
      </w:pPr>
      <w:r>
        <w:rPr>
          <w:noProof/>
          <w:lang w:eastAsia="en-AU"/>
        </w:rPr>
        <w:lastRenderedPageBreak/>
        <w:drawing>
          <wp:inline distT="0" distB="0" distL="0" distR="0" wp14:anchorId="2A00FD86" wp14:editId="015462A1">
            <wp:extent cx="5011420" cy="3596640"/>
            <wp:effectExtent l="0" t="0" r="0" b="381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011420" cy="3596640"/>
                    </a:xfrm>
                    <a:prstGeom prst="rect">
                      <a:avLst/>
                    </a:prstGeom>
                    <a:noFill/>
                  </pic:spPr>
                </pic:pic>
              </a:graphicData>
            </a:graphic>
          </wp:inline>
        </w:drawing>
      </w:r>
    </w:p>
    <w:p w14:paraId="73B9A1CF" w14:textId="6E87D76C" w:rsidR="00D42B8F" w:rsidRPr="00D42B8F" w:rsidRDefault="00D42B8F" w:rsidP="00D42B8F">
      <w:pPr>
        <w:pStyle w:val="Caption"/>
        <w:jc w:val="center"/>
      </w:pPr>
      <w:r>
        <w:t xml:space="preserve">Figure </w:t>
      </w:r>
      <w:fldSimple w:instr=" SEQ Figure \* ARABIC ">
        <w:r w:rsidR="008E07C6">
          <w:rPr>
            <w:noProof/>
          </w:rPr>
          <w:t>8</w:t>
        </w:r>
      </w:fldSimple>
      <w:r>
        <w:t>: Fitment via Option</w:t>
      </w:r>
      <w:r w:rsidR="008A2546">
        <w:t>2</w:t>
      </w:r>
      <w:r w:rsidRPr="00650914">
        <w:t xml:space="preserve"> compared to BAU</w:t>
      </w:r>
    </w:p>
    <w:p w14:paraId="3381699A" w14:textId="77777777" w:rsidR="00D42B8F" w:rsidRPr="008008B1" w:rsidRDefault="008008B1" w:rsidP="00D42B8F">
      <w:pPr>
        <w:rPr>
          <w:b/>
          <w:lang w:val="en-US"/>
        </w:rPr>
      </w:pPr>
      <w:r w:rsidRPr="008008B1">
        <w:rPr>
          <w:b/>
          <w:lang w:val="en-US"/>
        </w:rPr>
        <w:t>Impact of LDWS when fitted to a heavy vehicle</w:t>
      </w:r>
    </w:p>
    <w:p w14:paraId="06BD05E7" w14:textId="77777777" w:rsidR="008008B1" w:rsidRDefault="008008B1" w:rsidP="00D42B8F">
      <w:pPr>
        <w:rPr>
          <w:i/>
          <w:lang w:val="en-US"/>
        </w:rPr>
      </w:pPr>
      <w:r w:rsidRPr="008008B1">
        <w:rPr>
          <w:i/>
          <w:lang w:val="en-US"/>
        </w:rPr>
        <w:t>Sensitivity</w:t>
      </w:r>
    </w:p>
    <w:p w14:paraId="1C9810F0" w14:textId="322163BF" w:rsidR="008008B1" w:rsidRDefault="008008B1" w:rsidP="00D42B8F">
      <w:r w:rsidRPr="008008B1">
        <w:t>Monash University Accident Research Centre (MUARC</w:t>
      </w:r>
      <w:r w:rsidR="00AF43B1">
        <w:t>, 2015</w:t>
      </w:r>
      <w:r w:rsidRPr="008008B1">
        <w:t xml:space="preserve">) reported on the impact of </w:t>
      </w:r>
      <w:r w:rsidR="00FF0E4C">
        <w:t>LDWS</w:t>
      </w:r>
      <w:r w:rsidRPr="008008B1">
        <w:t xml:space="preserve"> for heavy vehicles in Australia. Crash and crash injury benefits were modelled on police reported crash data on crashes occurring in Australia </w:t>
      </w:r>
      <w:proofErr w:type="gramStart"/>
      <w:r w:rsidRPr="008008B1">
        <w:t>between 2013-2016 inclusive</w:t>
      </w:r>
      <w:proofErr w:type="gramEnd"/>
      <w:r w:rsidRPr="008008B1">
        <w:t xml:space="preserve">. The classification of sensitive crashes, those potentially mitigated by </w:t>
      </w:r>
      <w:r w:rsidR="00FF0E4C">
        <w:t>LDWS</w:t>
      </w:r>
      <w:r w:rsidRPr="008008B1">
        <w:t xml:space="preserve">, was applied to </w:t>
      </w:r>
      <w:r w:rsidR="00FF0E4C">
        <w:t>crashes occurring in Australia.</w:t>
      </w:r>
    </w:p>
    <w:p w14:paraId="10CE8C80" w14:textId="77777777" w:rsidR="00F75DDA" w:rsidRPr="003C6183" w:rsidRDefault="00050F3D" w:rsidP="00FF0E4C">
      <w:r>
        <w:rPr>
          <w:lang w:val="en-US"/>
        </w:rPr>
        <w:t>Four</w:t>
      </w:r>
      <w:r>
        <w:rPr>
          <w:lang w:val="x-none"/>
        </w:rPr>
        <w:t xml:space="preserve"> per cent</w:t>
      </w:r>
      <w:r w:rsidRPr="00524131">
        <w:rPr>
          <w:lang w:val="x-none"/>
        </w:rPr>
        <w:t xml:space="preserve"> of Australian heavy vehicle crashed vehicles were identified as sensitive</w:t>
      </w:r>
      <w:r>
        <w:rPr>
          <w:lang w:val="en-US"/>
        </w:rPr>
        <w:t xml:space="preserve"> </w:t>
      </w:r>
      <w:r w:rsidRPr="00524131">
        <w:rPr>
          <w:lang w:val="x-none"/>
        </w:rPr>
        <w:t xml:space="preserve">to LDWS, the protection offered was greater for </w:t>
      </w:r>
      <w:r>
        <w:rPr>
          <w:lang w:val="x-none"/>
        </w:rPr>
        <w:t>high</w:t>
      </w:r>
      <w:r w:rsidR="00484B5F">
        <w:rPr>
          <w:lang w:val="x-none"/>
        </w:rPr>
        <w:t>er severity crashes with 11 per cent</w:t>
      </w:r>
      <w:r w:rsidRPr="00524131">
        <w:rPr>
          <w:lang w:val="x-none"/>
        </w:rPr>
        <w:t xml:space="preserve"> of fatal</w:t>
      </w:r>
      <w:r>
        <w:rPr>
          <w:lang w:val="en-US"/>
        </w:rPr>
        <w:t xml:space="preserve"> </w:t>
      </w:r>
      <w:r w:rsidRPr="00524131">
        <w:rPr>
          <w:lang w:val="x-none"/>
        </w:rPr>
        <w:t>crashes sensitive to LDWS. Sensitivity to injury crashes was almost double th</w:t>
      </w:r>
      <w:r>
        <w:rPr>
          <w:lang w:val="x-none"/>
        </w:rPr>
        <w:t>at of property damage only crashes.</w:t>
      </w:r>
    </w:p>
    <w:p w14:paraId="5EF0BEA6" w14:textId="77777777" w:rsidR="00050F3D" w:rsidRDefault="00050F3D" w:rsidP="00FF0E4C">
      <w:r w:rsidRPr="008008B1">
        <w:rPr>
          <w:i/>
        </w:rPr>
        <w:t>Effectiveness</w:t>
      </w:r>
    </w:p>
    <w:p w14:paraId="54CED054" w14:textId="457104BB" w:rsidR="00FF0E4C" w:rsidRDefault="00FF0E4C" w:rsidP="00FF0E4C">
      <w:r w:rsidRPr="00FF0E4C">
        <w:t>LDWS work well with Autonomous Emergency Braking Systems (AEBS) and help</w:t>
      </w:r>
      <w:r>
        <w:t xml:space="preserve"> </w:t>
      </w:r>
      <w:r w:rsidRPr="00FF0E4C">
        <w:t xml:space="preserve">prevent fatigue related crashes. </w:t>
      </w:r>
      <w:r w:rsidR="00050F3D">
        <w:t>L</w:t>
      </w:r>
      <w:r w:rsidRPr="00FF0E4C">
        <w:t xml:space="preserve">ane departure crashes </w:t>
      </w:r>
      <w:r w:rsidR="00050F3D">
        <w:t>sensitive to</w:t>
      </w:r>
      <w:r w:rsidRPr="00FF0E4C">
        <w:t xml:space="preserve"> LDWS include,</w:t>
      </w:r>
      <w:r>
        <w:t xml:space="preserve"> </w:t>
      </w:r>
      <w:r w:rsidRPr="00FF0E4C">
        <w:t>single-vehicle roadway departure crashes and same direction and opposite direction lane</w:t>
      </w:r>
      <w:r>
        <w:t xml:space="preserve"> </w:t>
      </w:r>
      <w:r w:rsidRPr="00FF0E4C">
        <w:t>departure multi-vehicle crashes. These crash types include side-swipes, rollover and head-on</w:t>
      </w:r>
      <w:r>
        <w:t xml:space="preserve"> </w:t>
      </w:r>
      <w:r w:rsidRPr="00FF0E4C">
        <w:t>crash</w:t>
      </w:r>
      <w:r w:rsidR="008A2546">
        <w:t>es</w:t>
      </w:r>
      <w:r w:rsidRPr="00FF0E4C">
        <w:t xml:space="preserve">. </w:t>
      </w:r>
      <w:r w:rsidR="00826DAD" w:rsidRPr="00AF43B1">
        <w:t>(</w:t>
      </w:r>
      <w:r w:rsidR="00AF43B1">
        <w:t>MUARC, 2015</w:t>
      </w:r>
      <w:r w:rsidR="00826DAD" w:rsidRPr="00AF43B1">
        <w:t xml:space="preserve">) </w:t>
      </w:r>
      <w:r w:rsidR="00050F3D" w:rsidRPr="00AF43B1">
        <w:t>carried</w:t>
      </w:r>
      <w:r w:rsidR="00524131" w:rsidRPr="00AF43B1">
        <w:t xml:space="preserve"> forward work done</w:t>
      </w:r>
      <w:r w:rsidR="00524131" w:rsidRPr="00C130A2">
        <w:t xml:space="preserve"> by</w:t>
      </w:r>
      <w:r w:rsidR="00524131">
        <w:t xml:space="preserve"> Robinson </w:t>
      </w:r>
      <w:r w:rsidR="00826DAD">
        <w:t xml:space="preserve">in </w:t>
      </w:r>
      <w:r w:rsidR="00524131">
        <w:t xml:space="preserve">2010 </w:t>
      </w:r>
      <w:r w:rsidR="003569A0">
        <w:t>where a</w:t>
      </w:r>
      <w:r w:rsidR="00524131">
        <w:t xml:space="preserve"> </w:t>
      </w:r>
      <w:r w:rsidRPr="00FF0E4C">
        <w:t>LDWS effectiveness of 20-60% reduction</w:t>
      </w:r>
      <w:r w:rsidR="00025153">
        <w:t xml:space="preserve"> was assumed</w:t>
      </w:r>
      <w:r>
        <w:t xml:space="preserve">. </w:t>
      </w:r>
      <w:r w:rsidRPr="00FF0E4C">
        <w:t xml:space="preserve">As fatigue related crashes are not accurately identifiable in Australian crash </w:t>
      </w:r>
      <w:r w:rsidRPr="00AF43B1">
        <w:t xml:space="preserve">databases, </w:t>
      </w:r>
      <w:r w:rsidR="00524131" w:rsidRPr="00AF43B1">
        <w:t xml:space="preserve">MUARC </w:t>
      </w:r>
      <w:r w:rsidR="00FD17AC" w:rsidRPr="00AF43B1">
        <w:t>(</w:t>
      </w:r>
      <w:r w:rsidR="00AF43B1" w:rsidRPr="00AF43B1">
        <w:t>MUARC, 2015</w:t>
      </w:r>
      <w:r w:rsidR="00FD17AC" w:rsidRPr="00AF43B1">
        <w:t xml:space="preserve">) </w:t>
      </w:r>
      <w:r w:rsidR="00524131" w:rsidRPr="00AA3690">
        <w:t xml:space="preserve">used the approach developed by Anderson </w:t>
      </w:r>
      <w:r w:rsidR="00FD17AC" w:rsidRPr="00AA3690">
        <w:t xml:space="preserve">in </w:t>
      </w:r>
      <w:r w:rsidR="00524131" w:rsidRPr="00AA3690">
        <w:t>2011</w:t>
      </w:r>
      <w:r w:rsidRPr="00AA3690">
        <w:t xml:space="preserve"> to estimate fatigue warning system efficacy. </w:t>
      </w:r>
      <w:r w:rsidR="00524131" w:rsidRPr="00AA3690">
        <w:t>I</w:t>
      </w:r>
      <w:r w:rsidRPr="00AA3690">
        <w:t>n this study</w:t>
      </w:r>
      <w:r w:rsidRPr="00FF0E4C">
        <w:t xml:space="preserve"> </w:t>
      </w:r>
      <w:r w:rsidR="00524131">
        <w:t xml:space="preserve">MUARC assumed </w:t>
      </w:r>
      <w:r w:rsidRPr="00FF0E4C">
        <w:t>that</w:t>
      </w:r>
      <w:r>
        <w:t xml:space="preserve"> </w:t>
      </w:r>
      <w:r w:rsidRPr="00FF0E4C">
        <w:t>efficacies in specific types of heavy vehicles may be applied to all heavy vehicle and bus (&gt;4.5 t GVM)</w:t>
      </w:r>
      <w:r>
        <w:t xml:space="preserve"> types </w:t>
      </w:r>
      <w:r w:rsidRPr="00FF0E4C">
        <w:t xml:space="preserve">in all severity injuries resulting from LDWS sensitive crashes. </w:t>
      </w:r>
      <w:r w:rsidR="00524131" w:rsidRPr="00AF43B1">
        <w:t xml:space="preserve">MUARC </w:t>
      </w:r>
      <w:r w:rsidR="00FD17AC" w:rsidRPr="00AF43B1">
        <w:t>(</w:t>
      </w:r>
      <w:r w:rsidR="00AF43B1">
        <w:t>MUARC, 2015</w:t>
      </w:r>
      <w:r w:rsidR="00FD17AC" w:rsidRPr="00AF43B1">
        <w:t>)</w:t>
      </w:r>
      <w:r w:rsidR="00FD17AC" w:rsidRPr="00C130A2">
        <w:t xml:space="preserve"> </w:t>
      </w:r>
      <w:r w:rsidR="00524131">
        <w:t xml:space="preserve">noted that </w:t>
      </w:r>
      <w:r w:rsidRPr="00FF0E4C">
        <w:t xml:space="preserve">Houser </w:t>
      </w:r>
      <w:r w:rsidR="00FD17AC">
        <w:t xml:space="preserve">in </w:t>
      </w:r>
      <w:r w:rsidRPr="00FF0E4C">
        <w:t>2009 assessed</w:t>
      </w:r>
      <w:r>
        <w:t xml:space="preserve"> </w:t>
      </w:r>
      <w:r w:rsidRPr="00FF0E4C">
        <w:t>efficacy (in large trucks) in reducing the LD</w:t>
      </w:r>
      <w:r w:rsidR="00524131">
        <w:t>WS sensitive crashes as: 23-53 per cent</w:t>
      </w:r>
      <w:r w:rsidRPr="00FF0E4C">
        <w:t xml:space="preserve"> for single</w:t>
      </w:r>
      <w:r>
        <w:t xml:space="preserve"> </w:t>
      </w:r>
      <w:r w:rsidRPr="00FF0E4C">
        <w:t>vehicle roadw</w:t>
      </w:r>
      <w:r w:rsidR="00524131">
        <w:t>ay departure collisions, 24-50 per cent</w:t>
      </w:r>
      <w:r w:rsidRPr="00FF0E4C">
        <w:t xml:space="preserve"> for single vehicle roadway departure</w:t>
      </w:r>
      <w:r>
        <w:t xml:space="preserve"> </w:t>
      </w:r>
      <w:r w:rsidR="00524131">
        <w:t>rollovers, and 23-46 per cent</w:t>
      </w:r>
      <w:r w:rsidRPr="00FF0E4C">
        <w:t xml:space="preserve"> for same direction lane departure and other direction lane departure</w:t>
      </w:r>
      <w:r>
        <w:t xml:space="preserve"> </w:t>
      </w:r>
      <w:r w:rsidRPr="00FF0E4C">
        <w:t>over-the-lane-line multi-vehicle collisions. The lower figure of the range was evaluated</w:t>
      </w:r>
      <w:r>
        <w:t xml:space="preserve"> </w:t>
      </w:r>
      <w:r w:rsidRPr="00FF0E4C">
        <w:t>from a Mack field operation test studying single vehicle run-off road crashes and rollovers</w:t>
      </w:r>
      <w:r>
        <w:t xml:space="preserve"> </w:t>
      </w:r>
      <w:r w:rsidRPr="00FF0E4C">
        <w:t xml:space="preserve">not caused by an impact. The upper figure resulted from motor carrier information. </w:t>
      </w:r>
      <w:r w:rsidR="00524131">
        <w:t xml:space="preserve">MUARC </w:t>
      </w:r>
      <w:r w:rsidRPr="00FF0E4C">
        <w:t xml:space="preserve">applied </w:t>
      </w:r>
      <w:r w:rsidR="00524131">
        <w:t>t</w:t>
      </w:r>
      <w:r w:rsidR="00524131" w:rsidRPr="00FF0E4C">
        <w:t>hese</w:t>
      </w:r>
      <w:r w:rsidR="00524131">
        <w:t xml:space="preserve"> </w:t>
      </w:r>
      <w:r w:rsidR="00524131" w:rsidRPr="00FF0E4C">
        <w:t xml:space="preserve">efficacies </w:t>
      </w:r>
      <w:r w:rsidRPr="00FF0E4C">
        <w:t>equally</w:t>
      </w:r>
      <w:r w:rsidR="00524131">
        <w:t xml:space="preserve"> across</w:t>
      </w:r>
      <w:r w:rsidRPr="00FF0E4C">
        <w:t xml:space="preserve"> crashes of all severities. </w:t>
      </w:r>
      <w:r w:rsidR="00524131">
        <w:t>MUARC</w:t>
      </w:r>
      <w:r w:rsidR="00C130A2">
        <w:t xml:space="preserve"> </w:t>
      </w:r>
      <w:r w:rsidR="00AF43B1">
        <w:t>(MUARC, 2015</w:t>
      </w:r>
      <w:r w:rsidR="00C130A2">
        <w:t>)</w:t>
      </w:r>
      <w:r w:rsidR="00524131">
        <w:t xml:space="preserve"> deduced s</w:t>
      </w:r>
      <w:r w:rsidRPr="00FF0E4C">
        <w:t>ince Houser’s range of values is</w:t>
      </w:r>
      <w:r>
        <w:t xml:space="preserve"> </w:t>
      </w:r>
      <w:r w:rsidRPr="00FF0E4C">
        <w:t xml:space="preserve">almost the same for each crash type, for simplicity, </w:t>
      </w:r>
      <w:r w:rsidR="00524131">
        <w:t>the study</w:t>
      </w:r>
      <w:r w:rsidRPr="00FF0E4C">
        <w:t xml:space="preserve"> used the modest efficacy</w:t>
      </w:r>
      <w:r>
        <w:t xml:space="preserve"> </w:t>
      </w:r>
      <w:r w:rsidR="00524131">
        <w:t>range of 23-50 per cent</w:t>
      </w:r>
      <w:r w:rsidRPr="00FF0E4C">
        <w:t xml:space="preserve"> on all sensitive crashes equally.</w:t>
      </w:r>
    </w:p>
    <w:p w14:paraId="1D1B012E" w14:textId="77777777" w:rsidR="00F75DDA" w:rsidRDefault="00050F3D" w:rsidP="00FF0E4C">
      <w:r w:rsidRPr="008008B1">
        <w:lastRenderedPageBreak/>
        <w:t xml:space="preserve">The overall effectiveness of heavy vehicle </w:t>
      </w:r>
      <w:r>
        <w:t>LDWS</w:t>
      </w:r>
      <w:r w:rsidRPr="008008B1">
        <w:t xml:space="preserve"> against trauma has been modelled using the lower end of this range. Like other vehicle safety technologies, </w:t>
      </w:r>
      <w:r>
        <w:t>LDWS</w:t>
      </w:r>
      <w:r w:rsidRPr="008008B1">
        <w:t xml:space="preserve"> effectiveness is expected to be higher for fatal and serious injuries than for minor injuries. This is due in part to the effect of downgrading of trauma severity at higher trauma levels (to serious, minor or completely mitigated from fatal) whereas for minor severity traumas, complete mitigation is the only improved outcome. This effect is modelled as an approximate 10 per cent increment in effectiveness for mitigation of fatal and serious injury crash outcomes over that of minor injury crashes, which has been observed in light vehicle crash outcomes and for which data is available. </w:t>
      </w:r>
    </w:p>
    <w:p w14:paraId="3009134F" w14:textId="77777777" w:rsidR="00050F3D" w:rsidRPr="00FF0E4C" w:rsidRDefault="00050F3D" w:rsidP="00FF0E4C">
      <w:r>
        <w:t xml:space="preserve">MUARC found that </w:t>
      </w:r>
      <w:r>
        <w:rPr>
          <w:lang w:val="x-none"/>
        </w:rPr>
        <w:t>LDWS</w:t>
      </w:r>
      <w:r w:rsidRPr="002C4968">
        <w:rPr>
          <w:lang w:val="x-none"/>
        </w:rPr>
        <w:t xml:space="preserve"> </w:t>
      </w:r>
      <w:r>
        <w:rPr>
          <w:lang w:val="en-US"/>
        </w:rPr>
        <w:t>technologies were</w:t>
      </w:r>
      <w:r w:rsidRPr="002C4968">
        <w:rPr>
          <w:lang w:val="x-none"/>
        </w:rPr>
        <w:t xml:space="preserve"> more sensitive to the crashes of articulated</w:t>
      </w:r>
      <w:r>
        <w:rPr>
          <w:lang w:val="en-US"/>
        </w:rPr>
        <w:t xml:space="preserve"> </w:t>
      </w:r>
      <w:r w:rsidRPr="002C4968">
        <w:rPr>
          <w:lang w:val="x-none"/>
        </w:rPr>
        <w:t xml:space="preserve">trucks and road trains than to those of rigid trucks and buses. </w:t>
      </w:r>
      <w:r w:rsidRPr="008008B1">
        <w:t xml:space="preserve">Though </w:t>
      </w:r>
      <w:r>
        <w:t>LDWS</w:t>
      </w:r>
      <w:r w:rsidRPr="008008B1">
        <w:t xml:space="preserve"> effectiveness is typically higher in high severity (for example, highway/high</w:t>
      </w:r>
      <w:r>
        <w:t xml:space="preserve"> </w:t>
      </w:r>
      <w:r w:rsidRPr="008008B1">
        <w:t xml:space="preserve">speed) crashes, low severity crashes occurring in lower speed areas </w:t>
      </w:r>
      <w:r>
        <w:t xml:space="preserve">(above 60 km/h up to 80 km/h) </w:t>
      </w:r>
      <w:r w:rsidRPr="008008B1">
        <w:t>are higher in frequency. This biases the expected effectiveness in an arbitrary crash towards lower ranges. On the basis of the above, the adop</w:t>
      </w:r>
      <w:r>
        <w:t>ted effectiveness values were 30</w:t>
      </w:r>
      <w:r w:rsidRPr="008008B1">
        <w:t xml:space="preserve"> per cent for al</w:t>
      </w:r>
      <w:r>
        <w:t>l sensitive trauma crashes and 40</w:t>
      </w:r>
      <w:r w:rsidRPr="008008B1">
        <w:t xml:space="preserve"> per cent for higher severity (fatal and serious injury) crashes.</w:t>
      </w:r>
    </w:p>
    <w:p w14:paraId="6736901E" w14:textId="77777777" w:rsidR="00E74785" w:rsidRDefault="00E74785" w:rsidP="00E74785">
      <w:pPr>
        <w:pStyle w:val="Heading2"/>
      </w:pPr>
      <w:bookmarkStart w:id="41" w:name="_Toc100326802"/>
      <w:r>
        <w:t>Regulatory burden and cost offsets</w:t>
      </w:r>
      <w:bookmarkEnd w:id="41"/>
    </w:p>
    <w:p w14:paraId="3343C79C" w14:textId="3B4532F3" w:rsidR="00CE7C57" w:rsidRDefault="00CE7C57" w:rsidP="00CE7C57">
      <w:pPr>
        <w:rPr>
          <w:lang w:val="x-none"/>
        </w:rPr>
      </w:pPr>
      <w:r w:rsidRPr="00116C09">
        <w:t xml:space="preserve">The </w:t>
      </w:r>
      <w:r w:rsidR="00F75DDA" w:rsidRPr="00596709">
        <w:rPr>
          <w:i/>
          <w:lang w:val="x-none"/>
        </w:rPr>
        <w:t>Australian Government Guide to Regulatory Impact Analysis</w:t>
      </w:r>
      <w:r w:rsidR="00025153" w:rsidRPr="00596709">
        <w:rPr>
          <w:i/>
          <w:lang w:val="en-US"/>
        </w:rPr>
        <w:t xml:space="preserve"> </w:t>
      </w:r>
      <w:r w:rsidR="00C32554">
        <w:rPr>
          <w:i/>
          <w:lang w:val="en-US"/>
        </w:rPr>
        <w:t>(</w:t>
      </w:r>
      <w:r w:rsidR="00025153" w:rsidRPr="00596709">
        <w:rPr>
          <w:i/>
          <w:lang w:val="en-US"/>
        </w:rPr>
        <w:t>Second edition</w:t>
      </w:r>
      <w:r w:rsidR="00025153" w:rsidRPr="00C32554">
        <w:rPr>
          <w:i/>
          <w:lang w:val="en-US"/>
        </w:rPr>
        <w:t xml:space="preserve"> 2020</w:t>
      </w:r>
      <w:r w:rsidR="00C32554" w:rsidRPr="00C32554">
        <w:rPr>
          <w:i/>
          <w:lang w:val="en-US"/>
        </w:rPr>
        <w:t>)</w:t>
      </w:r>
      <w:r w:rsidR="007A4371" w:rsidRPr="00596709">
        <w:rPr>
          <w:lang w:val="en-GB"/>
        </w:rPr>
        <w:t xml:space="preserve"> </w:t>
      </w:r>
      <w:r w:rsidRPr="00116C09">
        <w:t>requires that all new regulatory options are costed using the Regulatory Burden Measurement (RBM) Framework. Under the RBM Framework, the regulatory burden is the cost of a proposal to business and the community (not including the cost to government). It is calculated in a prescribed manner that usually results in it being different to the overall costs of a proposal in the benefit-cost analysis. In line with the RBM Framework, the average annual regulatory costs were calculated for this proposal by totalling the undiscounted (nominal) cost (including development and fitment cost) for each opt</w:t>
      </w:r>
      <w:r w:rsidR="00624B69">
        <w:t>ion over the 10</w:t>
      </w:r>
      <w:r w:rsidR="00025153">
        <w:t>-</w:t>
      </w:r>
      <w:r w:rsidR="00624B69">
        <w:t>year period 2026-2035</w:t>
      </w:r>
      <w:r w:rsidRPr="00116C09">
        <w:t xml:space="preserve"> inclusive. This total was then divided by 10.</w:t>
      </w:r>
    </w:p>
    <w:p w14:paraId="4A4D770D" w14:textId="1F32CD8F" w:rsidR="00CE7C57" w:rsidRDefault="00CE7C57" w:rsidP="00CE7C57">
      <w:r w:rsidRPr="00116C09">
        <w:t xml:space="preserve">The average annual regulatory costs under the RBM of </w:t>
      </w:r>
      <w:r>
        <w:t>Option</w:t>
      </w:r>
      <w:r w:rsidR="009C45AB">
        <w:t xml:space="preserve"> 2 is set</w:t>
      </w:r>
      <w:r>
        <w:t xml:space="preserve"> out in Table </w:t>
      </w:r>
      <w:r w:rsidRPr="00863E9A">
        <w:t>5</w:t>
      </w:r>
      <w:r w:rsidRPr="00116C09">
        <w:t xml:space="preserve">. There are no costs associated with </w:t>
      </w:r>
      <w:r w:rsidRPr="00564EAE">
        <w:t>Option 1 as it is the BAU case. The average annual regulatory cost associated with Option 2</w:t>
      </w:r>
      <w:r w:rsidR="005F793F">
        <w:t xml:space="preserve"> is</w:t>
      </w:r>
      <w:r w:rsidRPr="00564EAE">
        <w:t xml:space="preserve"> estimated to be </w:t>
      </w:r>
      <w:r w:rsidR="00E303D0" w:rsidRPr="00564EAE">
        <w:t>$18.2</w:t>
      </w:r>
      <w:r w:rsidRPr="00564EAE">
        <w:t xml:space="preserve"> million</w:t>
      </w:r>
      <w:r>
        <w:t>.</w:t>
      </w:r>
    </w:p>
    <w:p w14:paraId="18DCFD39" w14:textId="5FCA79BD" w:rsidR="00D94E32" w:rsidRDefault="00D94E32" w:rsidP="00D94E32">
      <w:pPr>
        <w:pStyle w:val="Caption"/>
        <w:keepNext/>
      </w:pPr>
      <w:bookmarkStart w:id="42" w:name="_Toc100326835"/>
      <w:r>
        <w:t xml:space="preserve">Table </w:t>
      </w:r>
      <w:fldSimple w:instr=" SEQ Table \* ARABIC ">
        <w:r w:rsidR="008E07C6">
          <w:rPr>
            <w:noProof/>
          </w:rPr>
          <w:t>5</w:t>
        </w:r>
      </w:fldSimple>
      <w:r>
        <w:t>: Regulatory burden and cost offset</w:t>
      </w:r>
      <w:r w:rsidR="00320F71">
        <w:t xml:space="preserve"> esti</w:t>
      </w:r>
      <w:r>
        <w:t>mates - Options 1</w:t>
      </w:r>
      <w:r w:rsidR="005F793F">
        <w:t xml:space="preserve"> and 2</w:t>
      </w:r>
      <w:bookmarkEnd w:id="42"/>
    </w:p>
    <w:tbl>
      <w:tblPr>
        <w:tblStyle w:val="DefaultTable1"/>
        <w:tblW w:w="5000" w:type="pct"/>
        <w:tblLook w:val="04E0" w:firstRow="1" w:lastRow="1" w:firstColumn="1" w:lastColumn="0" w:noHBand="0" w:noVBand="1"/>
        <w:tblCaption w:val="Sample table"/>
        <w:tblDescription w:val="Sample table"/>
      </w:tblPr>
      <w:tblGrid>
        <w:gridCol w:w="2811"/>
        <w:gridCol w:w="2819"/>
        <w:gridCol w:w="1409"/>
        <w:gridCol w:w="1411"/>
        <w:gridCol w:w="1414"/>
      </w:tblGrid>
      <w:tr w:rsidR="00934E33" w14:paraId="0C6FB807" w14:textId="77777777" w:rsidTr="00934E33">
        <w:trPr>
          <w:cnfStyle w:val="100000000000" w:firstRow="1" w:lastRow="0" w:firstColumn="0" w:lastColumn="0" w:oddVBand="0" w:evenVBand="0" w:oddHBand="0" w:evenHBand="0" w:firstRowFirstColumn="0" w:firstRowLastColumn="0" w:lastRowFirstColumn="0" w:lastRowLastColumn="0"/>
          <w:trHeight w:val="221"/>
        </w:trPr>
        <w:tc>
          <w:tcPr>
            <w:cnfStyle w:val="001000000000" w:firstRow="0" w:lastRow="0" w:firstColumn="1" w:lastColumn="0" w:oddVBand="0" w:evenVBand="0" w:oddHBand="0" w:evenHBand="0" w:firstRowFirstColumn="0" w:firstRowLastColumn="0" w:lastRowFirstColumn="0" w:lastRowLastColumn="0"/>
            <w:tcW w:w="5000" w:type="pct"/>
            <w:gridSpan w:val="5"/>
          </w:tcPr>
          <w:p w14:paraId="70EB42D4" w14:textId="77777777" w:rsidR="00934E33" w:rsidRDefault="00934E33" w:rsidP="00934E33">
            <w:pPr>
              <w:jc w:val="center"/>
            </w:pPr>
            <w:r>
              <w:t>Average annual regulatory costs (relative to BAU)</w:t>
            </w:r>
          </w:p>
        </w:tc>
      </w:tr>
      <w:tr w:rsidR="00934E33" w:rsidRPr="00934E33" w14:paraId="4A42E117" w14:textId="77777777" w:rsidTr="0020323C">
        <w:tc>
          <w:tcPr>
            <w:cnfStyle w:val="001000000000" w:firstRow="0" w:lastRow="0" w:firstColumn="1" w:lastColumn="0" w:oddVBand="0" w:evenVBand="0" w:oddHBand="0" w:evenHBand="0" w:firstRowFirstColumn="0" w:firstRowLastColumn="0" w:lastRowFirstColumn="0" w:lastRowLastColumn="0"/>
            <w:tcW w:w="1425" w:type="pct"/>
          </w:tcPr>
          <w:p w14:paraId="34F3A582" w14:textId="77777777" w:rsidR="00934E33" w:rsidRDefault="0080729F" w:rsidP="00934E33">
            <w:r>
              <w:t>Change in costs ($ million)</w:t>
            </w:r>
          </w:p>
        </w:tc>
        <w:tc>
          <w:tcPr>
            <w:tcW w:w="1429" w:type="pct"/>
          </w:tcPr>
          <w:p w14:paraId="02213237" w14:textId="77777777" w:rsidR="00934E33" w:rsidRPr="00FF2A22" w:rsidRDefault="00934E33" w:rsidP="0080729F">
            <w:pPr>
              <w:jc w:val="center"/>
              <w:cnfStyle w:val="000000000000" w:firstRow="0" w:lastRow="0" w:firstColumn="0" w:lastColumn="0" w:oddVBand="0" w:evenVBand="0" w:oddHBand="0" w:evenHBand="0" w:firstRowFirstColumn="0" w:firstRowLastColumn="0" w:lastRowFirstColumn="0" w:lastRowLastColumn="0"/>
              <w:rPr>
                <w:b/>
              </w:rPr>
            </w:pPr>
            <w:r w:rsidRPr="00FF2A22">
              <w:rPr>
                <w:b/>
              </w:rPr>
              <w:t>Business</w:t>
            </w:r>
          </w:p>
        </w:tc>
        <w:tc>
          <w:tcPr>
            <w:tcW w:w="714" w:type="pct"/>
          </w:tcPr>
          <w:p w14:paraId="4E900E1E" w14:textId="77777777" w:rsidR="00934E33" w:rsidRPr="00FF2A22" w:rsidRDefault="00934E33" w:rsidP="0080729F">
            <w:pPr>
              <w:jc w:val="center"/>
              <w:cnfStyle w:val="000000000000" w:firstRow="0" w:lastRow="0" w:firstColumn="0" w:lastColumn="0" w:oddVBand="0" w:evenVBand="0" w:oddHBand="0" w:evenHBand="0" w:firstRowFirstColumn="0" w:firstRowLastColumn="0" w:lastRowFirstColumn="0" w:lastRowLastColumn="0"/>
              <w:rPr>
                <w:b/>
              </w:rPr>
            </w:pPr>
            <w:r w:rsidRPr="00FF2A22">
              <w:rPr>
                <w:b/>
              </w:rPr>
              <w:t>Community organisations</w:t>
            </w:r>
          </w:p>
        </w:tc>
        <w:tc>
          <w:tcPr>
            <w:tcW w:w="715" w:type="pct"/>
          </w:tcPr>
          <w:p w14:paraId="077A8034" w14:textId="77777777" w:rsidR="00934E33" w:rsidRPr="00FF2A22" w:rsidRDefault="00934E33" w:rsidP="0080729F">
            <w:pPr>
              <w:jc w:val="center"/>
              <w:cnfStyle w:val="000000000000" w:firstRow="0" w:lastRow="0" w:firstColumn="0" w:lastColumn="0" w:oddVBand="0" w:evenVBand="0" w:oddHBand="0" w:evenHBand="0" w:firstRowFirstColumn="0" w:firstRowLastColumn="0" w:lastRowFirstColumn="0" w:lastRowLastColumn="0"/>
              <w:rPr>
                <w:b/>
              </w:rPr>
            </w:pPr>
            <w:r w:rsidRPr="00FF2A22">
              <w:rPr>
                <w:b/>
              </w:rPr>
              <w:t>Individuals</w:t>
            </w:r>
          </w:p>
        </w:tc>
        <w:tc>
          <w:tcPr>
            <w:tcW w:w="717" w:type="pct"/>
          </w:tcPr>
          <w:p w14:paraId="0194F335" w14:textId="77777777" w:rsidR="00934E33" w:rsidRPr="00FF2A22" w:rsidRDefault="00934E33" w:rsidP="0080729F">
            <w:pPr>
              <w:jc w:val="center"/>
              <w:cnfStyle w:val="000000000000" w:firstRow="0" w:lastRow="0" w:firstColumn="0" w:lastColumn="0" w:oddVBand="0" w:evenVBand="0" w:oddHBand="0" w:evenHBand="0" w:firstRowFirstColumn="0" w:firstRowLastColumn="0" w:lastRowFirstColumn="0" w:lastRowLastColumn="0"/>
              <w:rPr>
                <w:b/>
              </w:rPr>
            </w:pPr>
            <w:r w:rsidRPr="00FF2A22">
              <w:rPr>
                <w:b/>
              </w:rPr>
              <w:t>Total change in costs</w:t>
            </w:r>
          </w:p>
        </w:tc>
      </w:tr>
      <w:tr w:rsidR="00934E33" w14:paraId="7F9C7899" w14:textId="77777777" w:rsidTr="0020323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25" w:type="pct"/>
          </w:tcPr>
          <w:p w14:paraId="02C208FA" w14:textId="77777777" w:rsidR="00934E33" w:rsidRDefault="0080729F" w:rsidP="00934E33">
            <w:r>
              <w:t>Total, by sector</w:t>
            </w:r>
            <w:r w:rsidR="0020323C">
              <w:t xml:space="preserve"> </w:t>
            </w:r>
          </w:p>
          <w:p w14:paraId="68DF00B0" w14:textId="77777777" w:rsidR="0020323C" w:rsidRPr="00FF2A22" w:rsidRDefault="0020323C" w:rsidP="00934E33">
            <w:pPr>
              <w:rPr>
                <w:b w:val="0"/>
              </w:rPr>
            </w:pPr>
            <w:r>
              <w:t>Option 1</w:t>
            </w:r>
          </w:p>
        </w:tc>
        <w:tc>
          <w:tcPr>
            <w:tcW w:w="1429" w:type="pct"/>
          </w:tcPr>
          <w:p w14:paraId="4E2A3DAD" w14:textId="77777777" w:rsidR="00934E33" w:rsidRDefault="0080729F" w:rsidP="0080729F">
            <w:pPr>
              <w:jc w:val="center"/>
              <w:cnfStyle w:val="000000010000" w:firstRow="0" w:lastRow="0" w:firstColumn="0" w:lastColumn="0" w:oddVBand="0" w:evenVBand="0" w:oddHBand="0" w:evenHBand="1" w:firstRowFirstColumn="0" w:firstRowLastColumn="0" w:lastRowFirstColumn="0" w:lastRowLastColumn="0"/>
            </w:pPr>
            <w:r>
              <w:t>-</w:t>
            </w:r>
          </w:p>
        </w:tc>
        <w:tc>
          <w:tcPr>
            <w:tcW w:w="714" w:type="pct"/>
          </w:tcPr>
          <w:p w14:paraId="458CE93E" w14:textId="77777777" w:rsidR="00934E33" w:rsidRDefault="0080729F" w:rsidP="0080729F">
            <w:pPr>
              <w:jc w:val="center"/>
              <w:cnfStyle w:val="000000010000" w:firstRow="0" w:lastRow="0" w:firstColumn="0" w:lastColumn="0" w:oddVBand="0" w:evenVBand="0" w:oddHBand="0" w:evenHBand="1" w:firstRowFirstColumn="0" w:firstRowLastColumn="0" w:lastRowFirstColumn="0" w:lastRowLastColumn="0"/>
            </w:pPr>
            <w:r>
              <w:t>-</w:t>
            </w:r>
          </w:p>
        </w:tc>
        <w:tc>
          <w:tcPr>
            <w:tcW w:w="715" w:type="pct"/>
          </w:tcPr>
          <w:p w14:paraId="49DCCFBB" w14:textId="77777777" w:rsidR="00934E33" w:rsidRDefault="0080729F" w:rsidP="0080729F">
            <w:pPr>
              <w:jc w:val="center"/>
              <w:cnfStyle w:val="000000010000" w:firstRow="0" w:lastRow="0" w:firstColumn="0" w:lastColumn="0" w:oddVBand="0" w:evenVBand="0" w:oddHBand="0" w:evenHBand="1" w:firstRowFirstColumn="0" w:firstRowLastColumn="0" w:lastRowFirstColumn="0" w:lastRowLastColumn="0"/>
            </w:pPr>
            <w:r>
              <w:t>-</w:t>
            </w:r>
          </w:p>
        </w:tc>
        <w:tc>
          <w:tcPr>
            <w:tcW w:w="717" w:type="pct"/>
          </w:tcPr>
          <w:p w14:paraId="371A1B77" w14:textId="77777777" w:rsidR="00934E33" w:rsidRDefault="0080729F" w:rsidP="0080729F">
            <w:pPr>
              <w:jc w:val="center"/>
              <w:cnfStyle w:val="000000010000" w:firstRow="0" w:lastRow="0" w:firstColumn="0" w:lastColumn="0" w:oddVBand="0" w:evenVBand="0" w:oddHBand="0" w:evenHBand="1" w:firstRowFirstColumn="0" w:firstRowLastColumn="0" w:lastRowFirstColumn="0" w:lastRowLastColumn="0"/>
            </w:pPr>
            <w:r>
              <w:t>-</w:t>
            </w:r>
          </w:p>
        </w:tc>
      </w:tr>
      <w:tr w:rsidR="00E303D0" w14:paraId="689C0666" w14:textId="77777777" w:rsidTr="0020323C">
        <w:trPr>
          <w:cnfStyle w:val="010000000000" w:firstRow="0" w:lastRow="1"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25" w:type="pct"/>
          </w:tcPr>
          <w:p w14:paraId="30CB73A7" w14:textId="77777777" w:rsidR="00E303D0" w:rsidRDefault="00E303D0" w:rsidP="00E303D0">
            <w:r>
              <w:t>Total, by sector</w:t>
            </w:r>
          </w:p>
          <w:p w14:paraId="0820A111" w14:textId="77777777" w:rsidR="00E303D0" w:rsidRDefault="00E303D0" w:rsidP="00E303D0">
            <w:r>
              <w:t xml:space="preserve">Option </w:t>
            </w:r>
            <w:r w:rsidR="005F793F">
              <w:t>2</w:t>
            </w:r>
          </w:p>
        </w:tc>
        <w:tc>
          <w:tcPr>
            <w:tcW w:w="1429" w:type="pct"/>
          </w:tcPr>
          <w:p w14:paraId="66CFC305" w14:textId="77777777" w:rsidR="00E303D0" w:rsidRDefault="00E303D0" w:rsidP="00E303D0">
            <w:pPr>
              <w:jc w:val="center"/>
              <w:cnfStyle w:val="010000000000" w:firstRow="0" w:lastRow="1" w:firstColumn="0" w:lastColumn="0" w:oddVBand="0" w:evenVBand="0" w:oddHBand="0" w:evenHBand="0" w:firstRowFirstColumn="0" w:firstRowLastColumn="0" w:lastRowFirstColumn="0" w:lastRowLastColumn="0"/>
            </w:pPr>
            <w:r>
              <w:t>$18.2 m</w:t>
            </w:r>
          </w:p>
        </w:tc>
        <w:tc>
          <w:tcPr>
            <w:tcW w:w="714" w:type="pct"/>
          </w:tcPr>
          <w:p w14:paraId="4B797959" w14:textId="77777777" w:rsidR="00E303D0" w:rsidRDefault="00E303D0" w:rsidP="00E303D0">
            <w:pPr>
              <w:jc w:val="center"/>
              <w:cnfStyle w:val="010000000000" w:firstRow="0" w:lastRow="1" w:firstColumn="0" w:lastColumn="0" w:oddVBand="0" w:evenVBand="0" w:oddHBand="0" w:evenHBand="0" w:firstRowFirstColumn="0" w:firstRowLastColumn="0" w:lastRowFirstColumn="0" w:lastRowLastColumn="0"/>
            </w:pPr>
            <w:r>
              <w:t>-</w:t>
            </w:r>
          </w:p>
        </w:tc>
        <w:tc>
          <w:tcPr>
            <w:tcW w:w="715" w:type="pct"/>
          </w:tcPr>
          <w:p w14:paraId="0E311FB4" w14:textId="77777777" w:rsidR="00E303D0" w:rsidRDefault="00E303D0" w:rsidP="00E303D0">
            <w:pPr>
              <w:jc w:val="center"/>
              <w:cnfStyle w:val="010000000000" w:firstRow="0" w:lastRow="1" w:firstColumn="0" w:lastColumn="0" w:oddVBand="0" w:evenVBand="0" w:oddHBand="0" w:evenHBand="0" w:firstRowFirstColumn="0" w:firstRowLastColumn="0" w:lastRowFirstColumn="0" w:lastRowLastColumn="0"/>
            </w:pPr>
            <w:r>
              <w:t>-</w:t>
            </w:r>
          </w:p>
        </w:tc>
        <w:tc>
          <w:tcPr>
            <w:tcW w:w="717" w:type="pct"/>
          </w:tcPr>
          <w:p w14:paraId="0D9A041A" w14:textId="77777777" w:rsidR="00E303D0" w:rsidRDefault="00E303D0" w:rsidP="00E303D0">
            <w:pPr>
              <w:jc w:val="center"/>
              <w:cnfStyle w:val="010000000000" w:firstRow="0" w:lastRow="1" w:firstColumn="0" w:lastColumn="0" w:oddVBand="0" w:evenVBand="0" w:oddHBand="0" w:evenHBand="0" w:firstRowFirstColumn="0" w:firstRowLastColumn="0" w:lastRowFirstColumn="0" w:lastRowLastColumn="0"/>
            </w:pPr>
            <w:r>
              <w:t>$18.2 m</w:t>
            </w:r>
          </w:p>
        </w:tc>
      </w:tr>
    </w:tbl>
    <w:p w14:paraId="44AE76A8" w14:textId="77777777" w:rsidR="00934E33" w:rsidRDefault="00934E33" w:rsidP="00E74785">
      <w:pPr>
        <w:rPr>
          <w:lang w:val="x-none"/>
        </w:rPr>
      </w:pPr>
    </w:p>
    <w:p w14:paraId="740AF1AE" w14:textId="77777777" w:rsidR="00CE7C57" w:rsidRDefault="00CE7C57" w:rsidP="00044540">
      <w:pPr>
        <w:pStyle w:val="Heading1"/>
        <w:sectPr w:rsidR="00CE7C57" w:rsidSect="00D87AD8">
          <w:pgSz w:w="11906" w:h="16838" w:code="9"/>
          <w:pgMar w:top="1021" w:right="1021" w:bottom="1021" w:left="1021" w:header="510" w:footer="567" w:gutter="0"/>
          <w:cols w:space="708"/>
          <w:docGrid w:linePitch="360"/>
        </w:sectPr>
      </w:pPr>
    </w:p>
    <w:p w14:paraId="62E69A91" w14:textId="77777777" w:rsidR="00044540" w:rsidRDefault="00044540" w:rsidP="00044540">
      <w:pPr>
        <w:pStyle w:val="Heading1"/>
      </w:pPr>
      <w:bookmarkStart w:id="43" w:name="_Toc100326803"/>
      <w:r>
        <w:lastRenderedPageBreak/>
        <w:t xml:space="preserve">Chapter 5: </w:t>
      </w:r>
      <w:r w:rsidR="00127D76">
        <w:t>Consultation</w:t>
      </w:r>
      <w:bookmarkEnd w:id="43"/>
    </w:p>
    <w:p w14:paraId="43C49E58" w14:textId="77777777" w:rsidR="000150C0" w:rsidRPr="005F794B" w:rsidRDefault="000150C0" w:rsidP="000150C0">
      <w:pPr>
        <w:pStyle w:val="Heading2"/>
      </w:pPr>
      <w:bookmarkStart w:id="44" w:name="_Toc100326804"/>
      <w:r>
        <w:t>Consultative committees</w:t>
      </w:r>
      <w:bookmarkEnd w:id="44"/>
    </w:p>
    <w:p w14:paraId="68FB5E7F" w14:textId="77777777" w:rsidR="00D30E19" w:rsidRDefault="00D30E19" w:rsidP="00235C4A">
      <w:pPr>
        <w:rPr>
          <w:lang w:val="x-none"/>
        </w:rPr>
      </w:pPr>
      <w:r w:rsidRPr="00D30E19">
        <w:rPr>
          <w:lang w:val="x-none"/>
        </w:rPr>
        <w:t>It has been longstanding practice to consult widely on proposed new or amended vehicle standards.  For many years, there has been active collaboration between the Commonwealth and the state/territory governments, as well as consultation with industry and consumer groups.  Much of the consultation takes place within institutional arrangements established for this purpose.  The analysis and documentation prepared in a particular case, and the bodies consulted, depend on the degree of impact the new or amended standard is expected to have on industry or road users.</w:t>
      </w:r>
    </w:p>
    <w:p w14:paraId="0E6527C0" w14:textId="77777777" w:rsidR="00235C4A" w:rsidRPr="00235C4A" w:rsidRDefault="00235C4A" w:rsidP="00235C4A">
      <w:pPr>
        <w:rPr>
          <w:lang w:val="x-none"/>
        </w:rPr>
      </w:pPr>
      <w:r w:rsidRPr="00235C4A">
        <w:rPr>
          <w:lang w:val="x-none"/>
        </w:rPr>
        <w:t xml:space="preserve">The Department undertakes public consultation on significant proposals. Depending on the nature of the proposed changes, consultation may involve community and industry stakeholders as well as established government committees such as the Technical Liaison Group (TLG), Strategic Vehicle Safety and Environment Group (SVSEG), </w:t>
      </w:r>
      <w:r w:rsidR="00D30E19" w:rsidRPr="00601B0E">
        <w:t xml:space="preserve">the </w:t>
      </w:r>
      <w:r w:rsidR="00D30E19" w:rsidRPr="00411500">
        <w:t xml:space="preserve">Infrastructure and </w:t>
      </w:r>
      <w:r w:rsidR="00D30E19" w:rsidRPr="005D3366">
        <w:t xml:space="preserve">Transport Senior Officials’ Committee (ITSOC) and the </w:t>
      </w:r>
      <w:r w:rsidR="00127D76">
        <w:t xml:space="preserve">Infrastructure and </w:t>
      </w:r>
      <w:r w:rsidR="00D30E19" w:rsidRPr="005D3366">
        <w:t xml:space="preserve">Transport Ministers </w:t>
      </w:r>
      <w:r w:rsidR="00127D76">
        <w:t>M</w:t>
      </w:r>
      <w:r w:rsidR="00127D76" w:rsidRPr="005D3366">
        <w:t xml:space="preserve">eeting </w:t>
      </w:r>
      <w:r w:rsidR="00D30E19" w:rsidRPr="005D3366">
        <w:t>(</w:t>
      </w:r>
      <w:r w:rsidR="00127D76">
        <w:t>ITMM</w:t>
      </w:r>
      <w:r w:rsidR="00D30E19" w:rsidRPr="005D3366">
        <w:t>).</w:t>
      </w:r>
    </w:p>
    <w:p w14:paraId="59B29CA8" w14:textId="77777777" w:rsidR="00235C4A" w:rsidRPr="00D30E19" w:rsidRDefault="00235C4A" w:rsidP="00CB0804">
      <w:pPr>
        <w:pStyle w:val="ListParagraph"/>
        <w:numPr>
          <w:ilvl w:val="0"/>
          <w:numId w:val="10"/>
        </w:numPr>
        <w:rPr>
          <w:rFonts w:asciiTheme="minorHAnsi" w:hAnsiTheme="minorHAnsi"/>
          <w:sz w:val="20"/>
          <w:lang w:val="x-none"/>
        </w:rPr>
      </w:pPr>
      <w:r w:rsidRPr="00D30E19">
        <w:rPr>
          <w:rFonts w:asciiTheme="minorHAnsi" w:hAnsiTheme="minorHAnsi"/>
          <w:sz w:val="20"/>
          <w:lang w:val="x-none"/>
        </w:rPr>
        <w:t>TLG consists of technical representatives of government (Australian and state/territory), the manufacturing and operational arms of the industry (including organisations such as the Federal Chamber of Automotive Industries and the Australian Trucking Association) and of representative organisations of consumers and road users (particularly through the Australian Automobile Association).</w:t>
      </w:r>
    </w:p>
    <w:p w14:paraId="3430C3CE" w14:textId="77777777" w:rsidR="00235C4A" w:rsidRPr="00D30E19" w:rsidRDefault="00235C4A" w:rsidP="00CB0804">
      <w:pPr>
        <w:pStyle w:val="ListParagraph"/>
        <w:numPr>
          <w:ilvl w:val="0"/>
          <w:numId w:val="10"/>
        </w:numPr>
        <w:rPr>
          <w:rFonts w:asciiTheme="minorHAnsi" w:hAnsiTheme="minorHAnsi"/>
          <w:sz w:val="20"/>
          <w:lang w:val="x-none"/>
        </w:rPr>
      </w:pPr>
      <w:r w:rsidRPr="00D30E19">
        <w:rPr>
          <w:rFonts w:asciiTheme="minorHAnsi" w:hAnsiTheme="minorHAnsi"/>
          <w:sz w:val="20"/>
          <w:lang w:val="x-none"/>
        </w:rPr>
        <w:t>SVSEG consists of senior representatives of government (Australian and state/territory), the manufacturing and operational arms of the industry and of representative organisations of consumers and road users (at a higher level within each organisation as represented in TLG).</w:t>
      </w:r>
    </w:p>
    <w:p w14:paraId="4DD48975" w14:textId="77777777" w:rsidR="00235C4A" w:rsidRPr="00D30E19" w:rsidRDefault="00D30E19" w:rsidP="00CB0804">
      <w:pPr>
        <w:pStyle w:val="ListParagraph"/>
        <w:numPr>
          <w:ilvl w:val="0"/>
          <w:numId w:val="10"/>
        </w:numPr>
        <w:rPr>
          <w:rFonts w:asciiTheme="minorHAnsi" w:hAnsiTheme="minorHAnsi"/>
          <w:sz w:val="20"/>
          <w:lang w:val="x-none"/>
        </w:rPr>
      </w:pPr>
      <w:r w:rsidRPr="00D30E19">
        <w:rPr>
          <w:rFonts w:asciiTheme="minorHAnsi" w:hAnsiTheme="minorHAnsi"/>
          <w:sz w:val="20"/>
        </w:rPr>
        <w:t>ITSOC consists of state and territory transport and/or infrastructure Chief Executive Officers (CEOs) (or equivalents), the CEO of the National Transport Commission, New Zealand and the Australian Local Government Association.</w:t>
      </w:r>
    </w:p>
    <w:p w14:paraId="6DAA1C40" w14:textId="77777777" w:rsidR="00494FFB" w:rsidRPr="00ED1084" w:rsidRDefault="00127D76" w:rsidP="00CB0804">
      <w:pPr>
        <w:pStyle w:val="ListParagraph"/>
        <w:numPr>
          <w:ilvl w:val="0"/>
          <w:numId w:val="10"/>
        </w:numPr>
        <w:rPr>
          <w:lang w:val="x-none"/>
        </w:rPr>
      </w:pPr>
      <w:r>
        <w:rPr>
          <w:rFonts w:asciiTheme="minorHAnsi" w:hAnsiTheme="minorHAnsi"/>
          <w:sz w:val="20"/>
          <w:lang w:val="en-US"/>
        </w:rPr>
        <w:t>ITMM</w:t>
      </w:r>
      <w:r w:rsidR="00D30E19" w:rsidRPr="00D30E19">
        <w:rPr>
          <w:rFonts w:asciiTheme="minorHAnsi" w:hAnsiTheme="minorHAnsi"/>
          <w:sz w:val="20"/>
          <w:lang w:val="en-US"/>
        </w:rPr>
        <w:t xml:space="preserve"> </w:t>
      </w:r>
      <w:r w:rsidR="00235C4A" w:rsidRPr="00D30E19">
        <w:rPr>
          <w:rFonts w:asciiTheme="minorHAnsi" w:hAnsiTheme="minorHAnsi"/>
          <w:sz w:val="20"/>
          <w:lang w:val="x-none"/>
        </w:rPr>
        <w:t>consists of the Australian, state/territory and New Zealand Ministers with responsibility for transport and infrastructure issues.</w:t>
      </w:r>
    </w:p>
    <w:p w14:paraId="320ABFC8" w14:textId="77777777" w:rsidR="00494FFB" w:rsidRPr="00415B69" w:rsidRDefault="00494FFB" w:rsidP="00494FFB">
      <w:r w:rsidRPr="00415B69">
        <w:t xml:space="preserve">SVSEG and the TLG are the principal consultative forums for advising on ADR proposals. Membership of the SVSEG is shown at </w:t>
      </w:r>
      <w:r w:rsidRPr="00114B1A">
        <w:t>Appendix</w:t>
      </w:r>
      <w:r w:rsidRPr="00415B69">
        <w:t xml:space="preserve"> </w:t>
      </w:r>
      <w:r w:rsidR="00114B1A">
        <w:t>B</w:t>
      </w:r>
      <w:r w:rsidRPr="00415B69">
        <w:t xml:space="preserve"> - Strategic Vehicle Safety and Environment Group (SVSEG), and membership of the TLG is shown at </w:t>
      </w:r>
      <w:r w:rsidRPr="00114B1A">
        <w:t>Appendix</w:t>
      </w:r>
      <w:r w:rsidRPr="00653F94">
        <w:t xml:space="preserve"> </w:t>
      </w:r>
      <w:r w:rsidR="00114B1A">
        <w:t>C</w:t>
      </w:r>
      <w:r w:rsidRPr="00653F94">
        <w:t xml:space="preserve"> – Technical Liaison Group (TLG).</w:t>
      </w:r>
    </w:p>
    <w:p w14:paraId="616C314C" w14:textId="77777777" w:rsidR="000150C0" w:rsidRPr="005F794B" w:rsidRDefault="000150C0" w:rsidP="000150C0">
      <w:pPr>
        <w:pStyle w:val="Heading2"/>
      </w:pPr>
      <w:bookmarkStart w:id="45" w:name="_Toc100326805"/>
      <w:r>
        <w:t>Public comment</w:t>
      </w:r>
      <w:bookmarkEnd w:id="45"/>
    </w:p>
    <w:p w14:paraId="0EAC220E" w14:textId="77777777" w:rsidR="005F33C1" w:rsidRPr="005F33C1" w:rsidRDefault="005F33C1" w:rsidP="005F33C1">
      <w:pPr>
        <w:rPr>
          <w:lang w:val="x-none"/>
        </w:rPr>
      </w:pPr>
      <w:r w:rsidRPr="005F33C1">
        <w:rPr>
          <w:lang w:val="x-none"/>
        </w:rPr>
        <w:t xml:space="preserve">The publication of an exposure draft of the </w:t>
      </w:r>
      <w:r w:rsidR="00127D76">
        <w:t>proposed ADR</w:t>
      </w:r>
      <w:r w:rsidR="00127D76" w:rsidRPr="005F33C1">
        <w:rPr>
          <w:lang w:val="x-none"/>
        </w:rPr>
        <w:t xml:space="preserve"> </w:t>
      </w:r>
      <w:r w:rsidR="003D1945">
        <w:rPr>
          <w:lang w:val="en-US"/>
        </w:rPr>
        <w:t xml:space="preserve">and Consultation RIS </w:t>
      </w:r>
      <w:r w:rsidRPr="005F33C1">
        <w:rPr>
          <w:lang w:val="x-none"/>
        </w:rPr>
        <w:t>for public comment is an integral part of the consultation process. This provides an opportunity for businesses and road user groups, as well as all other interested parties, to respond to the proposal by writing or otherwise submitting their comments to the Department. Analysing proposals through the RIS process assists in identifying the likely impacts of the proposals and enables informed debate on any issues.</w:t>
      </w:r>
    </w:p>
    <w:p w14:paraId="7CA326B5" w14:textId="1239DB5A" w:rsidR="005F33C1" w:rsidRPr="005F33C1" w:rsidRDefault="005F33C1" w:rsidP="005F33C1">
      <w:pPr>
        <w:rPr>
          <w:lang w:val="x-none"/>
        </w:rPr>
      </w:pPr>
      <w:r w:rsidRPr="005F33C1">
        <w:rPr>
          <w:lang w:val="x-none"/>
        </w:rPr>
        <w:t xml:space="preserve">In line with the </w:t>
      </w:r>
      <w:r w:rsidR="00987900" w:rsidRPr="00987900">
        <w:rPr>
          <w:i/>
          <w:lang w:val="en-US"/>
        </w:rPr>
        <w:t xml:space="preserve">Australian Government Guide to Regulatory Impact </w:t>
      </w:r>
      <w:r w:rsidR="00987900" w:rsidRPr="00FC3B63">
        <w:rPr>
          <w:i/>
          <w:lang w:val="en-US"/>
        </w:rPr>
        <w:t>Analysis</w:t>
      </w:r>
      <w:r w:rsidR="00D209BF" w:rsidRPr="00FC3B63">
        <w:rPr>
          <w:i/>
          <w:lang w:val="en-US"/>
        </w:rPr>
        <w:t xml:space="preserve"> </w:t>
      </w:r>
      <w:r w:rsidR="00FC3B63">
        <w:rPr>
          <w:i/>
          <w:lang w:val="en-US"/>
        </w:rPr>
        <w:t>(</w:t>
      </w:r>
      <w:r w:rsidR="00FC3B63" w:rsidRPr="00FC3B63">
        <w:rPr>
          <w:i/>
          <w:lang w:val="en-US"/>
        </w:rPr>
        <w:t>s</w:t>
      </w:r>
      <w:r w:rsidR="00494FFB" w:rsidRPr="00FC3B63">
        <w:rPr>
          <w:i/>
          <w:lang w:val="en-US"/>
        </w:rPr>
        <w:t>econd edition</w:t>
      </w:r>
      <w:r w:rsidR="00987900" w:rsidRPr="00FC3B63">
        <w:rPr>
          <w:i/>
          <w:lang w:val="en-US"/>
        </w:rPr>
        <w:t xml:space="preserve"> </w:t>
      </w:r>
      <w:r w:rsidR="007A4371" w:rsidRPr="00FC3B63">
        <w:rPr>
          <w:i/>
          <w:lang w:val="en-US"/>
        </w:rPr>
        <w:t>2020)</w:t>
      </w:r>
      <w:r w:rsidR="007A4371">
        <w:rPr>
          <w:lang w:val="en-US"/>
        </w:rPr>
        <w:t xml:space="preserve"> </w:t>
      </w:r>
      <w:r w:rsidRPr="005F33C1">
        <w:rPr>
          <w:lang w:val="x-none"/>
        </w:rPr>
        <w:t xml:space="preserve">it is intended that the </w:t>
      </w:r>
      <w:r w:rsidR="00987900">
        <w:rPr>
          <w:lang w:val="en-US"/>
        </w:rPr>
        <w:t>Consultation</w:t>
      </w:r>
      <w:r w:rsidRPr="005F33C1">
        <w:rPr>
          <w:lang w:val="x-none"/>
        </w:rPr>
        <w:t xml:space="preserve"> RIS be circulated for six weeks public comment. A summary of public comment input and Departmental responses will be included in the </w:t>
      </w:r>
      <w:r w:rsidR="00127D76">
        <w:rPr>
          <w:lang w:val="en-US"/>
        </w:rPr>
        <w:t>Final</w:t>
      </w:r>
      <w:r w:rsidR="00127D76" w:rsidRPr="005F33C1">
        <w:rPr>
          <w:lang w:val="x-none"/>
        </w:rPr>
        <w:t xml:space="preserve"> </w:t>
      </w:r>
      <w:r w:rsidRPr="005F33C1">
        <w:rPr>
          <w:lang w:val="x-none"/>
        </w:rPr>
        <w:t>RIS that is used for decision making by the responsible minister. Public comment will be sought by publishing the RIS on the Department’s website and by providing it to the consulta</w:t>
      </w:r>
      <w:r w:rsidR="00987900">
        <w:rPr>
          <w:lang w:val="x-none"/>
        </w:rPr>
        <w:t>tive committees outlined above.</w:t>
      </w:r>
      <w:r w:rsidR="00987900">
        <w:rPr>
          <w:lang w:val="en-US"/>
        </w:rPr>
        <w:t xml:space="preserve"> </w:t>
      </w:r>
      <w:r w:rsidRPr="005F33C1">
        <w:rPr>
          <w:lang w:val="x-none"/>
        </w:rPr>
        <w:t xml:space="preserve">Comment will be sought </w:t>
      </w:r>
      <w:r w:rsidR="00987900">
        <w:rPr>
          <w:lang w:val="en-US"/>
        </w:rPr>
        <w:t xml:space="preserve">from the public </w:t>
      </w:r>
      <w:r w:rsidRPr="005F33C1">
        <w:rPr>
          <w:lang w:val="x-none"/>
        </w:rPr>
        <w:t>on the following:</w:t>
      </w:r>
    </w:p>
    <w:p w14:paraId="1A10F3BA" w14:textId="77777777" w:rsidR="005215D4" w:rsidRPr="005215D4" w:rsidRDefault="005F33C1" w:rsidP="00CB0804">
      <w:pPr>
        <w:pStyle w:val="ListParagraph"/>
        <w:numPr>
          <w:ilvl w:val="0"/>
          <w:numId w:val="9"/>
        </w:numPr>
        <w:rPr>
          <w:rFonts w:asciiTheme="minorHAnsi" w:hAnsiTheme="minorHAnsi"/>
          <w:sz w:val="20"/>
          <w:lang w:val="x-none"/>
        </w:rPr>
      </w:pPr>
      <w:r w:rsidRPr="005215D4">
        <w:rPr>
          <w:rFonts w:asciiTheme="minorHAnsi" w:hAnsiTheme="minorHAnsi"/>
          <w:sz w:val="20"/>
          <w:lang w:val="x-none"/>
        </w:rPr>
        <w:t>Support for the recommended option.</w:t>
      </w:r>
    </w:p>
    <w:p w14:paraId="1762F7B8" w14:textId="77777777" w:rsidR="005215D4" w:rsidRPr="005215D4" w:rsidRDefault="005F33C1" w:rsidP="00CB0804">
      <w:pPr>
        <w:pStyle w:val="ListParagraph"/>
        <w:numPr>
          <w:ilvl w:val="0"/>
          <w:numId w:val="9"/>
        </w:numPr>
        <w:rPr>
          <w:rFonts w:asciiTheme="minorHAnsi" w:hAnsiTheme="minorHAnsi"/>
          <w:sz w:val="20"/>
          <w:lang w:val="x-none"/>
        </w:rPr>
      </w:pPr>
      <w:r w:rsidRPr="005215D4">
        <w:rPr>
          <w:rFonts w:asciiTheme="minorHAnsi" w:hAnsiTheme="minorHAnsi"/>
          <w:sz w:val="20"/>
          <w:lang w:val="x-none"/>
        </w:rPr>
        <w:t>Views on the benefit-cost analysis, including the use of crash data</w:t>
      </w:r>
      <w:r w:rsidR="009A2F3E">
        <w:rPr>
          <w:rFonts w:asciiTheme="minorHAnsi" w:hAnsiTheme="minorHAnsi"/>
          <w:sz w:val="20"/>
          <w:lang w:val="en-US"/>
        </w:rPr>
        <w:t>, research</w:t>
      </w:r>
      <w:r w:rsidRPr="005215D4">
        <w:rPr>
          <w:rFonts w:asciiTheme="minorHAnsi" w:hAnsiTheme="minorHAnsi"/>
          <w:sz w:val="20"/>
          <w:lang w:val="x-none"/>
        </w:rPr>
        <w:t xml:space="preserve"> or assumptions on effectiveness of the technology, the costs, or the assumed benefits.</w:t>
      </w:r>
    </w:p>
    <w:p w14:paraId="4AC61CD1" w14:textId="77777777" w:rsidR="005215D4" w:rsidRPr="005215D4" w:rsidRDefault="005F33C1" w:rsidP="00CB0804">
      <w:pPr>
        <w:pStyle w:val="ListParagraph"/>
        <w:numPr>
          <w:ilvl w:val="0"/>
          <w:numId w:val="9"/>
        </w:numPr>
        <w:rPr>
          <w:rFonts w:asciiTheme="minorHAnsi" w:hAnsiTheme="minorHAnsi"/>
          <w:sz w:val="20"/>
          <w:lang w:val="x-none"/>
        </w:rPr>
      </w:pPr>
      <w:r w:rsidRPr="005215D4">
        <w:rPr>
          <w:rFonts w:asciiTheme="minorHAnsi" w:hAnsiTheme="minorHAnsi"/>
          <w:sz w:val="20"/>
          <w:lang w:val="x-none"/>
        </w:rPr>
        <w:lastRenderedPageBreak/>
        <w:t>The suitability of UN R13</w:t>
      </w:r>
      <w:r w:rsidR="006F274C">
        <w:rPr>
          <w:rFonts w:asciiTheme="minorHAnsi" w:hAnsiTheme="minorHAnsi"/>
          <w:sz w:val="20"/>
          <w:lang w:val="en-US"/>
        </w:rPr>
        <w:t>0</w:t>
      </w:r>
      <w:r w:rsidRPr="005215D4">
        <w:rPr>
          <w:rFonts w:asciiTheme="minorHAnsi" w:hAnsiTheme="minorHAnsi"/>
          <w:sz w:val="20"/>
          <w:lang w:val="x-none"/>
        </w:rPr>
        <w:t xml:space="preserve"> for adoption under the ADRs, including any concerns on functional and/or performance requirements, test requirements or implementation, such as the applicable vehicle categories and timing.</w:t>
      </w:r>
    </w:p>
    <w:p w14:paraId="2D4C6900" w14:textId="77777777" w:rsidR="005F33C1" w:rsidRDefault="005F33C1" w:rsidP="00CB0804">
      <w:pPr>
        <w:pStyle w:val="ListParagraph"/>
        <w:numPr>
          <w:ilvl w:val="0"/>
          <w:numId w:val="9"/>
        </w:numPr>
        <w:rPr>
          <w:rFonts w:asciiTheme="minorHAnsi" w:hAnsiTheme="minorHAnsi"/>
          <w:sz w:val="20"/>
          <w:lang w:val="x-none"/>
        </w:rPr>
      </w:pPr>
      <w:r w:rsidRPr="005215D4">
        <w:rPr>
          <w:rFonts w:asciiTheme="minorHAnsi" w:hAnsiTheme="minorHAnsi"/>
          <w:sz w:val="20"/>
          <w:lang w:val="x-none"/>
        </w:rPr>
        <w:t>Any other relevant views or information which could assist decision making.</w:t>
      </w:r>
    </w:p>
    <w:p w14:paraId="6764EE21" w14:textId="77777777" w:rsidR="00987900" w:rsidRPr="00FC47BD" w:rsidRDefault="00987900" w:rsidP="00987900">
      <w:pPr>
        <w:rPr>
          <w:lang w:val="en-US"/>
        </w:rPr>
      </w:pPr>
      <w:r w:rsidRPr="005F33C1">
        <w:rPr>
          <w:lang w:val="x-none"/>
        </w:rPr>
        <w:t>As Australia is a party to the World Trade Organisation (WTO) Agreement, and harmonisation of requirements with international regulations is a means of compliance with its obligations, a notification will be lodged with the WTO for the required period, to allow fo</w:t>
      </w:r>
      <w:r>
        <w:rPr>
          <w:lang w:val="x-none"/>
        </w:rPr>
        <w:t>r comment by other WTO members</w:t>
      </w:r>
      <w:r w:rsidR="00494FFB">
        <w:rPr>
          <w:lang w:val="en-US"/>
        </w:rPr>
        <w:t>.</w:t>
      </w:r>
    </w:p>
    <w:p w14:paraId="26104C9E" w14:textId="77777777" w:rsidR="00CE7C57" w:rsidRDefault="00CE7C57" w:rsidP="00044540">
      <w:pPr>
        <w:pStyle w:val="Heading1"/>
        <w:sectPr w:rsidR="00CE7C57" w:rsidSect="00D87AD8">
          <w:pgSz w:w="11906" w:h="16838" w:code="9"/>
          <w:pgMar w:top="1021" w:right="1021" w:bottom="1021" w:left="1021" w:header="510" w:footer="567" w:gutter="0"/>
          <w:cols w:space="708"/>
          <w:docGrid w:linePitch="360"/>
        </w:sectPr>
      </w:pPr>
    </w:p>
    <w:p w14:paraId="5A582110" w14:textId="77777777" w:rsidR="00044540" w:rsidRDefault="00044540" w:rsidP="00044540">
      <w:pPr>
        <w:pStyle w:val="Heading1"/>
      </w:pPr>
      <w:bookmarkStart w:id="46" w:name="_Toc100326806"/>
      <w:r>
        <w:lastRenderedPageBreak/>
        <w:t>Chapter 6: What is the best option?</w:t>
      </w:r>
      <w:bookmarkEnd w:id="46"/>
    </w:p>
    <w:p w14:paraId="01F95096" w14:textId="77777777" w:rsidR="009A2F3E" w:rsidRDefault="009A2F3E" w:rsidP="009A2F3E">
      <w:r w:rsidRPr="009A2F3E">
        <w:t xml:space="preserve">The following options were identified earlier in this </w:t>
      </w:r>
      <w:r w:rsidR="00035E18">
        <w:t xml:space="preserve">Consultation </w:t>
      </w:r>
      <w:r w:rsidRPr="009A2F3E">
        <w:t>RIS as being viable for analysis:</w:t>
      </w:r>
    </w:p>
    <w:p w14:paraId="549541F0" w14:textId="77777777" w:rsidR="009A2F3E" w:rsidRPr="00C96A81" w:rsidRDefault="009A2F3E" w:rsidP="00CB0804">
      <w:pPr>
        <w:pStyle w:val="ListParagraph"/>
        <w:numPr>
          <w:ilvl w:val="0"/>
          <w:numId w:val="13"/>
        </w:numPr>
        <w:rPr>
          <w:rFonts w:asciiTheme="minorHAnsi" w:hAnsiTheme="minorHAnsi" w:cstheme="minorHAnsi"/>
          <w:sz w:val="20"/>
        </w:rPr>
      </w:pPr>
      <w:r w:rsidRPr="00C96A81">
        <w:rPr>
          <w:rFonts w:asciiTheme="minorHAnsi" w:hAnsiTheme="minorHAnsi" w:cstheme="minorHAnsi"/>
          <w:sz w:val="20"/>
        </w:rPr>
        <w:t>Option 1: no intervention;</w:t>
      </w:r>
    </w:p>
    <w:p w14:paraId="7D0F7DE9" w14:textId="77777777" w:rsidR="009A2F3E" w:rsidRPr="00C96A81" w:rsidRDefault="009A2F3E" w:rsidP="00CB0804">
      <w:pPr>
        <w:pStyle w:val="ListParagraph"/>
        <w:numPr>
          <w:ilvl w:val="0"/>
          <w:numId w:val="13"/>
        </w:numPr>
        <w:rPr>
          <w:rFonts w:asciiTheme="minorHAnsi" w:hAnsiTheme="minorHAnsi" w:cstheme="minorHAnsi"/>
          <w:sz w:val="20"/>
        </w:rPr>
      </w:pPr>
      <w:r w:rsidRPr="00C96A81">
        <w:rPr>
          <w:rFonts w:asciiTheme="minorHAnsi" w:hAnsiTheme="minorHAnsi" w:cstheme="minorHAnsi"/>
          <w:sz w:val="20"/>
        </w:rPr>
        <w:t xml:space="preserve">Option </w:t>
      </w:r>
      <w:r w:rsidR="00E32027">
        <w:rPr>
          <w:rFonts w:asciiTheme="minorHAnsi" w:hAnsiTheme="minorHAnsi" w:cstheme="minorHAnsi"/>
          <w:sz w:val="20"/>
        </w:rPr>
        <w:t>2</w:t>
      </w:r>
      <w:r w:rsidRPr="00C96A81">
        <w:rPr>
          <w:rFonts w:asciiTheme="minorHAnsi" w:hAnsiTheme="minorHAnsi" w:cstheme="minorHAnsi"/>
          <w:sz w:val="20"/>
        </w:rPr>
        <w:t>: mandatory standards under the RVSA (regulation).</w:t>
      </w:r>
    </w:p>
    <w:p w14:paraId="565E4FCD" w14:textId="77777777" w:rsidR="008A23AD" w:rsidRPr="005F794B" w:rsidRDefault="008A23AD" w:rsidP="008A23AD">
      <w:pPr>
        <w:pStyle w:val="Heading2"/>
      </w:pPr>
      <w:bookmarkStart w:id="47" w:name="_Toc100326807"/>
      <w:r>
        <w:t>Net benefits</w:t>
      </w:r>
      <w:bookmarkEnd w:id="47"/>
    </w:p>
    <w:p w14:paraId="7B28448F" w14:textId="3FA2A257" w:rsidR="009A2F3E" w:rsidRDefault="009A2F3E" w:rsidP="008A23AD">
      <w:r w:rsidRPr="009A2F3E">
        <w:t xml:space="preserve">Net benefit (total benefits minus total costs in present value terms) provides the best measure of the economic effectiveness of the options. Accordingly, </w:t>
      </w:r>
      <w:r w:rsidRPr="00894AB1">
        <w:t>the</w:t>
      </w:r>
      <w:r w:rsidR="00894AB1" w:rsidRPr="00894AB1">
        <w:rPr>
          <w:i/>
          <w:lang w:val="x-none"/>
        </w:rPr>
        <w:t xml:space="preserve"> </w:t>
      </w:r>
      <w:r w:rsidR="00894AB1" w:rsidRPr="004A057F">
        <w:rPr>
          <w:i/>
          <w:lang w:val="x-none"/>
        </w:rPr>
        <w:t>Australian Government Guide to Regulatory Impact Analysis</w:t>
      </w:r>
      <w:r w:rsidR="00FE00E4">
        <w:rPr>
          <w:i/>
          <w:lang w:val="en-US"/>
        </w:rPr>
        <w:t xml:space="preserve"> (second edition 2020)</w:t>
      </w:r>
      <w:r w:rsidR="00894AB1" w:rsidRPr="00564EAE">
        <w:rPr>
          <w:lang w:val="x-none"/>
        </w:rPr>
        <w:t xml:space="preserve"> </w:t>
      </w:r>
      <w:r w:rsidRPr="009A2F3E">
        <w:t xml:space="preserve">states that the policy option offering the greatest net benefit should always be the recommended option. </w:t>
      </w:r>
    </w:p>
    <w:p w14:paraId="52DB2107" w14:textId="75E154CC" w:rsidR="00894AB1" w:rsidRPr="00894AB1" w:rsidRDefault="00C12912" w:rsidP="00894AB1">
      <w:pPr>
        <w:rPr>
          <w:lang w:val="x-none"/>
        </w:rPr>
      </w:pPr>
      <w:r>
        <w:t>Option 2</w:t>
      </w:r>
      <w:r w:rsidR="009A2F3E" w:rsidRPr="009A2F3E">
        <w:t>: regulation provides the highest likely net benefit of the options examined at $</w:t>
      </w:r>
      <w:r w:rsidR="00894AB1">
        <w:t>17.3</w:t>
      </w:r>
      <w:r w:rsidR="009A2F3E" w:rsidRPr="009A2F3E">
        <w:t xml:space="preserve"> million and a likely to best BCR range o</w:t>
      </w:r>
      <w:r w:rsidR="009A2F3E" w:rsidRPr="00894AB1">
        <w:t>f 1.</w:t>
      </w:r>
      <w:r w:rsidR="00894AB1" w:rsidRPr="00894AB1">
        <w:t>1</w:t>
      </w:r>
      <w:r w:rsidR="009A2F3E" w:rsidRPr="00894AB1">
        <w:t>-1.</w:t>
      </w:r>
      <w:r w:rsidR="00894AB1" w:rsidRPr="00894AB1">
        <w:t>4</w:t>
      </w:r>
      <w:r w:rsidR="009A2F3E" w:rsidRPr="00894AB1">
        <w:t xml:space="preserve">. </w:t>
      </w:r>
      <w:r w:rsidR="00894AB1" w:rsidRPr="00894AB1">
        <w:rPr>
          <w:lang w:val="en-US"/>
        </w:rPr>
        <w:t xml:space="preserve">For </w:t>
      </w:r>
      <w:r>
        <w:rPr>
          <w:lang w:val="en-US"/>
        </w:rPr>
        <w:t>Option 2</w:t>
      </w:r>
      <w:r w:rsidR="00894AB1" w:rsidRPr="00894AB1">
        <w:rPr>
          <w:lang w:val="en-US"/>
        </w:rPr>
        <w:t xml:space="preserve"> the benefit-cost analysis assumes a </w:t>
      </w:r>
      <w:r w:rsidR="00894AB1" w:rsidRPr="00894AB1">
        <w:rPr>
          <w:lang w:val="x-none"/>
        </w:rPr>
        <w:t xml:space="preserve">reasonably accurate and generous start date (2024), </w:t>
      </w:r>
      <w:r w:rsidR="00894AB1" w:rsidRPr="00894AB1">
        <w:rPr>
          <w:lang w:val="en-US"/>
        </w:rPr>
        <w:t>followed by</w:t>
      </w:r>
      <w:r w:rsidR="00894AB1" w:rsidRPr="00894AB1">
        <w:rPr>
          <w:lang w:val="x-none"/>
        </w:rPr>
        <w:t xml:space="preserve"> 15 years of regulation (after which it is assumed the </w:t>
      </w:r>
      <w:r w:rsidR="008742A6">
        <w:rPr>
          <w:lang w:val="en-GB"/>
        </w:rPr>
        <w:t>ADR</w:t>
      </w:r>
      <w:r w:rsidR="00894AB1" w:rsidRPr="00894AB1">
        <w:rPr>
          <w:lang w:val="x-none"/>
        </w:rPr>
        <w:t xml:space="preserve"> would be reviewed). The analysis includes </w:t>
      </w:r>
      <w:r w:rsidR="00894AB1" w:rsidRPr="00894AB1">
        <w:rPr>
          <w:lang w:val="en-US"/>
        </w:rPr>
        <w:t xml:space="preserve">another </w:t>
      </w:r>
      <w:r w:rsidR="00894AB1" w:rsidRPr="00894AB1">
        <w:rPr>
          <w:lang w:val="x-none"/>
        </w:rPr>
        <w:t>20 years past</w:t>
      </w:r>
      <w:r w:rsidR="00894AB1" w:rsidRPr="00894AB1">
        <w:rPr>
          <w:lang w:val="en-US"/>
        </w:rPr>
        <w:t xml:space="preserve"> the period of regulation</w:t>
      </w:r>
      <w:r w:rsidR="00894AB1" w:rsidRPr="00894AB1">
        <w:rPr>
          <w:lang w:val="x-none"/>
        </w:rPr>
        <w:t xml:space="preserve"> to capture the benefits from the 20 years of the crash profile of the last lot of</w:t>
      </w:r>
      <w:r w:rsidR="00894AB1" w:rsidRPr="00894AB1">
        <w:rPr>
          <w:lang w:val="en-US"/>
        </w:rPr>
        <w:t xml:space="preserve"> heavy</w:t>
      </w:r>
      <w:r w:rsidR="00894AB1" w:rsidRPr="00894AB1">
        <w:rPr>
          <w:lang w:val="x-none"/>
        </w:rPr>
        <w:t xml:space="preserve"> vehicles to be fitted with </w:t>
      </w:r>
      <w:r w:rsidR="00894AB1" w:rsidRPr="00894AB1">
        <w:rPr>
          <w:lang w:val="en-US"/>
        </w:rPr>
        <w:t>LDWS</w:t>
      </w:r>
      <w:r w:rsidR="00894AB1" w:rsidRPr="00894AB1">
        <w:rPr>
          <w:lang w:val="x-none"/>
        </w:rPr>
        <w:t xml:space="preserve"> when the regulation stops.</w:t>
      </w:r>
    </w:p>
    <w:p w14:paraId="3B8EE5C8" w14:textId="77777777" w:rsidR="008A23AD" w:rsidRPr="00894AB1" w:rsidRDefault="009A2F3E" w:rsidP="008A23AD">
      <w:pPr>
        <w:rPr>
          <w:lang w:val="en-US"/>
        </w:rPr>
      </w:pPr>
      <w:r w:rsidRPr="00894AB1">
        <w:t>The benefit would be spread over a 15</w:t>
      </w:r>
      <w:r w:rsidR="00FE00E4">
        <w:t>-</w:t>
      </w:r>
      <w:r w:rsidRPr="00894AB1">
        <w:t>year period of regulation f</w:t>
      </w:r>
      <w:r w:rsidR="00894AB1">
        <w:t>ollowed by a period of around 20</w:t>
      </w:r>
      <w:r w:rsidRPr="00894AB1">
        <w:t xml:space="preserve"> years over which the</w:t>
      </w:r>
      <w:r w:rsidRPr="009A2F3E">
        <w:t xml:space="preserve"> overall percentage of heavy vehicles fitted with these </w:t>
      </w:r>
      <w:r>
        <w:t>LDWS</w:t>
      </w:r>
      <w:r w:rsidRPr="009A2F3E">
        <w:t xml:space="preserve"> in the fleet continues to rise as older vehicles without </w:t>
      </w:r>
      <w:r>
        <w:t>LDWS</w:t>
      </w:r>
      <w:r w:rsidRPr="009A2F3E">
        <w:t xml:space="preserve"> are deregistered at</w:t>
      </w:r>
      <w:r>
        <w:t xml:space="preserve"> the end of their service life.</w:t>
      </w:r>
      <w:r w:rsidR="00894AB1">
        <w:t xml:space="preserve"> </w:t>
      </w:r>
      <w:r w:rsidR="00894AB1" w:rsidRPr="00894AB1">
        <w:rPr>
          <w:lang w:val="x-none"/>
        </w:rPr>
        <w:t xml:space="preserve">The results of the benefit-cost analysis </w:t>
      </w:r>
      <w:r w:rsidR="00894AB1">
        <w:rPr>
          <w:lang w:val="en-US"/>
        </w:rPr>
        <w:t xml:space="preserve">are plotted over </w:t>
      </w:r>
      <w:r w:rsidR="00894AB1" w:rsidRPr="00894AB1">
        <w:rPr>
          <w:lang w:val="x-none"/>
        </w:rPr>
        <w:t>a 37 year period</w:t>
      </w:r>
      <w:r w:rsidR="00894AB1">
        <w:rPr>
          <w:lang w:val="en-US"/>
        </w:rPr>
        <w:t>.</w:t>
      </w:r>
    </w:p>
    <w:p w14:paraId="7411F422" w14:textId="77777777" w:rsidR="008A23AD" w:rsidRPr="005F794B" w:rsidRDefault="008A23AD" w:rsidP="008A23AD">
      <w:pPr>
        <w:pStyle w:val="Heading2"/>
      </w:pPr>
      <w:bookmarkStart w:id="48" w:name="_Toc100326808"/>
      <w:r>
        <w:t>Casualty reductions</w:t>
      </w:r>
      <w:bookmarkEnd w:id="48"/>
    </w:p>
    <w:p w14:paraId="6FCFAB51" w14:textId="2114C42E" w:rsidR="008A23AD" w:rsidRPr="00044540" w:rsidRDefault="009A2F3E" w:rsidP="008A23AD">
      <w:r w:rsidRPr="009A2F3E">
        <w:t xml:space="preserve">Of </w:t>
      </w:r>
      <w:r>
        <w:t xml:space="preserve">the regulatory options, Option </w:t>
      </w:r>
      <w:r w:rsidR="00033532">
        <w:t>2</w:t>
      </w:r>
      <w:r w:rsidRPr="009A2F3E">
        <w:t xml:space="preserve"> provides the greatest reduction in roa</w:t>
      </w:r>
      <w:r>
        <w:t xml:space="preserve">d crash casualties, </w:t>
      </w:r>
      <w:r w:rsidR="00BB5083">
        <w:t xml:space="preserve">with </w:t>
      </w:r>
      <w:r w:rsidR="00784CC4">
        <w:t>63</w:t>
      </w:r>
      <w:r w:rsidRPr="009A2F3E">
        <w:t xml:space="preserve"> lives saved and </w:t>
      </w:r>
      <w:r w:rsidR="00784CC4" w:rsidRPr="00784CC4">
        <w:t>1,732</w:t>
      </w:r>
      <w:r w:rsidRPr="00784CC4">
        <w:t xml:space="preserve"> seri</w:t>
      </w:r>
      <w:r w:rsidR="00784CC4" w:rsidRPr="00784CC4">
        <w:t>ous and 5,389</w:t>
      </w:r>
      <w:r w:rsidRPr="00784CC4">
        <w:t xml:space="preserve"> minor injuries avoided. </w:t>
      </w:r>
    </w:p>
    <w:p w14:paraId="0CEC4315" w14:textId="77777777" w:rsidR="008A23AD" w:rsidRPr="005F794B" w:rsidRDefault="008A23AD" w:rsidP="008A23AD">
      <w:pPr>
        <w:pStyle w:val="Heading2"/>
      </w:pPr>
      <w:bookmarkStart w:id="49" w:name="_Toc100326809"/>
      <w:r>
        <w:t>Recommendation</w:t>
      </w:r>
      <w:bookmarkEnd w:id="49"/>
    </w:p>
    <w:p w14:paraId="5ED62B75" w14:textId="7A3D074D" w:rsidR="008A23AD" w:rsidRDefault="00523E9E" w:rsidP="008A23AD">
      <w:r w:rsidRPr="00523E9E">
        <w:t xml:space="preserve">This </w:t>
      </w:r>
      <w:r>
        <w:t xml:space="preserve">Consultation </w:t>
      </w:r>
      <w:r w:rsidRPr="00523E9E">
        <w:t xml:space="preserve">RIS identified the road safety problem in Australia of crashes involving heavy </w:t>
      </w:r>
      <w:r w:rsidR="0077398A">
        <w:t>vehicles drifting out of their lane</w:t>
      </w:r>
      <w:r w:rsidR="0086539A">
        <w:t xml:space="preserve"> and</w:t>
      </w:r>
      <w:r w:rsidR="0077398A">
        <w:t xml:space="preserve"> </w:t>
      </w:r>
      <w:r w:rsidRPr="00523E9E">
        <w:t xml:space="preserve">that </w:t>
      </w:r>
      <w:r w:rsidR="0086539A">
        <w:t xml:space="preserve">the problem </w:t>
      </w:r>
      <w:r w:rsidRPr="00523E9E">
        <w:t xml:space="preserve">can be substantially alleviated via fitment of </w:t>
      </w:r>
      <w:r>
        <w:t>LDWS</w:t>
      </w:r>
      <w:r w:rsidRPr="00523E9E">
        <w:t>. Although market uptake</w:t>
      </w:r>
      <w:r w:rsidR="002E034E">
        <w:t xml:space="preserve"> for all new heavy duty prime movers </w:t>
      </w:r>
      <w:r w:rsidR="0086539A">
        <w:t>is</w:t>
      </w:r>
      <w:r w:rsidR="0049404F">
        <w:t xml:space="preserve"> around 51.7</w:t>
      </w:r>
      <w:r w:rsidR="0077398A">
        <w:t xml:space="preserve"> per cent and</w:t>
      </w:r>
      <w:r w:rsidRPr="00523E9E">
        <w:t xml:space="preserve"> </w:t>
      </w:r>
      <w:r w:rsidR="0049404F">
        <w:t>increasing very slowly</w:t>
      </w:r>
      <w:r w:rsidR="0086539A">
        <w:t>.</w:t>
      </w:r>
      <w:r w:rsidRPr="00523E9E">
        <w:t xml:space="preserve"> </w:t>
      </w:r>
      <w:r w:rsidR="0086539A">
        <w:t>T</w:t>
      </w:r>
      <w:r w:rsidRPr="00523E9E">
        <w:t>he current overall fitment across the fleet is</w:t>
      </w:r>
      <w:r>
        <w:t xml:space="preserve"> relatively low with around </w:t>
      </w:r>
      <w:r w:rsidR="002E034E">
        <w:t>36</w:t>
      </w:r>
      <w:r w:rsidRPr="00523E9E">
        <w:t xml:space="preserve"> per cent of</w:t>
      </w:r>
      <w:r w:rsidR="002E034E">
        <w:t xml:space="preserve"> all</w:t>
      </w:r>
      <w:r w:rsidRPr="00523E9E">
        <w:t xml:space="preserve"> new heavy vehicles</w:t>
      </w:r>
      <w:r w:rsidR="002E034E">
        <w:t xml:space="preserve"> (NB1, NB2, NC prime and NC rigid)</w:t>
      </w:r>
      <w:r w:rsidRPr="00523E9E">
        <w:t xml:space="preserve"> fitted with </w:t>
      </w:r>
      <w:r>
        <w:t>LDWS</w:t>
      </w:r>
      <w:r w:rsidRPr="00523E9E">
        <w:t xml:space="preserve">. The current low fitment rate and the number and severity of </w:t>
      </w:r>
      <w:r>
        <w:t>heavy vehicle lane departure related</w:t>
      </w:r>
      <w:r w:rsidRPr="00523E9E">
        <w:t xml:space="preserve"> crashes indicates a need for intervention</w:t>
      </w:r>
      <w:r w:rsidR="000F0B93">
        <w:t>.</w:t>
      </w:r>
    </w:p>
    <w:p w14:paraId="594E157F" w14:textId="1A5B1135" w:rsidR="000F0B93" w:rsidRDefault="000F0B93" w:rsidP="008A23AD">
      <w:r w:rsidRPr="000F0B93">
        <w:t xml:space="preserve">There is a strong case for </w:t>
      </w:r>
      <w:r w:rsidR="0086539A">
        <w:t>Australian G</w:t>
      </w:r>
      <w:r w:rsidRPr="000F0B93">
        <w:t xml:space="preserve">overnment intervention to increase the fitment of </w:t>
      </w:r>
      <w:r>
        <w:t>LDWS</w:t>
      </w:r>
      <w:r w:rsidRPr="000F0B93">
        <w:t xml:space="preserve"> to heavy vehicles via regulation. Analysis shows that such an intervention will provide</w:t>
      </w:r>
      <w:r>
        <w:t xml:space="preserve"> </w:t>
      </w:r>
      <w:r w:rsidRPr="000F0B93">
        <w:t>significant reductions in road trauma while achieving the maximum net benefit for the community.</w:t>
      </w:r>
    </w:p>
    <w:p w14:paraId="239B9BDB" w14:textId="18E29312" w:rsidR="000F0B93" w:rsidRDefault="00C12912" w:rsidP="008A23AD">
      <w:r>
        <w:t>Option 2</w:t>
      </w:r>
      <w:r w:rsidR="000F0B93">
        <w:t xml:space="preserve"> (regulation</w:t>
      </w:r>
      <w:r w:rsidR="000F0B93" w:rsidRPr="000F0B93">
        <w:t>) provides the greatest reduction in roa</w:t>
      </w:r>
      <w:r w:rsidR="000F0B93">
        <w:t xml:space="preserve">d crash casualties, </w:t>
      </w:r>
      <w:r w:rsidR="0086539A">
        <w:t xml:space="preserve">with </w:t>
      </w:r>
      <w:r w:rsidR="0077398A">
        <w:t>63</w:t>
      </w:r>
      <w:r w:rsidR="0077398A" w:rsidRPr="009A2F3E">
        <w:t xml:space="preserve"> lives saved and </w:t>
      </w:r>
      <w:r w:rsidR="0077398A" w:rsidRPr="00784CC4">
        <w:t>1,732 serious and 5,389 minor injuries avoided</w:t>
      </w:r>
      <w:r w:rsidR="000F0B93" w:rsidRPr="000F0B93">
        <w:t>. It would</w:t>
      </w:r>
      <w:r w:rsidR="0086539A">
        <w:t xml:space="preserve"> also</w:t>
      </w:r>
      <w:r w:rsidR="000F0B93" w:rsidRPr="000F0B93">
        <w:t xml:space="preserve"> adopt the re</w:t>
      </w:r>
      <w:r w:rsidR="000F0B93">
        <w:t>quirements UN Regulation No. 130</w:t>
      </w:r>
      <w:r w:rsidR="000F0B93" w:rsidRPr="000F0B93">
        <w:t xml:space="preserve">, harmonising Australian requirements with internationally agreed standards. Harmonisation minimises costs associated with </w:t>
      </w:r>
      <w:r w:rsidR="000F0B93">
        <w:t>LDW</w:t>
      </w:r>
      <w:r w:rsidR="0086539A">
        <w:t>S</w:t>
      </w:r>
      <w:r w:rsidR="000F0B93" w:rsidRPr="000F0B93">
        <w:t xml:space="preserve"> development, </w:t>
      </w:r>
      <w:r w:rsidR="0086539A">
        <w:t xml:space="preserve">and </w:t>
      </w:r>
      <w:r w:rsidR="000F0B93" w:rsidRPr="000F0B93">
        <w:t>provides manufacturers</w:t>
      </w:r>
      <w:r w:rsidR="0086539A">
        <w:t xml:space="preserve"> with</w:t>
      </w:r>
      <w:r w:rsidR="000F0B93" w:rsidRPr="000F0B93">
        <w:t xml:space="preserve"> the flexibility to incorporate or adapt systems that have already been developed and tested in the </w:t>
      </w:r>
      <w:r w:rsidR="0086539A">
        <w:t>markets</w:t>
      </w:r>
      <w:r w:rsidR="0086539A" w:rsidRPr="000F0B93">
        <w:t xml:space="preserve"> </w:t>
      </w:r>
      <w:r w:rsidR="000F0B93" w:rsidRPr="000F0B93">
        <w:t>that the vehicle was originally designed</w:t>
      </w:r>
      <w:r w:rsidR="0086539A">
        <w:t xml:space="preserve"> for</w:t>
      </w:r>
      <w:r w:rsidR="000F0B93" w:rsidRPr="000F0B93">
        <w:t>. This should enable some leveraging of testing and certification frameworks already conducted in other markets</w:t>
      </w:r>
      <w:r w:rsidR="000F0B93">
        <w:t>.</w:t>
      </w:r>
    </w:p>
    <w:p w14:paraId="23B6D78F" w14:textId="77777777" w:rsidR="000F0B93" w:rsidRDefault="000F0B93" w:rsidP="008A23AD">
      <w:r w:rsidRPr="000F0B93">
        <w:t xml:space="preserve">Manufacturers and operators are likely to be impacted via additional </w:t>
      </w:r>
      <w:r>
        <w:t>LDWS</w:t>
      </w:r>
      <w:r w:rsidRPr="000F0B93">
        <w:t xml:space="preserve"> fitment costs for new heavy vehicles. However</w:t>
      </w:r>
      <w:r w:rsidR="00FE00E4">
        <w:t>,</w:t>
      </w:r>
      <w:r w:rsidRPr="000F0B93">
        <w:t xml:space="preserve"> such businesses also receive substantial benefits. Heavy vehicle crashes are relatively expensive on average, due to the size and mass of these vehicles. Crash alleviation will play an important role in contributing to Australia’s freight productivity and the success of the heavy vehicle industry.</w:t>
      </w:r>
    </w:p>
    <w:p w14:paraId="387848DD" w14:textId="0D3C71F2" w:rsidR="000F0B93" w:rsidRDefault="00C12912" w:rsidP="008A23AD">
      <w:r>
        <w:lastRenderedPageBreak/>
        <w:t>Option 2</w:t>
      </w:r>
      <w:r w:rsidR="000F0B93" w:rsidRPr="000F0B93">
        <w:t xml:space="preserve"> offers the important advantage of being able to guarantee 100 per cent fitment of </w:t>
      </w:r>
      <w:r w:rsidR="00B7037C">
        <w:t>LDWS</w:t>
      </w:r>
      <w:r w:rsidR="000F0B93" w:rsidRPr="000F0B93">
        <w:t xml:space="preserve"> to applicable vehicles. There would be no guarantee </w:t>
      </w:r>
      <w:r w:rsidR="0086539A">
        <w:t>in</w:t>
      </w:r>
      <w:r w:rsidR="0086539A" w:rsidRPr="000F0B93">
        <w:t xml:space="preserve"> </w:t>
      </w:r>
      <w:r w:rsidR="00033532">
        <w:t>the BAU case</w:t>
      </w:r>
      <w:r w:rsidR="000F0B93" w:rsidRPr="000F0B93">
        <w:t xml:space="preserve">, </w:t>
      </w:r>
      <w:r w:rsidR="00033532">
        <w:t>Option 1</w:t>
      </w:r>
      <w:r w:rsidR="000F0B93" w:rsidRPr="000F0B93">
        <w:t xml:space="preserve"> that the predicted take-up of </w:t>
      </w:r>
      <w:r w:rsidR="00B7037C">
        <w:t>LDWS</w:t>
      </w:r>
      <w:r w:rsidR="000F0B93" w:rsidRPr="000F0B93">
        <w:t xml:space="preserve"> would be reached and then maintained. </w:t>
      </w:r>
      <w:r w:rsidR="000F0B93" w:rsidRPr="002E034E">
        <w:t>Given there is currently a low uptake of this technology</w:t>
      </w:r>
      <w:r w:rsidR="003F0186">
        <w:t xml:space="preserve"> (Figure 7</w:t>
      </w:r>
      <w:r w:rsidR="002E034E">
        <w:t>)</w:t>
      </w:r>
      <w:r w:rsidR="000F0B93" w:rsidRPr="002E034E">
        <w:t>,</w:t>
      </w:r>
      <w:r w:rsidR="000F0B93" w:rsidRPr="000F0B93">
        <w:t xml:space="preserve"> there is good reason to conclude that, under BAU, sections of the market will continue to offer </w:t>
      </w:r>
      <w:r w:rsidR="00B7037C">
        <w:t>LDWS</w:t>
      </w:r>
      <w:r w:rsidR="000F0B93" w:rsidRPr="000F0B93">
        <w:t xml:space="preserve"> only as an extra - often as part of a more expensive package of optional </w:t>
      </w:r>
      <w:r w:rsidR="002E034E">
        <w:t xml:space="preserve">safety </w:t>
      </w:r>
      <w:r w:rsidR="000F0B93" w:rsidRPr="000F0B93">
        <w:t xml:space="preserve">upgrades. If regulation had to be considered again in the future, there would also be a long lead time (likely to be greater than two years to redevelop the proposal, as well as the normal implementation, programming, development, testing and certification time necessary for implementing </w:t>
      </w:r>
      <w:r w:rsidR="00B7037C">
        <w:t>LDW</w:t>
      </w:r>
      <w:r w:rsidR="0086539A">
        <w:t>S</w:t>
      </w:r>
      <w:r w:rsidR="000F0B93" w:rsidRPr="000F0B93">
        <w:t xml:space="preserve"> in line with a performance based standard)</w:t>
      </w:r>
      <w:r w:rsidR="00B7037C">
        <w:t>.</w:t>
      </w:r>
    </w:p>
    <w:p w14:paraId="79901DCC" w14:textId="09FA6FB0" w:rsidR="00BC3154" w:rsidRPr="000F0B93" w:rsidRDefault="00FE00E4" w:rsidP="008A23AD">
      <w:r>
        <w:t xml:space="preserve">As </w:t>
      </w:r>
      <w:r w:rsidR="00C12912">
        <w:t>Option 2</w:t>
      </w:r>
      <w:r w:rsidR="007D4BF0">
        <w:t xml:space="preserve"> </w:t>
      </w:r>
      <w:r w:rsidR="0086539A">
        <w:t>(</w:t>
      </w:r>
      <w:r w:rsidR="007D4BF0">
        <w:t>regulation</w:t>
      </w:r>
      <w:r w:rsidR="0086539A">
        <w:t>)</w:t>
      </w:r>
      <w:r w:rsidR="00BC3154" w:rsidRPr="00BC3154">
        <w:t xml:space="preserve"> </w:t>
      </w:r>
      <w:r>
        <w:t xml:space="preserve">offers the greatest net benefit it </w:t>
      </w:r>
      <w:r w:rsidR="00BC3154" w:rsidRPr="00BC3154">
        <w:t>is the recommended option. It would</w:t>
      </w:r>
      <w:r w:rsidR="0077398A">
        <w:t xml:space="preserve"> guarantee </w:t>
      </w:r>
      <w:r w:rsidR="0086539A">
        <w:t>LDWS</w:t>
      </w:r>
      <w:r w:rsidR="0077398A">
        <w:t xml:space="preserve"> provision to</w:t>
      </w:r>
      <w:r w:rsidR="00BC3154" w:rsidRPr="00BC3154">
        <w:t xml:space="preserve"> </w:t>
      </w:r>
      <w:r w:rsidR="0077398A" w:rsidRPr="0077398A">
        <w:t>warn heavy vehicle drivers of the in-lane tracking performance of the</w:t>
      </w:r>
      <w:r w:rsidR="0086539A">
        <w:t>ir</w:t>
      </w:r>
      <w:r w:rsidR="0077398A" w:rsidRPr="0077398A">
        <w:t xml:space="preserve"> heavy vehicle</w:t>
      </w:r>
      <w:r w:rsidR="0086539A">
        <w:t>s</w:t>
      </w:r>
      <w:r w:rsidR="0077398A" w:rsidRPr="0077398A">
        <w:t xml:space="preserve"> during monotonous</w:t>
      </w:r>
      <w:r w:rsidR="00AB0CC1">
        <w:t xml:space="preserve"> and highway</w:t>
      </w:r>
      <w:r w:rsidR="0077398A" w:rsidRPr="0077398A">
        <w:t xml:space="preserve"> driving situations in Australia</w:t>
      </w:r>
      <w:r w:rsidR="0077398A">
        <w:t>.</w:t>
      </w:r>
    </w:p>
    <w:p w14:paraId="28D4214F" w14:textId="77777777" w:rsidR="008A23AD" w:rsidRPr="005F794B" w:rsidRDefault="008A23AD" w:rsidP="008A23AD">
      <w:pPr>
        <w:pStyle w:val="Heading2"/>
      </w:pPr>
      <w:bookmarkStart w:id="50" w:name="_Toc100326810"/>
      <w:r>
        <w:t>Scope of the recommended option</w:t>
      </w:r>
      <w:bookmarkEnd w:id="50"/>
    </w:p>
    <w:p w14:paraId="6D0E9376" w14:textId="1A5AC5F6" w:rsidR="008A23AD" w:rsidRDefault="00721232" w:rsidP="008A23AD">
      <w:pPr>
        <w:rPr>
          <w:lang w:val="x-none"/>
        </w:rPr>
      </w:pPr>
      <w:r w:rsidRPr="00721232">
        <w:t>It is recommended that vehicle categories applic</w:t>
      </w:r>
      <w:r>
        <w:t>able under UN Regulation No. 130</w:t>
      </w:r>
      <w:r w:rsidRPr="00721232">
        <w:t xml:space="preserve"> be adopted for heavy vehicles supplied for use in Australian road transport. UN Regulation No. </w:t>
      </w:r>
      <w:r>
        <w:t>130</w:t>
      </w:r>
      <w:r w:rsidRPr="00721232">
        <w:t xml:space="preserve"> covers prime movers and rigid vehicles greater than 12 tonnes GVM (ADR subcategory NC), goods vehicles greater than 3.5 tonnes GVM (ADR subcategory NB) and omnibuses (ADR subcategory MD and ME)</w:t>
      </w:r>
      <w:r>
        <w:t>.</w:t>
      </w:r>
    </w:p>
    <w:p w14:paraId="633C05CF" w14:textId="77777777" w:rsidR="008A23AD" w:rsidRPr="005F794B" w:rsidRDefault="008A23AD" w:rsidP="008A23AD">
      <w:pPr>
        <w:pStyle w:val="Heading2"/>
      </w:pPr>
      <w:bookmarkStart w:id="51" w:name="_Toc100326811"/>
      <w:r>
        <w:t>Timing of the recommended option</w:t>
      </w:r>
      <w:bookmarkEnd w:id="51"/>
    </w:p>
    <w:p w14:paraId="10B7BE6D" w14:textId="77777777" w:rsidR="00721232" w:rsidRDefault="00721232" w:rsidP="008A23AD">
      <w:r w:rsidRPr="00721232">
        <w:t xml:space="preserve">The proposed heavy vehicle </w:t>
      </w:r>
      <w:r>
        <w:t>LDWS implementation timeframe is</w:t>
      </w:r>
    </w:p>
    <w:p w14:paraId="74112879" w14:textId="77777777" w:rsidR="00721232" w:rsidRPr="00C96A81" w:rsidRDefault="00721232" w:rsidP="00CB0804">
      <w:pPr>
        <w:pStyle w:val="ListParagraph"/>
        <w:numPr>
          <w:ilvl w:val="0"/>
          <w:numId w:val="14"/>
        </w:numPr>
        <w:rPr>
          <w:rFonts w:asciiTheme="minorHAnsi" w:hAnsiTheme="minorHAnsi" w:cstheme="minorHAnsi"/>
          <w:sz w:val="20"/>
        </w:rPr>
      </w:pPr>
      <w:r w:rsidRPr="00C96A81">
        <w:rPr>
          <w:rFonts w:asciiTheme="minorHAnsi" w:hAnsiTheme="minorHAnsi" w:cstheme="minorHAnsi"/>
          <w:sz w:val="20"/>
        </w:rPr>
        <w:t>1 November 2024 for applicable new model vehicles</w:t>
      </w:r>
    </w:p>
    <w:p w14:paraId="514A91BB" w14:textId="77777777" w:rsidR="00437E2B" w:rsidRPr="00C96A81" w:rsidRDefault="00721232" w:rsidP="00CB0804">
      <w:pPr>
        <w:pStyle w:val="ListParagraph"/>
        <w:numPr>
          <w:ilvl w:val="0"/>
          <w:numId w:val="14"/>
        </w:numPr>
        <w:rPr>
          <w:rFonts w:asciiTheme="minorHAnsi" w:hAnsiTheme="minorHAnsi" w:cstheme="minorHAnsi"/>
          <w:sz w:val="20"/>
        </w:rPr>
      </w:pPr>
      <w:r w:rsidRPr="00C96A81">
        <w:rPr>
          <w:rFonts w:asciiTheme="minorHAnsi" w:hAnsiTheme="minorHAnsi" w:cstheme="minorHAnsi"/>
          <w:sz w:val="20"/>
        </w:rPr>
        <w:t xml:space="preserve">1 November 2026 for all applicable new vehicles. </w:t>
      </w:r>
    </w:p>
    <w:p w14:paraId="34C5A2CD" w14:textId="77777777" w:rsidR="008A23AD" w:rsidRDefault="00721232" w:rsidP="003F05F7">
      <w:r w:rsidRPr="00721232">
        <w:t>The implementation lead-time for an ADR change that results in an increase in stringency is generally no less than 18 months for new models and 24 months for all other models. The proposed timetable would meet these typical minimum lead-times.</w:t>
      </w:r>
    </w:p>
    <w:p w14:paraId="1D037395" w14:textId="77777777" w:rsidR="003F05F7" w:rsidRPr="008A23AD" w:rsidRDefault="003F05F7" w:rsidP="005A1731"/>
    <w:p w14:paraId="2875DE31" w14:textId="77777777" w:rsidR="004F76B6" w:rsidRDefault="004F76B6" w:rsidP="00044540">
      <w:pPr>
        <w:pStyle w:val="Heading1"/>
        <w:sectPr w:rsidR="004F76B6" w:rsidSect="00D87AD8">
          <w:pgSz w:w="11906" w:h="16838" w:code="9"/>
          <w:pgMar w:top="1021" w:right="1021" w:bottom="1021" w:left="1021" w:header="510" w:footer="567" w:gutter="0"/>
          <w:cols w:space="708"/>
          <w:docGrid w:linePitch="360"/>
        </w:sectPr>
      </w:pPr>
    </w:p>
    <w:p w14:paraId="4CD9C715" w14:textId="77777777" w:rsidR="00044540" w:rsidRDefault="00044540" w:rsidP="00044540">
      <w:pPr>
        <w:pStyle w:val="Heading1"/>
      </w:pPr>
      <w:bookmarkStart w:id="52" w:name="_Toc100326812"/>
      <w:r>
        <w:lastRenderedPageBreak/>
        <w:t xml:space="preserve">Chapter 7: </w:t>
      </w:r>
      <w:r w:rsidR="004E1E4C">
        <w:t xml:space="preserve"> Implementation and Evaluation</w:t>
      </w:r>
      <w:bookmarkEnd w:id="52"/>
    </w:p>
    <w:p w14:paraId="59B73CD4" w14:textId="7EFCD610" w:rsidR="00125C88" w:rsidRPr="006F274C" w:rsidRDefault="00125C88" w:rsidP="00125C88">
      <w:pPr>
        <w:rPr>
          <w:lang w:val="x-none"/>
        </w:rPr>
      </w:pPr>
      <w:r w:rsidRPr="006F274C">
        <w:rPr>
          <w:lang w:val="x-none"/>
        </w:rPr>
        <w:t xml:space="preserve">New ADRs or amendments to the ADRs are determined by the responsible </w:t>
      </w:r>
      <w:r w:rsidR="0078661C">
        <w:rPr>
          <w:lang w:val="en-GB"/>
        </w:rPr>
        <w:t>M</w:t>
      </w:r>
      <w:proofErr w:type="spellStart"/>
      <w:r w:rsidRPr="006F274C">
        <w:rPr>
          <w:lang w:val="x-none"/>
        </w:rPr>
        <w:t>inister</w:t>
      </w:r>
      <w:proofErr w:type="spellEnd"/>
      <w:r w:rsidRPr="006F274C">
        <w:rPr>
          <w:lang w:val="x-none"/>
        </w:rPr>
        <w:t xml:space="preserve"> under section </w:t>
      </w:r>
      <w:r>
        <w:rPr>
          <w:lang w:val="en-US"/>
        </w:rPr>
        <w:t>12</w:t>
      </w:r>
      <w:r w:rsidRPr="006F274C">
        <w:rPr>
          <w:lang w:val="x-none"/>
        </w:rPr>
        <w:t xml:space="preserve"> of the RVSA.</w:t>
      </w:r>
    </w:p>
    <w:p w14:paraId="65A586CD" w14:textId="121CA448" w:rsidR="00125C88" w:rsidRDefault="00125C88" w:rsidP="006F274C">
      <w:pPr>
        <w:rPr>
          <w:lang w:val="x-none"/>
        </w:rPr>
      </w:pPr>
      <w:r w:rsidRPr="00125C88">
        <w:rPr>
          <w:lang w:val="x-none"/>
        </w:rPr>
        <w:t xml:space="preserve">Development of safety-related ADRs under the RVSA is the responsibility of the Vehicle Safety Policy and Partnerships </w:t>
      </w:r>
      <w:r w:rsidR="005637CE">
        <w:rPr>
          <w:lang w:val="en-US"/>
        </w:rPr>
        <w:t xml:space="preserve">(VSP&amp;P) </w:t>
      </w:r>
      <w:r w:rsidRPr="00125C88">
        <w:rPr>
          <w:lang w:val="x-none"/>
        </w:rPr>
        <w:t>Branch of the Department of Infrastructure, Transport, Regional Development and Communications. It is carried out in consultation with representatives of the Australian Government, state and territory governments, manufacturing and operating industries, road user groups and experts in the field of road safety. Under the RVSA, the Minister may consult with state and territory agencies responsible for road safety, organisations and persons involved in the road vehicle industry and organisations representing road vehicle users before determining an ADR.</w:t>
      </w:r>
    </w:p>
    <w:p w14:paraId="1A3154FF" w14:textId="3217B666" w:rsidR="006F274C" w:rsidRPr="006F274C" w:rsidRDefault="006F274C" w:rsidP="006F274C">
      <w:pPr>
        <w:rPr>
          <w:lang w:val="x-none"/>
        </w:rPr>
      </w:pPr>
      <w:r w:rsidRPr="006F274C">
        <w:rPr>
          <w:lang w:val="x-none"/>
        </w:rPr>
        <w:t>As Australian Government regulations,</w:t>
      </w:r>
      <w:r w:rsidR="007E0C3C">
        <w:rPr>
          <w:lang w:val="en-GB"/>
        </w:rPr>
        <w:t xml:space="preserve"> the</w:t>
      </w:r>
      <w:r w:rsidRPr="006F274C">
        <w:rPr>
          <w:lang w:val="x-none"/>
        </w:rPr>
        <w:t xml:space="preserve"> ADRs are subject to review every ten years as resources permit. This ensures that they remain relevant, cost effective and do not become a barrier to the importation of safer vehicles and vehicle components. A new ADR for </w:t>
      </w:r>
      <w:r>
        <w:rPr>
          <w:lang w:val="en-US"/>
        </w:rPr>
        <w:t xml:space="preserve">LDWS fitted to </w:t>
      </w:r>
      <w:r w:rsidRPr="006F274C">
        <w:rPr>
          <w:lang w:val="x-none"/>
        </w:rPr>
        <w:t>heavy vehicle</w:t>
      </w:r>
      <w:r>
        <w:rPr>
          <w:lang w:val="en-US"/>
        </w:rPr>
        <w:t>s</w:t>
      </w:r>
      <w:r w:rsidRPr="006F274C">
        <w:rPr>
          <w:lang w:val="x-none"/>
        </w:rPr>
        <w:t xml:space="preserve"> would be scheduled for a full review on an ongoing basis in line with this practice.</w:t>
      </w:r>
    </w:p>
    <w:p w14:paraId="71966B0A" w14:textId="732F7A6B" w:rsidR="00044540" w:rsidRPr="006F274C" w:rsidRDefault="006F274C" w:rsidP="006F274C">
      <w:pPr>
        <w:rPr>
          <w:lang w:val="x-none"/>
        </w:rPr>
      </w:pPr>
      <w:r w:rsidRPr="006F274C">
        <w:rPr>
          <w:lang w:val="x-none"/>
        </w:rPr>
        <w:t>In addition, UN regulatio</w:t>
      </w:r>
      <w:r>
        <w:rPr>
          <w:lang w:val="en-US"/>
        </w:rPr>
        <w:t xml:space="preserve">ns are </w:t>
      </w:r>
      <w:r w:rsidRPr="006F274C">
        <w:rPr>
          <w:lang w:val="x-none"/>
        </w:rPr>
        <w:t>revised on an ongoing basis and so in time it may be possible to expand the requirement</w:t>
      </w:r>
      <w:r w:rsidR="00D20A17">
        <w:rPr>
          <w:lang w:val="en-US"/>
        </w:rPr>
        <w:t xml:space="preserve">s in </w:t>
      </w:r>
      <w:r w:rsidR="00D20A17" w:rsidRPr="00307EBF">
        <w:rPr>
          <w:lang w:val="x-none"/>
        </w:rPr>
        <w:t>UN</w:t>
      </w:r>
      <w:r w:rsidR="00D20A17">
        <w:rPr>
          <w:lang w:val="en-US"/>
        </w:rPr>
        <w:t xml:space="preserve"> Regulation No. 130</w:t>
      </w:r>
      <w:r w:rsidRPr="006F274C">
        <w:rPr>
          <w:lang w:val="x-none"/>
        </w:rPr>
        <w:t xml:space="preserve"> to specifically </w:t>
      </w:r>
      <w:r>
        <w:rPr>
          <w:lang w:val="en-US"/>
        </w:rPr>
        <w:t>provide active steering effort to heavy vehicles that unintentionally depart from the lane.</w:t>
      </w:r>
      <w:r w:rsidRPr="006F274C">
        <w:rPr>
          <w:lang w:val="x-none"/>
        </w:rPr>
        <w:t xml:space="preserve"> The </w:t>
      </w:r>
      <w:r w:rsidR="00B07685">
        <w:rPr>
          <w:lang w:val="en-GB"/>
        </w:rPr>
        <w:t>D</w:t>
      </w:r>
      <w:proofErr w:type="spellStart"/>
      <w:r w:rsidR="00253937" w:rsidRPr="006F274C">
        <w:rPr>
          <w:lang w:val="x-none"/>
        </w:rPr>
        <w:t>epartment</w:t>
      </w:r>
      <w:proofErr w:type="spellEnd"/>
      <w:r w:rsidRPr="006F274C">
        <w:rPr>
          <w:lang w:val="x-none"/>
        </w:rPr>
        <w:t xml:space="preserve"> reviews</w:t>
      </w:r>
      <w:r w:rsidR="007E0C3C">
        <w:rPr>
          <w:lang w:val="en-GB"/>
        </w:rPr>
        <w:t xml:space="preserve"> the possible</w:t>
      </w:r>
      <w:r w:rsidRPr="006F274C">
        <w:rPr>
          <w:lang w:val="x-none"/>
        </w:rPr>
        <w:t xml:space="preserve"> adopt</w:t>
      </w:r>
      <w:r w:rsidR="007E0C3C">
        <w:rPr>
          <w:lang w:val="en-GB"/>
        </w:rPr>
        <w:t>ion</w:t>
      </w:r>
      <w:r w:rsidRPr="006F274C">
        <w:rPr>
          <w:lang w:val="x-none"/>
        </w:rPr>
        <w:t xml:space="preserve"> </w:t>
      </w:r>
      <w:r w:rsidR="007E0C3C">
        <w:rPr>
          <w:lang w:val="en-GB"/>
        </w:rPr>
        <w:t xml:space="preserve">of UN regulations and their revisions into the ADRs </w:t>
      </w:r>
      <w:r w:rsidRPr="006F274C">
        <w:rPr>
          <w:lang w:val="x-none"/>
        </w:rPr>
        <w:t>as they become available.</w:t>
      </w:r>
    </w:p>
    <w:p w14:paraId="32954583" w14:textId="77777777" w:rsidR="00166617" w:rsidRDefault="00B14F96" w:rsidP="00B14F96">
      <w:pPr>
        <w:pStyle w:val="Heading2"/>
      </w:pPr>
      <w:bookmarkStart w:id="53" w:name="_Toc100326813"/>
      <w:proofErr w:type="spellStart"/>
      <w:r>
        <w:t>Sunsetting</w:t>
      </w:r>
      <w:proofErr w:type="spellEnd"/>
      <w:r>
        <w:t xml:space="preserve"> of ADRs</w:t>
      </w:r>
      <w:bookmarkEnd w:id="53"/>
    </w:p>
    <w:p w14:paraId="23987534" w14:textId="0B604056" w:rsidR="00B14F96" w:rsidRDefault="00A57C96" w:rsidP="00A57C96">
      <w:r>
        <w:t xml:space="preserve">A standard </w:t>
      </w:r>
      <w:r w:rsidR="007E0C3C">
        <w:t xml:space="preserve">(ADR) </w:t>
      </w:r>
      <w:r>
        <w:t xml:space="preserve">made under section 12 of the </w:t>
      </w:r>
      <w:r w:rsidR="005B2A57">
        <w:t>RVSA</w:t>
      </w:r>
      <w:r>
        <w:t xml:space="preserve"> is not subject to the </w:t>
      </w:r>
      <w:proofErr w:type="spellStart"/>
      <w:r>
        <w:t>sunsetting</w:t>
      </w:r>
      <w:proofErr w:type="spellEnd"/>
      <w:r>
        <w:t xml:space="preserve"> provisions of section 50 of the </w:t>
      </w:r>
      <w:r w:rsidRPr="005B2A57">
        <w:rPr>
          <w:i/>
        </w:rPr>
        <w:t>Legislation (Exemptions and Other Matters) Act 2003</w:t>
      </w:r>
      <w:r>
        <w:t xml:space="preserve"> through section 12 of the </w:t>
      </w:r>
      <w:r w:rsidRPr="005B2A57">
        <w:rPr>
          <w:i/>
        </w:rPr>
        <w:t>Legislation (Exemptions and Other Matters) Regulation 2015 (table item 56C)</w:t>
      </w:r>
      <w:r>
        <w:t xml:space="preserve">. A similar exemption was previously granted in respect of national road vehicle standards made under section 7 of the </w:t>
      </w:r>
      <w:r w:rsidRPr="005B2A57">
        <w:rPr>
          <w:i/>
        </w:rPr>
        <w:t>Motor Vehicle Standards Act 1989</w:t>
      </w:r>
      <w:r>
        <w:t xml:space="preserve"> (MVSA) (item 40, section 12 of the </w:t>
      </w:r>
      <w:r w:rsidRPr="005B2A57">
        <w:rPr>
          <w:i/>
        </w:rPr>
        <w:t>Legislation (Exemptions and Other Matters) Regulation 2015</w:t>
      </w:r>
      <w:r>
        <w:t>). This exemption is important to ensure that ADR</w:t>
      </w:r>
      <w:r w:rsidR="005B2A57">
        <w:t>s</w:t>
      </w:r>
      <w:r>
        <w:t xml:space="preserve"> </w:t>
      </w:r>
      <w:r w:rsidR="005B2A57">
        <w:t>continue</w:t>
      </w:r>
      <w:r>
        <w:t xml:space="preserve"> to remain in force, and available to regulators and industry.</w:t>
      </w:r>
    </w:p>
    <w:p w14:paraId="35221B0E" w14:textId="059CB2D4" w:rsidR="00A57C96" w:rsidRDefault="00A57C96" w:rsidP="00A57C96">
      <w:r w:rsidRPr="00A57C96">
        <w:t xml:space="preserve">It is appropriate that standards made under section 12 of the </w:t>
      </w:r>
      <w:r w:rsidR="005B2A57">
        <w:t xml:space="preserve">RVSA </w:t>
      </w:r>
      <w:r w:rsidRPr="00A57C96">
        <w:t>remain enduring and effective to regulate ongoing road worthiness of vehicles throughout their useful life and reduce regulatory burden on vehicle manufacturers.</w:t>
      </w:r>
    </w:p>
    <w:p w14:paraId="4B8AF9ED" w14:textId="4F22A5CC" w:rsidR="00A57C96" w:rsidRPr="009B704A" w:rsidRDefault="00A57C96" w:rsidP="00A57C96">
      <w:r w:rsidRPr="009B704A">
        <w:t xml:space="preserve">The exemption </w:t>
      </w:r>
      <w:r w:rsidR="007E0C3C">
        <w:t>was granted to</w:t>
      </w:r>
      <w:r w:rsidR="007E0C3C" w:rsidRPr="009B704A">
        <w:t xml:space="preserve"> </w:t>
      </w:r>
      <w:r w:rsidRPr="009B704A">
        <w:t xml:space="preserve">ADRs </w:t>
      </w:r>
      <w:r w:rsidR="007E0C3C">
        <w:t xml:space="preserve">as they </w:t>
      </w:r>
      <w:r w:rsidRPr="009B704A">
        <w:t xml:space="preserve">facilitate the establishment and operation of the intergovernmental vehicle standard regime that Commonwealth, State and Territory governments rely on to regulate the safety of vehicles on public roads. </w:t>
      </w:r>
    </w:p>
    <w:p w14:paraId="5A71D3A2" w14:textId="3DFD1B04" w:rsidR="00A57C96" w:rsidRDefault="00A57C96" w:rsidP="00A57C96">
      <w:r>
        <w:t xml:space="preserve">While the ADRs are regularly updated to reflect changes in technology, it is not possible to apply these new standards retrospectively to vehicles that are already in use. With former ADRs </w:t>
      </w:r>
      <w:r w:rsidR="007E0C3C">
        <w:t>being available</w:t>
      </w:r>
      <w:r>
        <w:t xml:space="preserve"> on the Federal Register of Legislation, State and Territory governments can use them to ensure vehicles continue to comply with the ADRs that were in force when they were first supplied to the market.</w:t>
      </w:r>
    </w:p>
    <w:p w14:paraId="5B9DC2B6" w14:textId="17B22D63" w:rsidR="00A57C96" w:rsidRDefault="007E0C3C" w:rsidP="00A57C96">
      <w:r>
        <w:t>Requiring</w:t>
      </w:r>
      <w:r w:rsidR="00A57C96" w:rsidRPr="009B704A">
        <w:t xml:space="preserve"> vehicle manufacturers to redesign existing models to comply with new ADRs would be a costly and onerous exercise. </w:t>
      </w:r>
      <w:r w:rsidR="00D70041">
        <w:t>Vehicle m</w:t>
      </w:r>
      <w:r w:rsidR="00A57C96" w:rsidRPr="009B704A">
        <w:t xml:space="preserve">anufacturers should not be expected to continually redesign existing vehicles. </w:t>
      </w:r>
      <w:r>
        <w:t>O</w:t>
      </w:r>
      <w:r w:rsidR="00A57C96" w:rsidRPr="009B704A">
        <w:t>ngoing product recalls</w:t>
      </w:r>
      <w:r>
        <w:t xml:space="preserve"> of vehicles in the fleet would be needed</w:t>
      </w:r>
      <w:r w:rsidR="00A57C96" w:rsidRPr="009B704A">
        <w:t xml:space="preserve"> to comply with new ADRs </w:t>
      </w:r>
      <w:r>
        <w:t xml:space="preserve">and this </w:t>
      </w:r>
      <w:r w:rsidR="00A57C96" w:rsidRPr="009B704A">
        <w:t>would undermine consumer confidence</w:t>
      </w:r>
      <w:r>
        <w:t xml:space="preserve">, </w:t>
      </w:r>
      <w:r w:rsidR="00A57C96" w:rsidRPr="009B704A">
        <w:t xml:space="preserve">with significant financial impact to </w:t>
      </w:r>
      <w:r w:rsidR="00D70041">
        <w:t xml:space="preserve">vehicle </w:t>
      </w:r>
      <w:r w:rsidR="00A57C96" w:rsidRPr="009B704A">
        <w:t>manufacturers. Th</w:t>
      </w:r>
      <w:r>
        <w:t>e</w:t>
      </w:r>
      <w:r w:rsidR="00A57C96" w:rsidRPr="009B704A">
        <w:t xml:space="preserve"> exemption </w:t>
      </w:r>
      <w:r w:rsidR="00D70041">
        <w:t xml:space="preserve">from </w:t>
      </w:r>
      <w:proofErr w:type="spellStart"/>
      <w:r w:rsidR="00D70041">
        <w:t>sunsetting</w:t>
      </w:r>
      <w:proofErr w:type="spellEnd"/>
      <w:r w:rsidR="00D70041">
        <w:t xml:space="preserve"> </w:t>
      </w:r>
      <w:r w:rsidR="00A57C96" w:rsidRPr="009B704A">
        <w:t xml:space="preserve">allows vehicle manufacturers to focus their efforts </w:t>
      </w:r>
      <w:r>
        <w:t>on</w:t>
      </w:r>
      <w:r w:rsidRPr="009B704A">
        <w:t xml:space="preserve"> </w:t>
      </w:r>
      <w:r w:rsidR="00A57C96" w:rsidRPr="009B704A">
        <w:t>ensur</w:t>
      </w:r>
      <w:r>
        <w:t>ing</w:t>
      </w:r>
      <w:r w:rsidR="00A57C96" w:rsidRPr="009B704A">
        <w:t xml:space="preserve"> new models supplied to the market comply</w:t>
      </w:r>
      <w:r w:rsidR="00D70041">
        <w:t xml:space="preserve"> with the ADRs</w:t>
      </w:r>
      <w:r w:rsidR="00A57C96" w:rsidRPr="009B704A">
        <w:t>.</w:t>
      </w:r>
    </w:p>
    <w:p w14:paraId="144208FD" w14:textId="246D7C4E" w:rsidR="00A57C96" w:rsidRPr="003C1591" w:rsidRDefault="00A57C96" w:rsidP="00A57C96">
      <w:r w:rsidRPr="003C1591">
        <w:t xml:space="preserve">The exemption from </w:t>
      </w:r>
      <w:proofErr w:type="spellStart"/>
      <w:r w:rsidRPr="003C1591">
        <w:t>sunsetting</w:t>
      </w:r>
      <w:proofErr w:type="spellEnd"/>
      <w:r w:rsidRPr="003C1591">
        <w:t xml:space="preserve"> does not mean that ADRs do not undergo regular evaluations. ADRs are subject to regular reviews, as resources permit, and when developments in vehicle technology necessitates updates to requirements. Comprehensive parliamentary scrutiny is available through these reviews.</w:t>
      </w:r>
    </w:p>
    <w:p w14:paraId="4B15CB23" w14:textId="77777777" w:rsidR="00E83477" w:rsidRPr="00E83477" w:rsidRDefault="00044540" w:rsidP="00307EBF">
      <w:pPr>
        <w:pStyle w:val="Heading1"/>
      </w:pPr>
      <w:bookmarkStart w:id="54" w:name="_Toc100326814"/>
      <w:r>
        <w:lastRenderedPageBreak/>
        <w:t>Chapter 8: Conclusion and recommended option</w:t>
      </w:r>
      <w:bookmarkEnd w:id="54"/>
    </w:p>
    <w:p w14:paraId="1E1ECAE5" w14:textId="77777777" w:rsidR="000150C0" w:rsidRPr="005F794B" w:rsidRDefault="000150C0" w:rsidP="000150C0">
      <w:pPr>
        <w:pStyle w:val="Heading2"/>
      </w:pPr>
      <w:bookmarkStart w:id="55" w:name="_Toc100326815"/>
      <w:r>
        <w:t>Conclusion</w:t>
      </w:r>
      <w:bookmarkEnd w:id="55"/>
    </w:p>
    <w:p w14:paraId="1E5A6A1E" w14:textId="60A40860" w:rsidR="00307EBF" w:rsidRDefault="00605533" w:rsidP="00307EBF">
      <w:pPr>
        <w:rPr>
          <w:lang w:val="x-none"/>
        </w:rPr>
      </w:pPr>
      <w:r w:rsidRPr="00307EBF">
        <w:rPr>
          <w:lang w:val="x-none"/>
        </w:rPr>
        <w:t>The various road safety parameters examined in this Consultation RIS</w:t>
      </w:r>
      <w:r w:rsidR="00307EBF">
        <w:rPr>
          <w:lang w:val="en-US"/>
        </w:rPr>
        <w:t xml:space="preserve"> and </w:t>
      </w:r>
      <w:r w:rsidR="007E0C3C">
        <w:rPr>
          <w:lang w:val="en-US"/>
        </w:rPr>
        <w:t xml:space="preserve">its </w:t>
      </w:r>
      <w:r w:rsidR="00307EBF">
        <w:rPr>
          <w:lang w:val="en-US"/>
        </w:rPr>
        <w:t>benefit-cost analysis</w:t>
      </w:r>
      <w:r w:rsidRPr="00307EBF">
        <w:rPr>
          <w:lang w:val="x-none"/>
        </w:rPr>
        <w:t xml:space="preserve"> revealed that the occupants of heavy goods vehicles and buses/coaches are a special group of road users, with different safety needs and characteristics than other road users, due to their specificities, but also due to their different mobility behaviour. With a national road freight task projected to grow steadily into the future, effort to reduce Australia’s road trauma requires consideration o</w:t>
      </w:r>
      <w:r w:rsidR="007E0C3C">
        <w:rPr>
          <w:lang w:val="en-GB"/>
        </w:rPr>
        <w:t>f</w:t>
      </w:r>
      <w:r w:rsidRPr="00307EBF">
        <w:rPr>
          <w:lang w:val="x-none"/>
        </w:rPr>
        <w:t xml:space="preserve"> </w:t>
      </w:r>
      <w:r w:rsidR="00451001" w:rsidRPr="00307EBF">
        <w:rPr>
          <w:lang w:val="x-none"/>
        </w:rPr>
        <w:t>every aspect of heavy vehicle safety.</w:t>
      </w:r>
    </w:p>
    <w:p w14:paraId="0DA5B9D9" w14:textId="7C810084" w:rsidR="00307EBF" w:rsidRDefault="00307EBF" w:rsidP="00307EBF">
      <w:pPr>
        <w:rPr>
          <w:lang w:val="x-none"/>
        </w:rPr>
      </w:pPr>
      <w:r>
        <w:t xml:space="preserve">Reducing </w:t>
      </w:r>
      <w:r w:rsidRPr="00307EBF">
        <w:t xml:space="preserve">the occurrence of </w:t>
      </w:r>
      <w:r>
        <w:t xml:space="preserve">crashes due to </w:t>
      </w:r>
      <w:r w:rsidRPr="00307EBF">
        <w:t>heavy vehicles unintentionally departing their lane</w:t>
      </w:r>
      <w:r>
        <w:t xml:space="preserve"> is</w:t>
      </w:r>
      <w:r w:rsidRPr="00307EBF">
        <w:t xml:space="preserve"> the specific road safety problem that has been considered in this RIS. These</w:t>
      </w:r>
      <w:r>
        <w:t xml:space="preserve"> crashes cost the community $63</w:t>
      </w:r>
      <w:r w:rsidRPr="00307EBF">
        <w:t xml:space="preserve"> million annually. Heavy vehicle </w:t>
      </w:r>
      <w:r>
        <w:t>LDW</w:t>
      </w:r>
      <w:r w:rsidR="00800050">
        <w:t>S</w:t>
      </w:r>
      <w:r w:rsidR="00846006">
        <w:t>s</w:t>
      </w:r>
      <w:r w:rsidR="00800050">
        <w:t xml:space="preserve"> </w:t>
      </w:r>
      <w:r w:rsidRPr="00307EBF">
        <w:t xml:space="preserve">capable of </w:t>
      </w:r>
      <w:r>
        <w:rPr>
          <w:lang w:val="en-US"/>
        </w:rPr>
        <w:t>warning</w:t>
      </w:r>
      <w:r w:rsidRPr="00307EBF">
        <w:rPr>
          <w:lang w:val="en-US"/>
        </w:rPr>
        <w:t xml:space="preserve"> the driver of an unintentional lane departure</w:t>
      </w:r>
      <w:r w:rsidRPr="00307EBF">
        <w:rPr>
          <w:lang w:val="x-none"/>
        </w:rPr>
        <w:t xml:space="preserve"> especially in the field of monotonous driving situations</w:t>
      </w:r>
      <w:r w:rsidR="00846006">
        <w:rPr>
          <w:lang w:val="en-GB"/>
        </w:rPr>
        <w:t>,</w:t>
      </w:r>
      <w:r w:rsidRPr="00307EBF">
        <w:rPr>
          <w:lang w:val="en-US"/>
        </w:rPr>
        <w:t xml:space="preserve"> such as on national or state highways and arterial roads</w:t>
      </w:r>
      <w:r w:rsidR="00846006">
        <w:rPr>
          <w:lang w:val="en-US"/>
        </w:rPr>
        <w:t>,</w:t>
      </w:r>
      <w:r>
        <w:rPr>
          <w:lang w:val="x-none"/>
        </w:rPr>
        <w:t xml:space="preserve"> are a mature technology for which international standards exist (UN Regulation No. 130).</w:t>
      </w:r>
    </w:p>
    <w:p w14:paraId="29D76F1C" w14:textId="7749E66B" w:rsidR="00800050" w:rsidRDefault="00307EBF" w:rsidP="00307EBF">
      <w:pPr>
        <w:rPr>
          <w:lang w:val="en-US"/>
        </w:rPr>
      </w:pPr>
      <w:r>
        <w:rPr>
          <w:lang w:val="en-US"/>
        </w:rPr>
        <w:t xml:space="preserve">Around </w:t>
      </w:r>
      <w:r w:rsidR="002E034E" w:rsidRPr="002E034E">
        <w:rPr>
          <w:lang w:val="en-US"/>
        </w:rPr>
        <w:t>36</w:t>
      </w:r>
      <w:r w:rsidR="002E034E">
        <w:rPr>
          <w:lang w:val="en-US"/>
        </w:rPr>
        <w:t xml:space="preserve"> per cent o</w:t>
      </w:r>
      <w:r>
        <w:rPr>
          <w:lang w:val="en-US"/>
        </w:rPr>
        <w:t>f</w:t>
      </w:r>
      <w:r w:rsidR="002E034E">
        <w:rPr>
          <w:lang w:val="en-US"/>
        </w:rPr>
        <w:t xml:space="preserve"> all</w:t>
      </w:r>
      <w:r>
        <w:rPr>
          <w:lang w:val="en-US"/>
        </w:rPr>
        <w:t xml:space="preserve"> new heavy vehicles are fitted with LDW</w:t>
      </w:r>
      <w:r w:rsidR="00800050">
        <w:rPr>
          <w:lang w:val="en-US"/>
        </w:rPr>
        <w:t xml:space="preserve">S. Though fitment has been mandatory in other major markets such as </w:t>
      </w:r>
      <w:r w:rsidR="0077403A">
        <w:rPr>
          <w:lang w:val="en-US"/>
        </w:rPr>
        <w:t>Europe</w:t>
      </w:r>
      <w:r w:rsidR="00800050">
        <w:rPr>
          <w:lang w:val="en-US"/>
        </w:rPr>
        <w:t xml:space="preserve"> since November 2015, this has not strongly influenced the fitment rate in</w:t>
      </w:r>
      <w:r w:rsidR="002E034E">
        <w:rPr>
          <w:lang w:val="en-US"/>
        </w:rPr>
        <w:t xml:space="preserve"> the</w:t>
      </w:r>
      <w:r w:rsidR="00800050">
        <w:rPr>
          <w:lang w:val="en-US"/>
        </w:rPr>
        <w:t xml:space="preserve"> Australian heavy vehicle fleet.</w:t>
      </w:r>
      <w:r w:rsidR="002E034E">
        <w:rPr>
          <w:lang w:val="en-US"/>
        </w:rPr>
        <w:t xml:space="preserve"> </w:t>
      </w:r>
      <w:r w:rsidR="002553A0">
        <w:rPr>
          <w:lang w:val="en-US"/>
        </w:rPr>
        <w:t>Furthermore,</w:t>
      </w:r>
      <w:r w:rsidR="002E034E">
        <w:rPr>
          <w:lang w:val="en-US"/>
        </w:rPr>
        <w:t xml:space="preserve"> the rate at which the technology is being fitted has begun to reduce.</w:t>
      </w:r>
    </w:p>
    <w:p w14:paraId="48CE3E44" w14:textId="15134DAC" w:rsidR="00D46F17" w:rsidRDefault="00800050" w:rsidP="00307EBF">
      <w:r>
        <w:rPr>
          <w:lang w:val="en-US"/>
        </w:rPr>
        <w:t xml:space="preserve">This RIS considered </w:t>
      </w:r>
      <w:r w:rsidR="00344B23">
        <w:rPr>
          <w:lang w:val="en-US"/>
        </w:rPr>
        <w:t xml:space="preserve">two </w:t>
      </w:r>
      <w:r w:rsidRPr="00800050">
        <w:t>intervention options</w:t>
      </w:r>
      <w:r w:rsidR="00655AEE">
        <w:t>, Option 1</w:t>
      </w:r>
      <w:r w:rsidR="00344B23">
        <w:t xml:space="preserve"> being</w:t>
      </w:r>
      <w:r w:rsidRPr="00800050">
        <w:t xml:space="preserve"> the BAU case to increase fitment of </w:t>
      </w:r>
      <w:r>
        <w:t>LDWS</w:t>
      </w:r>
      <w:r w:rsidRPr="00800050">
        <w:t xml:space="preserve"> to the heavy vehicle fleet. It was found that the most significant (and only positive) net benefits are to be gained by mandating </w:t>
      </w:r>
      <w:r>
        <w:t>LDWS</w:t>
      </w:r>
      <w:r w:rsidRPr="00800050">
        <w:t xml:space="preserve"> fitment for new heavy vehicles.</w:t>
      </w:r>
    </w:p>
    <w:p w14:paraId="2B37A047" w14:textId="77777777" w:rsidR="009B12E0" w:rsidRDefault="00C12912" w:rsidP="00307EBF">
      <w:r>
        <w:t>Option 2</w:t>
      </w:r>
      <w:r w:rsidR="00D46F17" w:rsidRPr="00D46F17">
        <w:t>, mandatory regulation adopting the internationally-agreed requ</w:t>
      </w:r>
      <w:r w:rsidR="00D46F17">
        <w:t>irements of UN Regulation No.130</w:t>
      </w:r>
      <w:r w:rsidR="00D46F17" w:rsidRPr="00D46F17">
        <w:t xml:space="preserve">, is expected to yield benefits of </w:t>
      </w:r>
      <w:r w:rsidR="00D46F17" w:rsidRPr="00595EF9">
        <w:t>$</w:t>
      </w:r>
      <w:r w:rsidR="004D4AA6">
        <w:t>221.2</w:t>
      </w:r>
      <w:r w:rsidR="00D46F17" w:rsidRPr="00595EF9">
        <w:t xml:space="preserve"> million over the BAU case, with a likely case benefit-cost ratio of 1.</w:t>
      </w:r>
      <w:r w:rsidR="0077403A" w:rsidRPr="00595EF9">
        <w:t>1 (best case up to 1.4</w:t>
      </w:r>
      <w:r w:rsidR="00D46F17" w:rsidRPr="00595EF9">
        <w:t xml:space="preserve">). </w:t>
      </w:r>
      <w:r>
        <w:t>Option 2</w:t>
      </w:r>
      <w:r w:rsidR="00D46F17" w:rsidRPr="00595EF9">
        <w:t xml:space="preserve"> would save </w:t>
      </w:r>
      <w:r w:rsidR="0077403A" w:rsidRPr="00595EF9">
        <w:t>63</w:t>
      </w:r>
      <w:r w:rsidR="00D46F17" w:rsidRPr="00595EF9">
        <w:t xml:space="preserve"> lives and mitigate </w:t>
      </w:r>
      <w:r w:rsidR="0077403A" w:rsidRPr="00595EF9">
        <w:t>1,732 serious and 5,389</w:t>
      </w:r>
      <w:r w:rsidR="00D46F17" w:rsidRPr="00595EF9">
        <w:t xml:space="preserve"> minor injuries.</w:t>
      </w:r>
    </w:p>
    <w:p w14:paraId="100C9B03" w14:textId="3028F1CF" w:rsidR="009B12E0" w:rsidRDefault="009B12E0" w:rsidP="00307EBF">
      <w:r w:rsidRPr="005F33C1">
        <w:rPr>
          <w:lang w:val="x-none"/>
        </w:rPr>
        <w:t xml:space="preserve">In line with the </w:t>
      </w:r>
      <w:r w:rsidRPr="00987900">
        <w:rPr>
          <w:i/>
          <w:lang w:val="en-US"/>
        </w:rPr>
        <w:t>Australian Government Guide to Regulatory Impact Analysis</w:t>
      </w:r>
      <w:r w:rsidR="00344B23">
        <w:rPr>
          <w:i/>
          <w:lang w:val="en-US"/>
        </w:rPr>
        <w:t xml:space="preserve"> (second edition 2020)</w:t>
      </w:r>
      <w:r>
        <w:rPr>
          <w:lang w:val="en-US"/>
        </w:rPr>
        <w:t xml:space="preserve"> </w:t>
      </w:r>
      <w:r w:rsidR="008B1419">
        <w:rPr>
          <w:lang w:val="en-US"/>
        </w:rPr>
        <w:t xml:space="preserve">(2020) </w:t>
      </w:r>
      <w:r>
        <w:rPr>
          <w:lang w:val="en-US"/>
        </w:rPr>
        <w:t>and</w:t>
      </w:r>
      <w:r w:rsidRPr="00987900">
        <w:rPr>
          <w:lang w:val="en-US"/>
        </w:rPr>
        <w:t xml:space="preserve"> the </w:t>
      </w:r>
      <w:r w:rsidRPr="00987900">
        <w:rPr>
          <w:i/>
          <w:lang w:val="en-US"/>
        </w:rPr>
        <w:t>Regulatory Impact Analysis Guide for Ministers’ Meetings and National Standard Setting Bodies</w:t>
      </w:r>
      <w:r w:rsidR="008B1419">
        <w:rPr>
          <w:i/>
          <w:lang w:val="en-US"/>
        </w:rPr>
        <w:t xml:space="preserve"> </w:t>
      </w:r>
      <w:r w:rsidR="008B1419">
        <w:rPr>
          <w:lang w:val="en-US"/>
        </w:rPr>
        <w:t>(2021)</w:t>
      </w:r>
      <w:r w:rsidRPr="008B1419">
        <w:t>, the policy</w:t>
      </w:r>
      <w:r w:rsidRPr="009B12E0">
        <w:t xml:space="preserve"> option offering the greatest net benefit should always be the recommen</w:t>
      </w:r>
      <w:r>
        <w:t xml:space="preserve">ded option. Therefore, </w:t>
      </w:r>
      <w:r w:rsidR="00C12912">
        <w:t>Option 2</w:t>
      </w:r>
      <w:r>
        <w:t>: regulation</w:t>
      </w:r>
      <w:r w:rsidRPr="009B12E0">
        <w:t xml:space="preserve"> is the recommended option. Under this option, fitment of </w:t>
      </w:r>
      <w:r>
        <w:t>LDWS</w:t>
      </w:r>
      <w:r w:rsidRPr="009B12E0">
        <w:t xml:space="preserve"> would be mandated for all new heavy goods vehicles greater than 3.5 tonnes Gross Vehicle Mass (GVM) and all omnibuses. The proposed Australian vehicle categories are those</w:t>
      </w:r>
      <w:r>
        <w:t xml:space="preserve"> covered by UN Regulation No.130</w:t>
      </w:r>
      <w:r w:rsidRPr="009B12E0">
        <w:t xml:space="preserve"> – equivalent ADR subcategories NB1, NB2, NC, MD and ME (Goods Vehicles and Omnibuses). The proposed implementation timing is:</w:t>
      </w:r>
    </w:p>
    <w:p w14:paraId="4EA3860D" w14:textId="77777777" w:rsidR="009B12E0" w:rsidRPr="00C96A81" w:rsidRDefault="009B12E0" w:rsidP="00CB0804">
      <w:pPr>
        <w:numPr>
          <w:ilvl w:val="0"/>
          <w:numId w:val="17"/>
        </w:numPr>
        <w:tabs>
          <w:tab w:val="left" w:pos="1290"/>
        </w:tabs>
        <w:autoSpaceDE w:val="0"/>
        <w:autoSpaceDN w:val="0"/>
        <w:adjustRightInd w:val="0"/>
        <w:spacing w:before="0" w:after="113" w:line="280" w:lineRule="atLeast"/>
        <w:contextualSpacing/>
        <w:textAlignment w:val="center"/>
        <w:rPr>
          <w:rFonts w:cstheme="minorHAnsi"/>
          <w:color w:val="000000"/>
          <w:kern w:val="0"/>
          <w:szCs w:val="22"/>
        </w:rPr>
      </w:pPr>
      <w:r w:rsidRPr="00C96A81">
        <w:rPr>
          <w:rFonts w:cstheme="minorHAnsi"/>
          <w:color w:val="000000"/>
          <w:kern w:val="0"/>
          <w:szCs w:val="22"/>
        </w:rPr>
        <w:t>1 November 2024 for new model vehicles; and</w:t>
      </w:r>
    </w:p>
    <w:p w14:paraId="725A70E5" w14:textId="77777777" w:rsidR="009B12E0" w:rsidRPr="00C96A81" w:rsidRDefault="009B12E0" w:rsidP="00CB0804">
      <w:pPr>
        <w:numPr>
          <w:ilvl w:val="0"/>
          <w:numId w:val="17"/>
        </w:numPr>
        <w:tabs>
          <w:tab w:val="left" w:pos="1290"/>
        </w:tabs>
        <w:autoSpaceDE w:val="0"/>
        <w:autoSpaceDN w:val="0"/>
        <w:adjustRightInd w:val="0"/>
        <w:spacing w:before="0" w:after="113" w:line="280" w:lineRule="atLeast"/>
        <w:contextualSpacing/>
        <w:textAlignment w:val="center"/>
        <w:rPr>
          <w:rFonts w:cstheme="minorHAnsi"/>
          <w:color w:val="000000"/>
          <w:kern w:val="0"/>
          <w:szCs w:val="22"/>
        </w:rPr>
      </w:pPr>
      <w:r w:rsidRPr="00C96A81">
        <w:rPr>
          <w:rFonts w:cstheme="minorHAnsi"/>
          <w:color w:val="000000"/>
          <w:kern w:val="0"/>
          <w:szCs w:val="22"/>
        </w:rPr>
        <w:t xml:space="preserve">1 November 2026 for all new vehicles. </w:t>
      </w:r>
    </w:p>
    <w:p w14:paraId="12A9E8AC" w14:textId="77777777" w:rsidR="009B12E0" w:rsidRDefault="001432AE" w:rsidP="00307EBF">
      <w:r w:rsidRPr="001432AE">
        <w:t xml:space="preserve">In terms of the impact of the recommended option, the costs to business for the necessary changes to vehicles would normally be passed on to consumers, while the benefits would flow to the community and the consumers or their families that are directly involved in crashes. </w:t>
      </w:r>
    </w:p>
    <w:p w14:paraId="1B4FBC1E" w14:textId="77777777" w:rsidR="009B12E0" w:rsidRDefault="009B12E0" w:rsidP="00307EBF"/>
    <w:p w14:paraId="5CF09620" w14:textId="77777777" w:rsidR="00BB3AAC" w:rsidRPr="009B12E0" w:rsidRDefault="00BB3AAC" w:rsidP="00307EBF">
      <w:r>
        <w:br w:type="page"/>
      </w:r>
    </w:p>
    <w:p w14:paraId="14BC318E" w14:textId="77777777" w:rsidR="005F794B" w:rsidRDefault="00134ED8" w:rsidP="0001430B">
      <w:pPr>
        <w:pStyle w:val="AppendixHeading1"/>
      </w:pPr>
      <w:bookmarkStart w:id="56" w:name="_Toc100326816"/>
      <w:r>
        <w:lastRenderedPageBreak/>
        <w:t>References</w:t>
      </w:r>
      <w:bookmarkEnd w:id="56"/>
    </w:p>
    <w:p w14:paraId="5CE97CA2" w14:textId="7A1C4965" w:rsidR="00325F77" w:rsidRPr="00596709" w:rsidRDefault="00583199"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ABS (</w:t>
      </w:r>
      <w:r w:rsidR="003F6F0F" w:rsidRPr="00596709">
        <w:rPr>
          <w:rFonts w:asciiTheme="minorHAnsi" w:hAnsiTheme="minorHAnsi" w:cstheme="minorHAnsi"/>
          <w:sz w:val="20"/>
        </w:rPr>
        <w:t>Australian Bureau of Statistics) (2020</w:t>
      </w:r>
      <w:r w:rsidR="002A0A2D" w:rsidRPr="00596709">
        <w:rPr>
          <w:rFonts w:asciiTheme="minorHAnsi" w:hAnsiTheme="minorHAnsi" w:cstheme="minorHAnsi"/>
          <w:sz w:val="20"/>
        </w:rPr>
        <w:t>a</w:t>
      </w:r>
      <w:r w:rsidR="003F6F0F" w:rsidRPr="00596709">
        <w:rPr>
          <w:rFonts w:asciiTheme="minorHAnsi" w:hAnsiTheme="minorHAnsi" w:cstheme="minorHAnsi"/>
          <w:sz w:val="20"/>
        </w:rPr>
        <w:t xml:space="preserve">). </w:t>
      </w:r>
      <w:r w:rsidR="003F6F0F" w:rsidRPr="00596709">
        <w:rPr>
          <w:rFonts w:asciiTheme="minorHAnsi" w:hAnsiTheme="minorHAnsi" w:cstheme="minorHAnsi"/>
          <w:i/>
          <w:sz w:val="20"/>
        </w:rPr>
        <w:t>Motor Vehicle Census, Australia, 2019</w:t>
      </w:r>
      <w:r w:rsidR="003F6F0F" w:rsidRPr="00596709">
        <w:rPr>
          <w:rFonts w:asciiTheme="minorHAnsi" w:hAnsiTheme="minorHAnsi" w:cstheme="minorHAnsi"/>
          <w:sz w:val="20"/>
        </w:rPr>
        <w:t xml:space="preserve">. </w:t>
      </w:r>
      <w:r w:rsidR="00325F77" w:rsidRPr="00DF50AE">
        <w:rPr>
          <w:rFonts w:asciiTheme="minorHAnsi" w:hAnsiTheme="minorHAnsi" w:cstheme="minorHAnsi"/>
          <w:sz w:val="20"/>
        </w:rPr>
        <w:t xml:space="preserve">ABS, accessed </w:t>
      </w:r>
      <w:r w:rsidR="003F6F0F" w:rsidRPr="00596709">
        <w:rPr>
          <w:rFonts w:asciiTheme="minorHAnsi" w:hAnsiTheme="minorHAnsi" w:cstheme="minorHAnsi"/>
          <w:sz w:val="20"/>
        </w:rPr>
        <w:t xml:space="preserve">May 2021 </w:t>
      </w:r>
      <w:proofErr w:type="gramStart"/>
      <w:r w:rsidR="00325F77" w:rsidRPr="00596709">
        <w:rPr>
          <w:rFonts w:asciiTheme="minorHAnsi" w:hAnsiTheme="minorHAnsi" w:cstheme="minorHAnsi"/>
          <w:sz w:val="20"/>
        </w:rPr>
        <w:t xml:space="preserve">- </w:t>
      </w:r>
      <w:r w:rsidR="003F6F0F" w:rsidRPr="00596709">
        <w:rPr>
          <w:rFonts w:asciiTheme="minorHAnsi" w:hAnsiTheme="minorHAnsi" w:cstheme="minorHAnsi"/>
          <w:sz w:val="20"/>
        </w:rPr>
        <w:t xml:space="preserve"> https</w:t>
      </w:r>
      <w:proofErr w:type="gramEnd"/>
      <w:r w:rsidR="003F6F0F" w:rsidRPr="00596709">
        <w:rPr>
          <w:rFonts w:asciiTheme="minorHAnsi" w:hAnsiTheme="minorHAnsi" w:cstheme="minorHAnsi"/>
          <w:sz w:val="20"/>
        </w:rPr>
        <w:t>://www.abs.gov.au/statistics/industry/tourism-and-transport/motor-vehicle-census-australia/31-jan-2020</w:t>
      </w:r>
      <w:r w:rsidR="00F3086A" w:rsidRPr="00596709">
        <w:rPr>
          <w:rFonts w:asciiTheme="minorHAnsi" w:hAnsiTheme="minorHAnsi" w:cstheme="minorHAnsi"/>
          <w:sz w:val="20"/>
        </w:rPr>
        <w:t>/</w:t>
      </w:r>
    </w:p>
    <w:p w14:paraId="74AECB0B" w14:textId="0A6CE07F" w:rsidR="003F6F0F" w:rsidRPr="00596709" w:rsidRDefault="00583199"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ABS (</w:t>
      </w:r>
      <w:r w:rsidR="003F6F0F" w:rsidRPr="00596709">
        <w:rPr>
          <w:rFonts w:asciiTheme="minorHAnsi" w:hAnsiTheme="minorHAnsi" w:cstheme="minorHAnsi"/>
          <w:sz w:val="20"/>
        </w:rPr>
        <w:t>Australian Bureau of Statistics) (202</w:t>
      </w:r>
      <w:r w:rsidR="002A0A2D" w:rsidRPr="00596709">
        <w:rPr>
          <w:rFonts w:asciiTheme="minorHAnsi" w:hAnsiTheme="minorHAnsi" w:cstheme="minorHAnsi"/>
          <w:sz w:val="20"/>
        </w:rPr>
        <w:t>0b</w:t>
      </w:r>
      <w:r w:rsidR="003F6F0F" w:rsidRPr="00596709">
        <w:rPr>
          <w:rFonts w:asciiTheme="minorHAnsi" w:hAnsiTheme="minorHAnsi" w:cstheme="minorHAnsi"/>
          <w:sz w:val="20"/>
        </w:rPr>
        <w:t xml:space="preserve">). </w:t>
      </w:r>
      <w:r w:rsidR="003F6F0F" w:rsidRPr="00596709">
        <w:rPr>
          <w:rFonts w:asciiTheme="minorHAnsi" w:hAnsiTheme="minorHAnsi" w:cstheme="minorHAnsi"/>
          <w:i/>
          <w:sz w:val="20"/>
        </w:rPr>
        <w:t xml:space="preserve">Survey of Motor Vehicle Use, Australia, </w:t>
      </w:r>
      <w:proofErr w:type="gramStart"/>
      <w:r w:rsidR="003F6F0F" w:rsidRPr="00596709">
        <w:rPr>
          <w:rFonts w:asciiTheme="minorHAnsi" w:hAnsiTheme="minorHAnsi" w:cstheme="minorHAnsi"/>
          <w:i/>
          <w:sz w:val="20"/>
        </w:rPr>
        <w:t>12</w:t>
      </w:r>
      <w:proofErr w:type="gramEnd"/>
      <w:r w:rsidR="003F6F0F" w:rsidRPr="00596709">
        <w:rPr>
          <w:rFonts w:asciiTheme="minorHAnsi" w:hAnsiTheme="minorHAnsi" w:cstheme="minorHAnsi"/>
          <w:i/>
          <w:sz w:val="20"/>
        </w:rPr>
        <w:t xml:space="preserve"> months ended 30 June 2020</w:t>
      </w:r>
      <w:r w:rsidR="003F6F0F" w:rsidRPr="00596709">
        <w:rPr>
          <w:rFonts w:asciiTheme="minorHAnsi" w:hAnsiTheme="minorHAnsi" w:cstheme="minorHAnsi"/>
          <w:sz w:val="20"/>
        </w:rPr>
        <w:t xml:space="preserve">. </w:t>
      </w:r>
      <w:r w:rsidR="00325F77" w:rsidRPr="00596709">
        <w:rPr>
          <w:rFonts w:asciiTheme="minorHAnsi" w:hAnsiTheme="minorHAnsi" w:cstheme="minorHAnsi"/>
          <w:sz w:val="20"/>
        </w:rPr>
        <w:t>ABS, accessed</w:t>
      </w:r>
      <w:r w:rsidR="003F6F0F" w:rsidRPr="00596709">
        <w:rPr>
          <w:rFonts w:asciiTheme="minorHAnsi" w:hAnsiTheme="minorHAnsi" w:cstheme="minorHAnsi"/>
          <w:sz w:val="20"/>
        </w:rPr>
        <w:t xml:space="preserve"> May 2021 </w:t>
      </w:r>
      <w:r w:rsidR="00325F77" w:rsidRPr="00596709">
        <w:rPr>
          <w:rFonts w:asciiTheme="minorHAnsi" w:hAnsiTheme="minorHAnsi" w:cstheme="minorHAnsi"/>
          <w:sz w:val="20"/>
        </w:rPr>
        <w:t xml:space="preserve">- </w:t>
      </w:r>
      <w:r w:rsidR="003F6F0F" w:rsidRPr="00596709">
        <w:rPr>
          <w:rFonts w:asciiTheme="minorHAnsi" w:hAnsiTheme="minorHAnsi" w:cstheme="minorHAnsi"/>
          <w:sz w:val="20"/>
        </w:rPr>
        <w:t>https://www.abs.gov.au/statistics/industry/tourism-and-transport/survey-motor-vehicle-use-australia/12-months-ended-30-june-2020</w:t>
      </w:r>
      <w:r w:rsidR="00F3086A" w:rsidRPr="00596709">
        <w:rPr>
          <w:rFonts w:asciiTheme="minorHAnsi" w:hAnsiTheme="minorHAnsi" w:cstheme="minorHAnsi"/>
          <w:sz w:val="20"/>
        </w:rPr>
        <w:t>/</w:t>
      </w:r>
    </w:p>
    <w:p w14:paraId="16AB6E45" w14:textId="75895FDA" w:rsidR="005D1D0D" w:rsidRPr="00596709" w:rsidRDefault="00583199"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AIHW (</w:t>
      </w:r>
      <w:r w:rsidR="00430D9F" w:rsidRPr="00596709">
        <w:rPr>
          <w:rFonts w:asciiTheme="minorHAnsi" w:hAnsiTheme="minorHAnsi" w:cstheme="minorHAnsi"/>
          <w:sz w:val="20"/>
        </w:rPr>
        <w:t>Australian Insti</w:t>
      </w:r>
      <w:r w:rsidRPr="00596709">
        <w:rPr>
          <w:rFonts w:asciiTheme="minorHAnsi" w:hAnsiTheme="minorHAnsi" w:cstheme="minorHAnsi"/>
          <w:sz w:val="20"/>
        </w:rPr>
        <w:t>tute of Health and Welfare</w:t>
      </w:r>
      <w:r w:rsidR="006E4628" w:rsidRPr="00596709">
        <w:rPr>
          <w:rFonts w:asciiTheme="minorHAnsi" w:hAnsiTheme="minorHAnsi" w:cstheme="minorHAnsi"/>
          <w:sz w:val="20"/>
        </w:rPr>
        <w:t>)</w:t>
      </w:r>
      <w:r w:rsidR="00430D9F" w:rsidRPr="00596709">
        <w:rPr>
          <w:rFonts w:asciiTheme="minorHAnsi" w:hAnsiTheme="minorHAnsi" w:cstheme="minorHAnsi"/>
          <w:sz w:val="20"/>
        </w:rPr>
        <w:t xml:space="preserve"> (2018). </w:t>
      </w:r>
      <w:r w:rsidR="00430D9F" w:rsidRPr="00596709">
        <w:rPr>
          <w:rFonts w:asciiTheme="minorHAnsi" w:hAnsiTheme="minorHAnsi" w:cstheme="minorHAnsi"/>
          <w:i/>
          <w:sz w:val="20"/>
        </w:rPr>
        <w:t>Hospitalised Injury due to land transport crashes</w:t>
      </w:r>
      <w:r w:rsidR="00430D9F" w:rsidRPr="00596709">
        <w:rPr>
          <w:rFonts w:asciiTheme="minorHAnsi" w:hAnsiTheme="minorHAnsi" w:cstheme="minorHAnsi"/>
          <w:sz w:val="20"/>
        </w:rPr>
        <w:t xml:space="preserve">. Cat. No. INJCAT 195. Injury research and statistics series no. 115. </w:t>
      </w:r>
      <w:r w:rsidR="005D1D0D" w:rsidRPr="00596709">
        <w:rPr>
          <w:rFonts w:asciiTheme="minorHAnsi" w:hAnsiTheme="minorHAnsi" w:cstheme="minorHAnsi"/>
          <w:sz w:val="20"/>
        </w:rPr>
        <w:t>AIHW, accessed - https://www.aihw.gov.au/reports/injury/hospitalised-injury-due-to-land-transport-crashes/contents/table-of-contents</w:t>
      </w:r>
    </w:p>
    <w:p w14:paraId="4AE81804" w14:textId="1F3C00A1" w:rsidR="0089525B" w:rsidRDefault="0089525B" w:rsidP="00DF50AE">
      <w:pPr>
        <w:pStyle w:val="references"/>
        <w:ind w:left="360" w:firstLine="0"/>
        <w:rPr>
          <w:rFonts w:asciiTheme="minorHAnsi" w:hAnsiTheme="minorHAnsi" w:cstheme="minorHAnsi"/>
          <w:sz w:val="20"/>
        </w:rPr>
      </w:pPr>
      <w:r w:rsidRPr="00FE6CF4">
        <w:rPr>
          <w:rFonts w:asciiTheme="minorHAnsi" w:hAnsiTheme="minorHAnsi" w:cstheme="minorHAnsi"/>
          <w:sz w:val="20"/>
        </w:rPr>
        <w:t xml:space="preserve">ANCAP (Australasian New Car Assessment Program) (2020). </w:t>
      </w:r>
      <w:r w:rsidRPr="00FE6CF4">
        <w:rPr>
          <w:rFonts w:asciiTheme="minorHAnsi" w:hAnsiTheme="minorHAnsi" w:cstheme="minorHAnsi"/>
          <w:i/>
          <w:sz w:val="20"/>
        </w:rPr>
        <w:t>Lane Support System Fact Sheet.</w:t>
      </w:r>
      <w:r w:rsidRPr="00FE6CF4">
        <w:rPr>
          <w:rFonts w:asciiTheme="minorHAnsi" w:hAnsiTheme="minorHAnsi" w:cstheme="minorHAnsi"/>
          <w:sz w:val="20"/>
        </w:rPr>
        <w:t xml:space="preserve"> ANCAP, accessed August 2021 - </w:t>
      </w:r>
      <w:r w:rsidR="004C2077" w:rsidRPr="004C2077">
        <w:rPr>
          <w:rFonts w:asciiTheme="minorHAnsi" w:hAnsiTheme="minorHAnsi" w:cstheme="minorHAnsi"/>
          <w:sz w:val="20"/>
        </w:rPr>
        <w:t>https://www.ancap.com.au/rewrite?vehicle_type=light_car&amp;page=1&amp;field=manufacturer_and_model&amp;direction=asc&amp;is_current_model</w:t>
      </w:r>
    </w:p>
    <w:p w14:paraId="51BE8EB2" w14:textId="7449CD6A" w:rsidR="004C2077" w:rsidRPr="00FE6CF4" w:rsidRDefault="004C2077" w:rsidP="00DF50AE">
      <w:pPr>
        <w:pStyle w:val="references"/>
        <w:ind w:left="360" w:firstLine="0"/>
        <w:rPr>
          <w:rFonts w:asciiTheme="minorHAnsi" w:hAnsiTheme="minorHAnsi" w:cstheme="minorHAnsi"/>
          <w:sz w:val="20"/>
        </w:rPr>
      </w:pPr>
      <w:r w:rsidRPr="00FE6CF4">
        <w:rPr>
          <w:rFonts w:asciiTheme="minorHAnsi" w:hAnsiTheme="minorHAnsi" w:cstheme="minorHAnsi"/>
          <w:sz w:val="20"/>
        </w:rPr>
        <w:t>ANCAP (Australasian New Car Assessment Program)</w:t>
      </w:r>
      <w:r>
        <w:rPr>
          <w:rFonts w:asciiTheme="minorHAnsi" w:hAnsiTheme="minorHAnsi" w:cstheme="minorHAnsi"/>
          <w:sz w:val="20"/>
        </w:rPr>
        <w:t xml:space="preserve"> (2021). Let’s re-write the ending. ANCAP, accessed November 2021 - </w:t>
      </w:r>
      <w:r w:rsidRPr="004C2077">
        <w:rPr>
          <w:rFonts w:asciiTheme="minorHAnsi" w:hAnsiTheme="minorHAnsi" w:cstheme="minorHAnsi"/>
          <w:sz w:val="20"/>
        </w:rPr>
        <w:t>https://www.ancap.com.au/rewrite?safety_rating=0%2C1%2C2%2C3%2C4%2C5&amp;page=1&amp;field=manufacturer_and_model&amp;direction=asc&amp;is_current_model</w:t>
      </w:r>
    </w:p>
    <w:p w14:paraId="509BF1E3" w14:textId="34D09EA2" w:rsidR="00A62603" w:rsidRPr="00DD5E11" w:rsidRDefault="00A62603" w:rsidP="00DF50AE">
      <w:pPr>
        <w:pStyle w:val="references"/>
        <w:ind w:left="360" w:firstLine="0"/>
        <w:rPr>
          <w:rFonts w:asciiTheme="minorHAnsi" w:hAnsiTheme="minorHAnsi" w:cstheme="minorHAnsi"/>
          <w:sz w:val="20"/>
          <w:highlight w:val="yellow"/>
        </w:rPr>
      </w:pPr>
      <w:r w:rsidRPr="00DD5E11">
        <w:rPr>
          <w:rFonts w:asciiTheme="minorHAnsi" w:hAnsiTheme="minorHAnsi" w:cstheme="minorHAnsi"/>
          <w:sz w:val="20"/>
        </w:rPr>
        <w:t xml:space="preserve">BIC (Bus Industry Council) (2017). </w:t>
      </w:r>
      <w:r w:rsidRPr="00DD5E11">
        <w:rPr>
          <w:rFonts w:asciiTheme="minorHAnsi" w:hAnsiTheme="minorHAnsi" w:cstheme="minorHAnsi"/>
          <w:i/>
          <w:sz w:val="20"/>
        </w:rPr>
        <w:t>Bus Industry Council’s National Technical Suppliers Summit 2017</w:t>
      </w:r>
      <w:r w:rsidR="00DD5E11" w:rsidRPr="00DD5E11">
        <w:rPr>
          <w:rFonts w:asciiTheme="minorHAnsi" w:hAnsiTheme="minorHAnsi" w:cstheme="minorHAnsi"/>
          <w:sz w:val="20"/>
        </w:rPr>
        <w:t>, accessed November 2019 - https://movingpeople.com.au/category/industry-events-centre/past-bic-national-summits-and-bic-national-conferences/</w:t>
      </w:r>
    </w:p>
    <w:p w14:paraId="11A389F0" w14:textId="2E0FB878" w:rsidR="00583199" w:rsidRPr="00596709" w:rsidRDefault="00583199"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BITRE (Bureau of Infrastructure, Transport and Regional Economics</w:t>
      </w:r>
      <w:r w:rsidR="006E4628" w:rsidRPr="00596709">
        <w:rPr>
          <w:rFonts w:asciiTheme="minorHAnsi" w:hAnsiTheme="minorHAnsi" w:cstheme="minorHAnsi"/>
          <w:sz w:val="20"/>
        </w:rPr>
        <w:t>)</w:t>
      </w:r>
      <w:r w:rsidRPr="00596709">
        <w:rPr>
          <w:rFonts w:asciiTheme="minorHAnsi" w:hAnsiTheme="minorHAnsi" w:cstheme="minorHAnsi"/>
          <w:sz w:val="20"/>
        </w:rPr>
        <w:t xml:space="preserve"> (2014). </w:t>
      </w:r>
      <w:r w:rsidRPr="00596709">
        <w:rPr>
          <w:rFonts w:asciiTheme="minorHAnsi" w:hAnsiTheme="minorHAnsi" w:cstheme="minorHAnsi"/>
          <w:i/>
          <w:sz w:val="20"/>
        </w:rPr>
        <w:t>Impact of road trauma and measures to improve outcomes</w:t>
      </w:r>
      <w:r w:rsidRPr="00596709">
        <w:rPr>
          <w:rFonts w:asciiTheme="minorHAnsi" w:hAnsiTheme="minorHAnsi" w:cstheme="minorHAnsi"/>
          <w:sz w:val="20"/>
        </w:rPr>
        <w:t>, Report 140, Canberra, Australia.</w:t>
      </w:r>
    </w:p>
    <w:p w14:paraId="44E6315A" w14:textId="451CC1A5" w:rsidR="00583199" w:rsidRPr="00596709" w:rsidRDefault="00583199"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BITRE (Bureau of Infrastructure, Transport and Regional Economics) (2019</w:t>
      </w:r>
      <w:r w:rsidR="00BB4565" w:rsidRPr="00596709">
        <w:rPr>
          <w:rFonts w:asciiTheme="minorHAnsi" w:hAnsiTheme="minorHAnsi" w:cstheme="minorHAnsi"/>
          <w:sz w:val="20"/>
        </w:rPr>
        <w:t>a</w:t>
      </w:r>
      <w:r w:rsidRPr="00596709">
        <w:rPr>
          <w:rFonts w:asciiTheme="minorHAnsi" w:hAnsiTheme="minorHAnsi" w:cstheme="minorHAnsi"/>
          <w:sz w:val="20"/>
        </w:rPr>
        <w:t>)</w:t>
      </w:r>
      <w:r w:rsidR="00B4462B" w:rsidRPr="00596709">
        <w:rPr>
          <w:rFonts w:asciiTheme="minorHAnsi" w:hAnsiTheme="minorHAnsi" w:cstheme="minorHAnsi"/>
          <w:sz w:val="20"/>
        </w:rPr>
        <w:t>.</w:t>
      </w:r>
      <w:r w:rsidRPr="00596709">
        <w:rPr>
          <w:rFonts w:asciiTheme="minorHAnsi" w:hAnsiTheme="minorHAnsi" w:cstheme="minorHAnsi"/>
          <w:sz w:val="20"/>
        </w:rPr>
        <w:t xml:space="preserve"> </w:t>
      </w:r>
      <w:r w:rsidRPr="00596709">
        <w:rPr>
          <w:rFonts w:asciiTheme="minorHAnsi" w:hAnsiTheme="minorHAnsi" w:cstheme="minorHAnsi"/>
          <w:i/>
          <w:sz w:val="20"/>
        </w:rPr>
        <w:t>Australian aggregate freight forecasts – 2019 update</w:t>
      </w:r>
      <w:r w:rsidRPr="00596709">
        <w:rPr>
          <w:rFonts w:asciiTheme="minorHAnsi" w:hAnsiTheme="minorHAnsi" w:cstheme="minorHAnsi"/>
          <w:sz w:val="20"/>
        </w:rPr>
        <w:t>, Research Report 152</w:t>
      </w:r>
      <w:r w:rsidR="00B4462B" w:rsidRPr="00596709">
        <w:rPr>
          <w:rFonts w:asciiTheme="minorHAnsi" w:hAnsiTheme="minorHAnsi" w:cstheme="minorHAnsi"/>
          <w:sz w:val="20"/>
        </w:rPr>
        <w:t>. BITRE, accessed - https://www.bitre.gov.au/publications/2019/australian_aggregate_freight_forecasts_2019</w:t>
      </w:r>
    </w:p>
    <w:p w14:paraId="498A8CB3" w14:textId="4C70D9AC" w:rsidR="00B4462B" w:rsidRPr="00DF50AE" w:rsidRDefault="00583199" w:rsidP="00DF50AE">
      <w:pPr>
        <w:pStyle w:val="references"/>
        <w:ind w:left="360" w:firstLine="0"/>
        <w:rPr>
          <w:rFonts w:asciiTheme="minorHAnsi" w:hAnsiTheme="minorHAnsi" w:cstheme="minorHAnsi"/>
          <w:sz w:val="20"/>
        </w:rPr>
      </w:pPr>
      <w:r w:rsidRPr="00DF50AE">
        <w:rPr>
          <w:rFonts w:asciiTheme="minorHAnsi" w:hAnsiTheme="minorHAnsi" w:cstheme="minorHAnsi"/>
          <w:sz w:val="20"/>
        </w:rPr>
        <w:t>BITRE (Bureau of Infrastructure, Transport and Regional Economics)</w:t>
      </w:r>
      <w:r w:rsidR="00B4462B" w:rsidRPr="00DF50AE">
        <w:rPr>
          <w:rFonts w:asciiTheme="minorHAnsi" w:hAnsiTheme="minorHAnsi" w:cstheme="minorHAnsi"/>
          <w:sz w:val="20"/>
        </w:rPr>
        <w:t xml:space="preserve"> (2019a).</w:t>
      </w:r>
      <w:r w:rsidRPr="00DF50AE">
        <w:rPr>
          <w:rFonts w:asciiTheme="minorHAnsi" w:hAnsiTheme="minorHAnsi" w:cstheme="minorHAnsi"/>
          <w:sz w:val="20"/>
        </w:rPr>
        <w:t xml:space="preserve"> </w:t>
      </w:r>
      <w:r w:rsidRPr="00DF50AE">
        <w:rPr>
          <w:rFonts w:asciiTheme="minorHAnsi" w:hAnsiTheme="minorHAnsi" w:cstheme="minorHAnsi"/>
          <w:i/>
          <w:sz w:val="20"/>
        </w:rPr>
        <w:t>Fatal heavy vehicle crashes Australia quarterly bulletin, Jan-Mar 2019</w:t>
      </w:r>
      <w:r w:rsidR="00B4462B" w:rsidRPr="00DF50AE">
        <w:rPr>
          <w:rFonts w:asciiTheme="minorHAnsi" w:hAnsiTheme="minorHAnsi" w:cstheme="minorHAnsi"/>
          <w:i/>
          <w:sz w:val="20"/>
        </w:rPr>
        <w:t xml:space="preserve"> </w:t>
      </w:r>
      <w:r w:rsidR="00B4462B" w:rsidRPr="00DF50AE">
        <w:rPr>
          <w:rFonts w:asciiTheme="minorHAnsi" w:hAnsiTheme="minorHAnsi" w:cstheme="minorHAnsi"/>
          <w:sz w:val="20"/>
        </w:rPr>
        <w:t>[data set]. BITRE, accessed</w:t>
      </w:r>
      <w:r w:rsidR="00DF50AE" w:rsidRPr="00DF50AE">
        <w:rPr>
          <w:rFonts w:asciiTheme="minorHAnsi" w:hAnsiTheme="minorHAnsi" w:cstheme="minorHAnsi"/>
          <w:sz w:val="20"/>
        </w:rPr>
        <w:t xml:space="preserve"> - </w:t>
      </w:r>
      <w:r w:rsidR="00B4462B" w:rsidRPr="00DF50AE">
        <w:rPr>
          <w:rFonts w:asciiTheme="minorHAnsi" w:hAnsiTheme="minorHAnsi" w:cstheme="minorHAnsi"/>
          <w:sz w:val="20"/>
        </w:rPr>
        <w:t xml:space="preserve">https://www.bitre.gov.au/publications/ongoing/fhvc/index </w:t>
      </w:r>
    </w:p>
    <w:p w14:paraId="765490F5" w14:textId="189C919A" w:rsidR="00583199" w:rsidRPr="00596709" w:rsidRDefault="00583199"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 xml:space="preserve">BITRE (Bureau of Infrastructure, Transport and Regional Economics) (2019b), </w:t>
      </w:r>
      <w:r w:rsidRPr="00596709">
        <w:rPr>
          <w:rFonts w:asciiTheme="minorHAnsi" w:hAnsiTheme="minorHAnsi" w:cstheme="minorHAnsi"/>
          <w:i/>
          <w:sz w:val="20"/>
        </w:rPr>
        <w:t>Hospitalised Injury</w:t>
      </w:r>
      <w:r w:rsidR="00A96685" w:rsidRPr="00596709">
        <w:rPr>
          <w:rFonts w:asciiTheme="minorHAnsi" w:hAnsiTheme="minorHAnsi" w:cstheme="minorHAnsi"/>
          <w:sz w:val="20"/>
        </w:rPr>
        <w:t>.</w:t>
      </w:r>
      <w:r w:rsidRPr="00596709">
        <w:rPr>
          <w:rFonts w:asciiTheme="minorHAnsi" w:hAnsiTheme="minorHAnsi" w:cstheme="minorHAnsi"/>
          <w:sz w:val="20"/>
        </w:rPr>
        <w:t xml:space="preserve"> Release</w:t>
      </w:r>
      <w:r w:rsidR="00A96685" w:rsidRPr="00596709">
        <w:rPr>
          <w:rFonts w:asciiTheme="minorHAnsi" w:hAnsiTheme="minorHAnsi" w:cstheme="minorHAnsi"/>
          <w:sz w:val="20"/>
        </w:rPr>
        <w:t xml:space="preserve">d </w:t>
      </w:r>
      <w:r w:rsidRPr="00596709">
        <w:rPr>
          <w:rFonts w:asciiTheme="minorHAnsi" w:hAnsiTheme="minorHAnsi" w:cstheme="minorHAnsi"/>
          <w:sz w:val="20"/>
        </w:rPr>
        <w:t>20 August 2021</w:t>
      </w:r>
      <w:r w:rsidR="00A96685" w:rsidRPr="00596709">
        <w:rPr>
          <w:rFonts w:asciiTheme="minorHAnsi" w:hAnsiTheme="minorHAnsi" w:cstheme="minorHAnsi"/>
          <w:sz w:val="20"/>
        </w:rPr>
        <w:t xml:space="preserve"> [data set]</w:t>
      </w:r>
      <w:r w:rsidRPr="00596709">
        <w:rPr>
          <w:rFonts w:asciiTheme="minorHAnsi" w:hAnsiTheme="minorHAnsi" w:cstheme="minorHAnsi"/>
          <w:sz w:val="20"/>
        </w:rPr>
        <w:t xml:space="preserve">. </w:t>
      </w:r>
      <w:r w:rsidR="00A96685" w:rsidRPr="00596709">
        <w:rPr>
          <w:rFonts w:asciiTheme="minorHAnsi" w:hAnsiTheme="minorHAnsi" w:cstheme="minorHAnsi"/>
          <w:sz w:val="20"/>
        </w:rPr>
        <w:t>BITRE, accessed</w:t>
      </w:r>
      <w:r w:rsidRPr="00596709">
        <w:rPr>
          <w:rFonts w:asciiTheme="minorHAnsi" w:hAnsiTheme="minorHAnsi" w:cstheme="minorHAnsi"/>
          <w:sz w:val="20"/>
        </w:rPr>
        <w:t xml:space="preserve"> September 2021</w:t>
      </w:r>
      <w:r w:rsidR="00A96685" w:rsidRPr="00596709">
        <w:rPr>
          <w:rFonts w:asciiTheme="minorHAnsi" w:hAnsiTheme="minorHAnsi" w:cstheme="minorHAnsi"/>
          <w:sz w:val="20"/>
        </w:rPr>
        <w:t xml:space="preserve"> -</w:t>
      </w:r>
      <w:r w:rsidRPr="00596709">
        <w:rPr>
          <w:rFonts w:asciiTheme="minorHAnsi" w:hAnsiTheme="minorHAnsi" w:cstheme="minorHAnsi"/>
          <w:sz w:val="20"/>
        </w:rPr>
        <w:t xml:space="preserve"> https://www.bitre.gov.au/publications/ongoing/hospitalised-injury.aspx</w:t>
      </w:r>
    </w:p>
    <w:p w14:paraId="6CA82CF8" w14:textId="17E6D048" w:rsidR="00583199" w:rsidRPr="00596709" w:rsidRDefault="00583199"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BITRE (Bureau of Infrastructure, Transport and Regional Economics</w:t>
      </w:r>
      <w:r w:rsidR="0031620E" w:rsidRPr="00DD5E11">
        <w:rPr>
          <w:rFonts w:asciiTheme="minorHAnsi" w:hAnsiTheme="minorHAnsi" w:cstheme="minorHAnsi"/>
          <w:sz w:val="20"/>
        </w:rPr>
        <w:t>)</w:t>
      </w:r>
      <w:r w:rsidR="00A96685" w:rsidRPr="00DD5E11">
        <w:rPr>
          <w:rFonts w:asciiTheme="minorHAnsi" w:hAnsiTheme="minorHAnsi" w:cstheme="minorHAnsi"/>
          <w:sz w:val="20"/>
        </w:rPr>
        <w:t xml:space="preserve"> (2020).</w:t>
      </w:r>
      <w:r w:rsidRPr="00596709">
        <w:rPr>
          <w:rFonts w:asciiTheme="minorHAnsi" w:hAnsiTheme="minorHAnsi" w:cstheme="minorHAnsi"/>
          <w:sz w:val="20"/>
        </w:rPr>
        <w:t xml:space="preserve"> </w:t>
      </w:r>
      <w:r w:rsidRPr="00DD5E11">
        <w:rPr>
          <w:rFonts w:asciiTheme="minorHAnsi" w:hAnsiTheme="minorHAnsi" w:cstheme="minorHAnsi"/>
          <w:i/>
          <w:sz w:val="20"/>
        </w:rPr>
        <w:t>Hospitalised Injury.</w:t>
      </w:r>
      <w:r w:rsidRPr="00596709">
        <w:rPr>
          <w:rFonts w:asciiTheme="minorHAnsi" w:hAnsiTheme="minorHAnsi" w:cstheme="minorHAnsi"/>
          <w:sz w:val="20"/>
        </w:rPr>
        <w:t xml:space="preserve"> Released 1 September 2020</w:t>
      </w:r>
      <w:r w:rsidR="00A96685" w:rsidRPr="00DD5E11">
        <w:rPr>
          <w:rFonts w:asciiTheme="minorHAnsi" w:hAnsiTheme="minorHAnsi" w:cstheme="minorHAnsi"/>
          <w:sz w:val="20"/>
        </w:rPr>
        <w:t xml:space="preserve"> [data set]</w:t>
      </w:r>
      <w:r w:rsidRPr="00596709">
        <w:rPr>
          <w:rFonts w:asciiTheme="minorHAnsi" w:hAnsiTheme="minorHAnsi" w:cstheme="minorHAnsi"/>
          <w:sz w:val="20"/>
        </w:rPr>
        <w:t xml:space="preserve">. </w:t>
      </w:r>
      <w:r w:rsidR="00A96685" w:rsidRPr="00DD5E11">
        <w:rPr>
          <w:rFonts w:asciiTheme="minorHAnsi" w:hAnsiTheme="minorHAnsi" w:cstheme="minorHAnsi"/>
          <w:sz w:val="20"/>
        </w:rPr>
        <w:t>BITRE, accessed</w:t>
      </w:r>
      <w:r w:rsidRPr="00596709">
        <w:rPr>
          <w:rFonts w:asciiTheme="minorHAnsi" w:hAnsiTheme="minorHAnsi" w:cstheme="minorHAnsi"/>
          <w:sz w:val="20"/>
        </w:rPr>
        <w:t xml:space="preserve"> May 2021</w:t>
      </w:r>
      <w:r w:rsidR="00A96685" w:rsidRPr="00DD5E11">
        <w:rPr>
          <w:rFonts w:asciiTheme="minorHAnsi" w:hAnsiTheme="minorHAnsi" w:cstheme="minorHAnsi"/>
          <w:sz w:val="20"/>
        </w:rPr>
        <w:t xml:space="preserve"> - </w:t>
      </w:r>
      <w:r w:rsidRPr="00596709">
        <w:rPr>
          <w:rFonts w:asciiTheme="minorHAnsi" w:hAnsiTheme="minorHAnsi" w:cstheme="minorHAnsi"/>
          <w:sz w:val="20"/>
        </w:rPr>
        <w:t>https://www.bitre.gov.au/publications/ongoing/hospitalised-injury/</w:t>
      </w:r>
    </w:p>
    <w:p w14:paraId="32F608CC" w14:textId="7D9A31CE" w:rsidR="0031620E" w:rsidRPr="00596709" w:rsidRDefault="00DE05FD"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BITRE (</w:t>
      </w:r>
      <w:r w:rsidR="00430D9F" w:rsidRPr="00596709">
        <w:rPr>
          <w:rFonts w:asciiTheme="minorHAnsi" w:hAnsiTheme="minorHAnsi" w:cstheme="minorHAnsi"/>
          <w:sz w:val="20"/>
        </w:rPr>
        <w:t>Bureau of Infrastructure and Tra</w:t>
      </w:r>
      <w:r w:rsidRPr="00596709">
        <w:rPr>
          <w:rFonts w:asciiTheme="minorHAnsi" w:hAnsiTheme="minorHAnsi" w:cstheme="minorHAnsi"/>
          <w:sz w:val="20"/>
        </w:rPr>
        <w:t>nsport Research Economics</w:t>
      </w:r>
      <w:r w:rsidR="0031620E" w:rsidRPr="00596709">
        <w:rPr>
          <w:rFonts w:asciiTheme="minorHAnsi" w:hAnsiTheme="minorHAnsi" w:cstheme="minorHAnsi"/>
          <w:sz w:val="20"/>
        </w:rPr>
        <w:t>)</w:t>
      </w:r>
      <w:r w:rsidR="00430D9F" w:rsidRPr="00596709">
        <w:rPr>
          <w:rFonts w:asciiTheme="minorHAnsi" w:hAnsiTheme="minorHAnsi" w:cstheme="minorHAnsi"/>
          <w:sz w:val="20"/>
        </w:rPr>
        <w:t xml:space="preserve"> (2021a). </w:t>
      </w:r>
      <w:r w:rsidR="00430D9F" w:rsidRPr="00596709">
        <w:rPr>
          <w:rFonts w:asciiTheme="minorHAnsi" w:hAnsiTheme="minorHAnsi" w:cstheme="minorHAnsi"/>
          <w:i/>
          <w:sz w:val="20"/>
        </w:rPr>
        <w:t>Road trauma involving heavy vehicles 2019 crash statistical summary</w:t>
      </w:r>
      <w:r w:rsidR="00430D9F" w:rsidRPr="00596709">
        <w:rPr>
          <w:rFonts w:asciiTheme="minorHAnsi" w:hAnsiTheme="minorHAnsi" w:cstheme="minorHAnsi"/>
          <w:sz w:val="20"/>
        </w:rPr>
        <w:t xml:space="preserve">, BITRE, </w:t>
      </w:r>
      <w:r w:rsidR="0031620E" w:rsidRPr="00596709">
        <w:rPr>
          <w:rFonts w:asciiTheme="minorHAnsi" w:hAnsiTheme="minorHAnsi" w:cstheme="minorHAnsi"/>
          <w:sz w:val="20"/>
        </w:rPr>
        <w:t>accessed - https://www.bitre.gov.au/publications/ongoing/archived-road-trauma-involving-heavy-vehicles</w:t>
      </w:r>
    </w:p>
    <w:p w14:paraId="0438D2A5" w14:textId="4EAF5E72" w:rsidR="00430D9F" w:rsidRPr="00596709" w:rsidRDefault="00DE05FD"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lastRenderedPageBreak/>
        <w:t>BITRE (</w:t>
      </w:r>
      <w:r w:rsidR="00430D9F" w:rsidRPr="00596709">
        <w:rPr>
          <w:rFonts w:asciiTheme="minorHAnsi" w:hAnsiTheme="minorHAnsi" w:cstheme="minorHAnsi"/>
          <w:sz w:val="20"/>
        </w:rPr>
        <w:t>Bureau of Infrastructure and Tra</w:t>
      </w:r>
      <w:r w:rsidRPr="00596709">
        <w:rPr>
          <w:rFonts w:asciiTheme="minorHAnsi" w:hAnsiTheme="minorHAnsi" w:cstheme="minorHAnsi"/>
          <w:sz w:val="20"/>
        </w:rPr>
        <w:t>nsport Research Economics</w:t>
      </w:r>
      <w:r w:rsidR="0031620E" w:rsidRPr="00596709">
        <w:rPr>
          <w:rFonts w:asciiTheme="minorHAnsi" w:hAnsiTheme="minorHAnsi" w:cstheme="minorHAnsi"/>
          <w:sz w:val="20"/>
        </w:rPr>
        <w:t>)</w:t>
      </w:r>
      <w:r w:rsidR="00430D9F" w:rsidRPr="00596709">
        <w:rPr>
          <w:rFonts w:asciiTheme="minorHAnsi" w:hAnsiTheme="minorHAnsi" w:cstheme="minorHAnsi"/>
          <w:sz w:val="20"/>
        </w:rPr>
        <w:t xml:space="preserve"> (2021b). </w:t>
      </w:r>
      <w:r w:rsidR="00430D9F" w:rsidRPr="00596709">
        <w:rPr>
          <w:rFonts w:asciiTheme="minorHAnsi" w:hAnsiTheme="minorHAnsi" w:cstheme="minorHAnsi"/>
          <w:i/>
          <w:sz w:val="20"/>
        </w:rPr>
        <w:t>Fatal heavy vehicle crashes Australia quarterly bulletin Jan-Mar 2021</w:t>
      </w:r>
      <w:r w:rsidR="00430D9F" w:rsidRPr="00596709">
        <w:rPr>
          <w:rFonts w:asciiTheme="minorHAnsi" w:hAnsiTheme="minorHAnsi" w:cstheme="minorHAnsi"/>
          <w:sz w:val="20"/>
        </w:rPr>
        <w:t xml:space="preserve">, BITRE, </w:t>
      </w:r>
      <w:r w:rsidR="0031620E" w:rsidRPr="00596709">
        <w:rPr>
          <w:rFonts w:asciiTheme="minorHAnsi" w:hAnsiTheme="minorHAnsi" w:cstheme="minorHAnsi"/>
          <w:sz w:val="20"/>
        </w:rPr>
        <w:t>accessed - https://www.bitre.gov.au/publications/ongoing/fhvc/index</w:t>
      </w:r>
    </w:p>
    <w:p w14:paraId="3404A78F" w14:textId="070C3E50" w:rsidR="0031620E" w:rsidRPr="00596709" w:rsidRDefault="00DE05FD" w:rsidP="00DF50AE">
      <w:pPr>
        <w:pStyle w:val="references"/>
        <w:ind w:left="360" w:firstLine="0"/>
        <w:rPr>
          <w:rFonts w:asciiTheme="minorHAnsi" w:hAnsiTheme="minorHAnsi" w:cstheme="minorHAnsi"/>
          <w:sz w:val="20"/>
        </w:rPr>
      </w:pPr>
      <w:r w:rsidRPr="00FE6CF4">
        <w:rPr>
          <w:rFonts w:asciiTheme="minorHAnsi" w:hAnsiTheme="minorHAnsi" w:cstheme="minorHAnsi"/>
          <w:sz w:val="20"/>
        </w:rPr>
        <w:t>BITRE (</w:t>
      </w:r>
      <w:r w:rsidR="00430D9F" w:rsidRPr="00FE6CF4">
        <w:rPr>
          <w:rFonts w:asciiTheme="minorHAnsi" w:hAnsiTheme="minorHAnsi" w:cstheme="minorHAnsi"/>
          <w:sz w:val="20"/>
        </w:rPr>
        <w:t>Bureau of Infrastructure and Tra</w:t>
      </w:r>
      <w:r w:rsidRPr="00FE6CF4">
        <w:rPr>
          <w:rFonts w:asciiTheme="minorHAnsi" w:hAnsiTheme="minorHAnsi" w:cstheme="minorHAnsi"/>
          <w:sz w:val="20"/>
        </w:rPr>
        <w:t>nsport Research Economics</w:t>
      </w:r>
      <w:r w:rsidR="0031620E" w:rsidRPr="00FE6CF4">
        <w:rPr>
          <w:rFonts w:asciiTheme="minorHAnsi" w:hAnsiTheme="minorHAnsi" w:cstheme="minorHAnsi"/>
          <w:sz w:val="20"/>
        </w:rPr>
        <w:t>)</w:t>
      </w:r>
      <w:r w:rsidR="00430D9F" w:rsidRPr="00FE6CF4">
        <w:rPr>
          <w:rFonts w:asciiTheme="minorHAnsi" w:hAnsiTheme="minorHAnsi" w:cstheme="minorHAnsi"/>
          <w:sz w:val="20"/>
        </w:rPr>
        <w:t xml:space="preserve"> (2021c). </w:t>
      </w:r>
      <w:r w:rsidR="00430D9F" w:rsidRPr="00FE6CF4">
        <w:rPr>
          <w:rFonts w:asciiTheme="minorHAnsi" w:hAnsiTheme="minorHAnsi" w:cstheme="minorHAnsi"/>
          <w:i/>
          <w:sz w:val="20"/>
        </w:rPr>
        <w:t>Fatal heavy vehicle crashes Australia quarterly bulletin Apr-Jun 2021</w:t>
      </w:r>
      <w:r w:rsidR="00430D9F" w:rsidRPr="00FE6CF4">
        <w:rPr>
          <w:rFonts w:asciiTheme="minorHAnsi" w:hAnsiTheme="minorHAnsi" w:cstheme="minorHAnsi"/>
          <w:sz w:val="20"/>
        </w:rPr>
        <w:t xml:space="preserve">, BITRE, </w:t>
      </w:r>
      <w:r w:rsidR="0031620E" w:rsidRPr="00FE6CF4">
        <w:rPr>
          <w:rFonts w:asciiTheme="minorHAnsi" w:hAnsiTheme="minorHAnsi" w:cstheme="minorHAnsi"/>
          <w:sz w:val="20"/>
        </w:rPr>
        <w:t>accessed - https://www.bitre.gov.au/publications/ongoing/fhvc/index</w:t>
      </w:r>
    </w:p>
    <w:p w14:paraId="152F72C8" w14:textId="0A3856E1" w:rsidR="00BD6E54" w:rsidRDefault="0050105C"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 xml:space="preserve">Budd, L., &amp; Newstead, S. (2014). </w:t>
      </w:r>
      <w:r w:rsidRPr="00596709">
        <w:rPr>
          <w:rFonts w:asciiTheme="minorHAnsi" w:hAnsiTheme="minorHAnsi" w:cstheme="minorHAnsi"/>
          <w:i/>
          <w:sz w:val="20"/>
        </w:rPr>
        <w:t>Potential safety benefits of emerging crash avoidance technologies in Australasian heavy vehicles</w:t>
      </w:r>
      <w:r w:rsidRPr="00596709">
        <w:rPr>
          <w:rFonts w:asciiTheme="minorHAnsi" w:hAnsiTheme="minorHAnsi" w:cstheme="minorHAnsi"/>
          <w:sz w:val="20"/>
        </w:rPr>
        <w:t>.</w:t>
      </w:r>
      <w:r w:rsidR="0054303B" w:rsidRPr="00596709">
        <w:rPr>
          <w:rFonts w:asciiTheme="minorHAnsi" w:hAnsiTheme="minorHAnsi" w:cstheme="minorHAnsi"/>
          <w:sz w:val="20"/>
        </w:rPr>
        <w:t xml:space="preserve"> Monash University Accident Research Centre. Report No. 324. September 2014.</w:t>
      </w:r>
    </w:p>
    <w:p w14:paraId="2E69BD5F" w14:textId="7E36BF1D" w:rsidR="00583843" w:rsidRPr="00596709" w:rsidRDefault="00583843" w:rsidP="00DF50AE">
      <w:pPr>
        <w:pStyle w:val="references"/>
        <w:ind w:left="360" w:firstLine="0"/>
        <w:rPr>
          <w:rFonts w:asciiTheme="minorHAnsi" w:hAnsiTheme="minorHAnsi" w:cstheme="minorHAnsi"/>
          <w:sz w:val="20"/>
        </w:rPr>
      </w:pPr>
      <w:r>
        <w:rPr>
          <w:rFonts w:asciiTheme="minorHAnsi" w:hAnsiTheme="minorHAnsi" w:cstheme="minorHAnsi"/>
          <w:sz w:val="20"/>
        </w:rPr>
        <w:t xml:space="preserve">Budd, L., </w:t>
      </w:r>
      <w:proofErr w:type="spellStart"/>
      <w:r>
        <w:rPr>
          <w:rFonts w:asciiTheme="minorHAnsi" w:hAnsiTheme="minorHAnsi" w:cstheme="minorHAnsi"/>
          <w:sz w:val="20"/>
        </w:rPr>
        <w:t>Keall</w:t>
      </w:r>
      <w:proofErr w:type="spellEnd"/>
      <w:r>
        <w:rPr>
          <w:rFonts w:asciiTheme="minorHAnsi" w:hAnsiTheme="minorHAnsi" w:cstheme="minorHAnsi"/>
          <w:sz w:val="20"/>
        </w:rPr>
        <w:t xml:space="preserve">, M. &amp; Newstead, S. (2015). </w:t>
      </w:r>
      <w:r w:rsidRPr="00583843">
        <w:rPr>
          <w:rFonts w:asciiTheme="minorHAnsi" w:hAnsiTheme="minorHAnsi" w:cstheme="minorHAnsi"/>
          <w:i/>
          <w:sz w:val="20"/>
        </w:rPr>
        <w:t>Retrospective and prospective changes in secondary safety of the Australian and New Zealand vehicle fleets and the potential influence of new vehicle safety technologies.</w:t>
      </w:r>
      <w:r>
        <w:rPr>
          <w:rFonts w:asciiTheme="minorHAnsi" w:hAnsiTheme="minorHAnsi" w:cstheme="minorHAnsi"/>
          <w:sz w:val="20"/>
        </w:rPr>
        <w:t xml:space="preserve"> </w:t>
      </w:r>
      <w:r w:rsidRPr="00596709">
        <w:rPr>
          <w:rFonts w:asciiTheme="minorHAnsi" w:hAnsiTheme="minorHAnsi" w:cstheme="minorHAnsi"/>
          <w:sz w:val="20"/>
        </w:rPr>
        <w:t>Monash University Accident Research Centre. Report No. 32</w:t>
      </w:r>
      <w:r>
        <w:rPr>
          <w:rFonts w:asciiTheme="minorHAnsi" w:hAnsiTheme="minorHAnsi" w:cstheme="minorHAnsi"/>
          <w:sz w:val="20"/>
        </w:rPr>
        <w:t>9</w:t>
      </w:r>
      <w:r w:rsidRPr="00596709">
        <w:rPr>
          <w:rFonts w:asciiTheme="minorHAnsi" w:hAnsiTheme="minorHAnsi" w:cstheme="minorHAnsi"/>
          <w:sz w:val="20"/>
        </w:rPr>
        <w:t xml:space="preserve">. </w:t>
      </w:r>
      <w:r>
        <w:rPr>
          <w:rFonts w:asciiTheme="minorHAnsi" w:hAnsiTheme="minorHAnsi" w:cstheme="minorHAnsi"/>
          <w:sz w:val="20"/>
        </w:rPr>
        <w:t>May</w:t>
      </w:r>
      <w:r w:rsidRPr="00596709">
        <w:rPr>
          <w:rFonts w:asciiTheme="minorHAnsi" w:hAnsiTheme="minorHAnsi" w:cstheme="minorHAnsi"/>
          <w:sz w:val="20"/>
        </w:rPr>
        <w:t xml:space="preserve"> 201</w:t>
      </w:r>
      <w:r>
        <w:rPr>
          <w:rFonts w:asciiTheme="minorHAnsi" w:hAnsiTheme="minorHAnsi" w:cstheme="minorHAnsi"/>
          <w:sz w:val="20"/>
        </w:rPr>
        <w:t>5</w:t>
      </w:r>
      <w:r w:rsidRPr="00596709">
        <w:rPr>
          <w:rFonts w:asciiTheme="minorHAnsi" w:hAnsiTheme="minorHAnsi" w:cstheme="minorHAnsi"/>
          <w:sz w:val="20"/>
        </w:rPr>
        <w:t>.</w:t>
      </w:r>
    </w:p>
    <w:p w14:paraId="70B04D38" w14:textId="42BCA13A" w:rsidR="0050105C" w:rsidRPr="00596709" w:rsidRDefault="00BD6E54"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Comm</w:t>
      </w:r>
      <w:r w:rsidR="00892579" w:rsidRPr="00596709">
        <w:rPr>
          <w:rFonts w:asciiTheme="minorHAnsi" w:hAnsiTheme="minorHAnsi" w:cstheme="minorHAnsi"/>
          <w:sz w:val="20"/>
        </w:rPr>
        <w:t>onwealth of Australia (2020).</w:t>
      </w:r>
      <w:r w:rsidRPr="00596709">
        <w:rPr>
          <w:rFonts w:asciiTheme="minorHAnsi" w:hAnsiTheme="minorHAnsi" w:cstheme="minorHAnsi"/>
          <w:sz w:val="20"/>
        </w:rPr>
        <w:t xml:space="preserve"> </w:t>
      </w:r>
      <w:r w:rsidRPr="002647CB">
        <w:rPr>
          <w:rFonts w:asciiTheme="minorHAnsi" w:hAnsiTheme="minorHAnsi" w:cstheme="minorHAnsi"/>
          <w:i/>
          <w:sz w:val="20"/>
        </w:rPr>
        <w:t>Australian Government Guide to Regulatory Impact Analysis</w:t>
      </w:r>
      <w:r w:rsidR="00892579" w:rsidRPr="002647CB">
        <w:rPr>
          <w:rFonts w:asciiTheme="minorHAnsi" w:hAnsiTheme="minorHAnsi" w:cstheme="minorHAnsi"/>
          <w:i/>
          <w:sz w:val="20"/>
        </w:rPr>
        <w:t>. Second Edition</w:t>
      </w:r>
      <w:r w:rsidR="00892579" w:rsidRPr="00596709">
        <w:rPr>
          <w:rFonts w:asciiTheme="minorHAnsi" w:hAnsiTheme="minorHAnsi" w:cstheme="minorHAnsi"/>
          <w:sz w:val="20"/>
        </w:rPr>
        <w:t>. Department of the Prime Minister and Cabinet, Australian Government.</w:t>
      </w:r>
    </w:p>
    <w:p w14:paraId="368F50A9" w14:textId="68F2B4BA" w:rsidR="0050105C" w:rsidRPr="00596709" w:rsidRDefault="00583199"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DITCRD (</w:t>
      </w:r>
      <w:r w:rsidR="0050105C" w:rsidRPr="00596709">
        <w:rPr>
          <w:rFonts w:asciiTheme="minorHAnsi" w:hAnsiTheme="minorHAnsi" w:cstheme="minorHAnsi"/>
          <w:sz w:val="20"/>
        </w:rPr>
        <w:t xml:space="preserve">Department of Infrastructure, Transport, Cities and Regional Development) (2019). </w:t>
      </w:r>
      <w:r w:rsidR="0050105C" w:rsidRPr="00596709">
        <w:rPr>
          <w:rFonts w:asciiTheme="minorHAnsi" w:hAnsiTheme="minorHAnsi" w:cstheme="minorHAnsi"/>
          <w:i/>
          <w:sz w:val="20"/>
        </w:rPr>
        <w:t>Regulation Impact Statement Reducing Heavy Vehicle Rear Impact Crashes: Autonomous Emergency Braking</w:t>
      </w:r>
      <w:r w:rsidR="00F145FC" w:rsidRPr="00596709">
        <w:rPr>
          <w:rFonts w:asciiTheme="minorHAnsi" w:hAnsiTheme="minorHAnsi" w:cstheme="minorHAnsi"/>
          <w:sz w:val="20"/>
        </w:rPr>
        <w:t>.</w:t>
      </w:r>
      <w:r w:rsidR="0050105C" w:rsidRPr="00596709">
        <w:rPr>
          <w:rFonts w:asciiTheme="minorHAnsi" w:hAnsiTheme="minorHAnsi" w:cstheme="minorHAnsi"/>
          <w:sz w:val="20"/>
        </w:rPr>
        <w:t xml:space="preserve"> August 2019</w:t>
      </w:r>
      <w:r w:rsidR="00F145FC" w:rsidRPr="00596709">
        <w:rPr>
          <w:rFonts w:asciiTheme="minorHAnsi" w:hAnsiTheme="minorHAnsi" w:cstheme="minorHAnsi"/>
          <w:sz w:val="20"/>
        </w:rPr>
        <w:t>.</w:t>
      </w:r>
      <w:r w:rsidR="0050105C" w:rsidRPr="00596709">
        <w:rPr>
          <w:rFonts w:asciiTheme="minorHAnsi" w:hAnsiTheme="minorHAnsi" w:cstheme="minorHAnsi"/>
          <w:sz w:val="20"/>
        </w:rPr>
        <w:t xml:space="preserve"> </w:t>
      </w:r>
      <w:r w:rsidR="00F145FC" w:rsidRPr="00596709">
        <w:rPr>
          <w:rFonts w:asciiTheme="minorHAnsi" w:hAnsiTheme="minorHAnsi" w:cstheme="minorHAnsi"/>
          <w:sz w:val="20"/>
        </w:rPr>
        <w:t>Department of Infrastructure, Transport, Cities and Regional Development</w:t>
      </w:r>
      <w:r w:rsidR="0050105C" w:rsidRPr="00596709">
        <w:rPr>
          <w:rFonts w:asciiTheme="minorHAnsi" w:hAnsiTheme="minorHAnsi" w:cstheme="minorHAnsi"/>
          <w:sz w:val="20"/>
        </w:rPr>
        <w:t xml:space="preserve">, </w:t>
      </w:r>
      <w:r w:rsidR="00F145FC" w:rsidRPr="00596709">
        <w:rPr>
          <w:rFonts w:asciiTheme="minorHAnsi" w:hAnsiTheme="minorHAnsi" w:cstheme="minorHAnsi"/>
          <w:sz w:val="20"/>
        </w:rPr>
        <w:t>Australian Government</w:t>
      </w:r>
      <w:r w:rsidR="0050105C" w:rsidRPr="00596709">
        <w:rPr>
          <w:rFonts w:asciiTheme="minorHAnsi" w:hAnsiTheme="minorHAnsi" w:cstheme="minorHAnsi"/>
          <w:sz w:val="20"/>
        </w:rPr>
        <w:t>.</w:t>
      </w:r>
    </w:p>
    <w:p w14:paraId="4707F7A0" w14:textId="46B0F5E6" w:rsidR="00430D9F" w:rsidRPr="00596709" w:rsidRDefault="00583199"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DITRDC (</w:t>
      </w:r>
      <w:r w:rsidR="00430D9F" w:rsidRPr="00596709">
        <w:rPr>
          <w:rFonts w:asciiTheme="minorHAnsi" w:hAnsiTheme="minorHAnsi" w:cstheme="minorHAnsi"/>
          <w:sz w:val="20"/>
        </w:rPr>
        <w:t>Department of Infrastructure, Transport, Regional Devel</w:t>
      </w:r>
      <w:r w:rsidRPr="00596709">
        <w:rPr>
          <w:rFonts w:asciiTheme="minorHAnsi" w:hAnsiTheme="minorHAnsi" w:cstheme="minorHAnsi"/>
          <w:sz w:val="20"/>
        </w:rPr>
        <w:t>opment and Communications</w:t>
      </w:r>
      <w:r w:rsidR="00430D9F" w:rsidRPr="00596709">
        <w:rPr>
          <w:rFonts w:asciiTheme="minorHAnsi" w:hAnsiTheme="minorHAnsi" w:cstheme="minorHAnsi"/>
          <w:sz w:val="20"/>
        </w:rPr>
        <w:t xml:space="preserve">), (2021). </w:t>
      </w:r>
      <w:r w:rsidR="00430D9F" w:rsidRPr="00596709">
        <w:rPr>
          <w:rFonts w:asciiTheme="minorHAnsi" w:hAnsiTheme="minorHAnsi" w:cstheme="minorHAnsi"/>
          <w:i/>
          <w:sz w:val="20"/>
        </w:rPr>
        <w:t xml:space="preserve">Discussion Paper: Safer Freight Vehicles. </w:t>
      </w:r>
      <w:r w:rsidR="00430D9F" w:rsidRPr="00596709">
        <w:rPr>
          <w:rFonts w:asciiTheme="minorHAnsi" w:hAnsiTheme="minorHAnsi" w:cstheme="minorHAnsi"/>
          <w:sz w:val="20"/>
        </w:rPr>
        <w:t>April 2021. Canberra, ACT 2601, Australia.</w:t>
      </w:r>
    </w:p>
    <w:p w14:paraId="77C82E62" w14:textId="7357A73B" w:rsidR="008B23CA" w:rsidRPr="002647CB" w:rsidRDefault="006A24C4" w:rsidP="00DF50AE">
      <w:pPr>
        <w:pStyle w:val="references"/>
        <w:ind w:left="360" w:firstLine="0"/>
        <w:rPr>
          <w:rFonts w:asciiTheme="minorHAnsi" w:hAnsiTheme="minorHAnsi" w:cstheme="minorHAnsi"/>
          <w:sz w:val="20"/>
        </w:rPr>
      </w:pPr>
      <w:r w:rsidRPr="00DF50AE">
        <w:rPr>
          <w:rFonts w:asciiTheme="minorHAnsi" w:hAnsiTheme="minorHAnsi" w:cstheme="minorHAnsi"/>
          <w:sz w:val="20"/>
        </w:rPr>
        <w:t>DSG (</w:t>
      </w:r>
      <w:r w:rsidR="00430D9F" w:rsidRPr="002647CB">
        <w:rPr>
          <w:rFonts w:asciiTheme="minorHAnsi" w:hAnsiTheme="minorHAnsi" w:cstheme="minorHAnsi"/>
          <w:sz w:val="20"/>
        </w:rPr>
        <w:t>Department of State Growth</w:t>
      </w:r>
      <w:r w:rsidRPr="00DF50AE">
        <w:rPr>
          <w:rFonts w:asciiTheme="minorHAnsi" w:hAnsiTheme="minorHAnsi" w:cstheme="minorHAnsi"/>
          <w:sz w:val="20"/>
        </w:rPr>
        <w:t>)</w:t>
      </w:r>
      <w:r w:rsidR="00430D9F" w:rsidRPr="002647CB">
        <w:rPr>
          <w:rFonts w:asciiTheme="minorHAnsi" w:hAnsiTheme="minorHAnsi" w:cstheme="minorHAnsi"/>
          <w:sz w:val="20"/>
        </w:rPr>
        <w:t xml:space="preserve"> (2016). </w:t>
      </w:r>
      <w:r w:rsidR="00430D9F" w:rsidRPr="002647CB">
        <w:rPr>
          <w:rFonts w:asciiTheme="minorHAnsi" w:hAnsiTheme="minorHAnsi" w:cstheme="minorHAnsi"/>
          <w:i/>
          <w:sz w:val="20"/>
        </w:rPr>
        <w:t>Towards Zero – Tasmanian Road Safety Strategy 2017-2026.</w:t>
      </w:r>
      <w:r w:rsidR="007B6EB1" w:rsidRPr="002647CB">
        <w:rPr>
          <w:rFonts w:asciiTheme="minorHAnsi" w:hAnsiTheme="minorHAnsi" w:cstheme="minorHAnsi"/>
          <w:sz w:val="20"/>
        </w:rPr>
        <w:t xml:space="preserve"> </w:t>
      </w:r>
      <w:r w:rsidRPr="00DF50AE">
        <w:rPr>
          <w:rFonts w:asciiTheme="minorHAnsi" w:hAnsiTheme="minorHAnsi" w:cstheme="minorHAnsi"/>
          <w:sz w:val="20"/>
        </w:rPr>
        <w:t>DSG</w:t>
      </w:r>
      <w:r w:rsidR="00CF0D88" w:rsidRPr="002647CB">
        <w:rPr>
          <w:rFonts w:asciiTheme="minorHAnsi" w:hAnsiTheme="minorHAnsi" w:cstheme="minorHAnsi"/>
          <w:sz w:val="20"/>
        </w:rPr>
        <w:t xml:space="preserve">, </w:t>
      </w:r>
      <w:r w:rsidR="007B6EB1" w:rsidRPr="002647CB">
        <w:rPr>
          <w:rFonts w:asciiTheme="minorHAnsi" w:hAnsiTheme="minorHAnsi" w:cstheme="minorHAnsi"/>
          <w:sz w:val="20"/>
        </w:rPr>
        <w:t>State of Tasmania</w:t>
      </w:r>
      <w:r w:rsidR="00CF0D88" w:rsidRPr="002647CB">
        <w:rPr>
          <w:rFonts w:asciiTheme="minorHAnsi" w:hAnsiTheme="minorHAnsi" w:cstheme="minorHAnsi"/>
          <w:sz w:val="20"/>
        </w:rPr>
        <w:t>.</w:t>
      </w:r>
    </w:p>
    <w:p w14:paraId="6099CC4B" w14:textId="4F96E740" w:rsidR="006A24C4" w:rsidRPr="00DF50AE" w:rsidRDefault="007A4371" w:rsidP="00DF50AE">
      <w:pPr>
        <w:ind w:left="360"/>
        <w:rPr>
          <w:rFonts w:cstheme="minorHAnsi"/>
          <w:highlight w:val="yellow"/>
        </w:rPr>
      </w:pPr>
      <w:r w:rsidRPr="00AF43B1">
        <w:rPr>
          <w:rFonts w:cstheme="minorHAnsi"/>
        </w:rPr>
        <w:t xml:space="preserve">MUARC (Monash University Accident Research Centre) </w:t>
      </w:r>
      <w:r w:rsidR="00AF43B1" w:rsidRPr="00AF43B1">
        <w:rPr>
          <w:rFonts w:cstheme="minorHAnsi"/>
        </w:rPr>
        <w:t>(2015</w:t>
      </w:r>
      <w:r w:rsidR="00AF43B1" w:rsidRPr="00AF43B1">
        <w:rPr>
          <w:rFonts w:cstheme="minorHAnsi"/>
          <w:i/>
        </w:rPr>
        <w:t>). Contribution-of-vehicle-safety-improvement-to-road-trauma-trends</w:t>
      </w:r>
      <w:r w:rsidR="00AF43B1">
        <w:rPr>
          <w:rFonts w:cstheme="minorHAnsi"/>
        </w:rPr>
        <w:t xml:space="preserve">. Accessed October 2021 - </w:t>
      </w:r>
      <w:r w:rsidR="00AF43B1" w:rsidRPr="00AF43B1">
        <w:rPr>
          <w:rFonts w:cstheme="minorHAnsi"/>
        </w:rPr>
        <w:t>https://www.monash.edu/__data/assets/pdf_file/0019/1045216/Contribution-of-vehicle-safety-improvement-to-road-trauma-trends.pdf</w:t>
      </w:r>
    </w:p>
    <w:p w14:paraId="2F275533" w14:textId="723B09BF" w:rsidR="00430D9F" w:rsidRPr="00DF50AE" w:rsidRDefault="00583199" w:rsidP="00DF50AE">
      <w:pPr>
        <w:ind w:left="360"/>
        <w:rPr>
          <w:rFonts w:cstheme="minorHAnsi"/>
        </w:rPr>
      </w:pPr>
      <w:r w:rsidRPr="00DF50AE">
        <w:rPr>
          <w:rFonts w:eastAsia="Calibri" w:cstheme="minorHAnsi"/>
          <w:color w:val="auto"/>
        </w:rPr>
        <w:t>MUARC (</w:t>
      </w:r>
      <w:r w:rsidR="00430D9F" w:rsidRPr="00DF50AE">
        <w:rPr>
          <w:rFonts w:eastAsia="Calibri" w:cstheme="minorHAnsi"/>
          <w:color w:val="auto"/>
        </w:rPr>
        <w:t>Monash University</w:t>
      </w:r>
      <w:r w:rsidRPr="00DF50AE">
        <w:rPr>
          <w:rFonts w:eastAsia="Calibri" w:cstheme="minorHAnsi"/>
          <w:color w:val="auto"/>
        </w:rPr>
        <w:t xml:space="preserve"> Accident Research Centre</w:t>
      </w:r>
      <w:r w:rsidR="001458E9" w:rsidRPr="00DF50AE">
        <w:rPr>
          <w:rFonts w:eastAsia="Calibri" w:cstheme="minorHAnsi"/>
          <w:color w:val="auto"/>
        </w:rPr>
        <w:t>)</w:t>
      </w:r>
      <w:r w:rsidR="00430D9F" w:rsidRPr="00DF50AE">
        <w:rPr>
          <w:rFonts w:eastAsia="Calibri" w:cstheme="minorHAnsi"/>
          <w:color w:val="auto"/>
        </w:rPr>
        <w:t xml:space="preserve"> (2004). </w:t>
      </w:r>
      <w:r w:rsidR="00430D9F" w:rsidRPr="00DF50AE">
        <w:rPr>
          <w:rFonts w:eastAsia="Calibri" w:cstheme="minorHAnsi"/>
          <w:i/>
          <w:color w:val="auto"/>
        </w:rPr>
        <w:t>Intelligent Vehicle Safety research at the Monash University Accident Research Centre.</w:t>
      </w:r>
      <w:r w:rsidR="00430D9F" w:rsidRPr="00DF50AE">
        <w:rPr>
          <w:rFonts w:eastAsia="Calibri" w:cstheme="minorHAnsi"/>
          <w:color w:val="auto"/>
        </w:rPr>
        <w:t xml:space="preserve"> </w:t>
      </w:r>
      <w:r w:rsidR="00352C22" w:rsidRPr="00DF50AE">
        <w:rPr>
          <w:rFonts w:eastAsia="Calibri" w:cstheme="minorHAnsi"/>
          <w:color w:val="auto"/>
        </w:rPr>
        <w:t>[</w:t>
      </w:r>
      <w:proofErr w:type="gramStart"/>
      <w:r w:rsidR="00352C22" w:rsidRPr="00DF50AE">
        <w:rPr>
          <w:rFonts w:eastAsia="Calibri" w:cstheme="minorHAnsi"/>
          <w:color w:val="auto"/>
        </w:rPr>
        <w:t>paper</w:t>
      </w:r>
      <w:proofErr w:type="gramEnd"/>
      <w:r w:rsidR="00352C22" w:rsidRPr="00DF50AE">
        <w:rPr>
          <w:rFonts w:eastAsia="Calibri" w:cstheme="minorHAnsi"/>
          <w:color w:val="auto"/>
        </w:rPr>
        <w:t xml:space="preserve"> presentation]. </w:t>
      </w:r>
      <w:r w:rsidR="00430D9F" w:rsidRPr="00DF50AE">
        <w:rPr>
          <w:rFonts w:eastAsia="Calibri" w:cstheme="minorHAnsi"/>
          <w:color w:val="auto"/>
        </w:rPr>
        <w:t xml:space="preserve">27th Australasian Transport Research Forum, Adelaide, 29 September – 1 October 2004. </w:t>
      </w:r>
      <w:r w:rsidR="00352C22" w:rsidRPr="00DF50AE">
        <w:rPr>
          <w:rFonts w:eastAsia="Calibri" w:cstheme="minorHAnsi"/>
          <w:color w:val="auto"/>
        </w:rPr>
        <w:t>Accessed May 2021 -</w:t>
      </w:r>
      <w:r w:rsidR="00430D9F" w:rsidRPr="00DF50AE">
        <w:rPr>
          <w:rFonts w:eastAsia="Calibri" w:cstheme="minorHAnsi"/>
          <w:color w:val="auto"/>
        </w:rPr>
        <w:t xml:space="preserve"> </w:t>
      </w:r>
      <w:r w:rsidR="002647CB" w:rsidRPr="00DF50AE">
        <w:rPr>
          <w:rFonts w:eastAsia="Calibri" w:cstheme="minorHAnsi"/>
          <w:color w:val="auto"/>
        </w:rPr>
        <w:t>https://www.australasiantransportresearchforum.org.au/sites/default/files/2004_Regan_Young_Triggs_Horberry_Mitsopoulos_Johnston.pdf</w:t>
      </w:r>
    </w:p>
    <w:p w14:paraId="3D3924C5" w14:textId="638AE994" w:rsidR="00DF50AE" w:rsidRDefault="00F145FC" w:rsidP="00DF50AE">
      <w:pPr>
        <w:pStyle w:val="references"/>
        <w:ind w:left="360" w:firstLine="0"/>
        <w:rPr>
          <w:rFonts w:cstheme="minorHAnsi"/>
        </w:rPr>
      </w:pPr>
      <w:r w:rsidRPr="00DF50AE">
        <w:rPr>
          <w:rFonts w:asciiTheme="minorHAnsi" w:hAnsiTheme="minorHAnsi" w:cstheme="minorHAnsi"/>
          <w:sz w:val="20"/>
        </w:rPr>
        <w:t>MUARC (Monash University Accident Research Centre), (20</w:t>
      </w:r>
      <w:r w:rsidR="002648F6" w:rsidRPr="00DF50AE">
        <w:rPr>
          <w:rFonts w:asciiTheme="minorHAnsi" w:hAnsiTheme="minorHAnsi" w:cstheme="minorHAnsi"/>
          <w:sz w:val="20"/>
        </w:rPr>
        <w:t>20</w:t>
      </w:r>
      <w:r w:rsidRPr="00DF50AE">
        <w:rPr>
          <w:rFonts w:asciiTheme="minorHAnsi" w:hAnsiTheme="minorHAnsi" w:cstheme="minorHAnsi"/>
          <w:sz w:val="20"/>
        </w:rPr>
        <w:t>)</w:t>
      </w:r>
      <w:r w:rsidR="002648F6" w:rsidRPr="00DF50AE">
        <w:rPr>
          <w:rFonts w:asciiTheme="minorHAnsi" w:hAnsiTheme="minorHAnsi" w:cstheme="minorHAnsi"/>
          <w:sz w:val="20"/>
        </w:rPr>
        <w:t xml:space="preserve">. </w:t>
      </w:r>
      <w:r w:rsidR="002648F6" w:rsidRPr="00DF50AE">
        <w:rPr>
          <w:rFonts w:asciiTheme="minorHAnsi" w:hAnsiTheme="minorHAnsi" w:cstheme="minorHAnsi"/>
          <w:i/>
          <w:sz w:val="20"/>
        </w:rPr>
        <w:t>The Potential Benefits of Autonomous Emergency Braking Systems in Australia</w:t>
      </w:r>
      <w:r w:rsidR="002648F6" w:rsidRPr="00DF50AE">
        <w:rPr>
          <w:rFonts w:asciiTheme="minorHAnsi" w:hAnsiTheme="minorHAnsi" w:cstheme="minorHAnsi"/>
          <w:sz w:val="20"/>
        </w:rPr>
        <w:t>. Retrieved February 2020 from</w:t>
      </w:r>
      <w:r w:rsidR="00DF50AE">
        <w:rPr>
          <w:rFonts w:cstheme="minorHAnsi"/>
        </w:rPr>
        <w:t xml:space="preserve"> - </w:t>
      </w:r>
      <w:r w:rsidR="00DF50AE" w:rsidRPr="00DF50AE">
        <w:rPr>
          <w:rFonts w:asciiTheme="minorHAnsi" w:hAnsiTheme="minorHAnsi" w:cstheme="minorHAnsi"/>
          <w:kern w:val="12"/>
          <w:sz w:val="20"/>
          <w:szCs w:val="20"/>
        </w:rPr>
        <w:t>https://www.monash.edu/__data/assets/pdf_file/0003/2093511/The-Potential-Benefits-of-Autonomous-Emergency-Braking-Systems-in-Australia-Report-339.pdf.</w:t>
      </w:r>
      <w:r w:rsidR="00DF50AE">
        <w:rPr>
          <w:rFonts w:cstheme="minorHAnsi"/>
        </w:rPr>
        <w:t xml:space="preserve"> </w:t>
      </w:r>
    </w:p>
    <w:p w14:paraId="02327F2A" w14:textId="408EB16B" w:rsidR="00582E2B" w:rsidRPr="00596709" w:rsidRDefault="000B3CD7" w:rsidP="00DF50AE">
      <w:pPr>
        <w:pStyle w:val="references"/>
        <w:ind w:left="360" w:firstLine="0"/>
        <w:rPr>
          <w:rFonts w:asciiTheme="minorHAnsi" w:hAnsiTheme="minorHAnsi" w:cstheme="minorHAnsi"/>
          <w:sz w:val="20"/>
        </w:rPr>
      </w:pPr>
      <w:proofErr w:type="spellStart"/>
      <w:r w:rsidRPr="00596709">
        <w:rPr>
          <w:rFonts w:asciiTheme="minorHAnsi" w:hAnsiTheme="minorHAnsi" w:cstheme="minorHAnsi"/>
          <w:sz w:val="20"/>
        </w:rPr>
        <w:t>Meuleners</w:t>
      </w:r>
      <w:proofErr w:type="spellEnd"/>
      <w:r w:rsidRPr="00596709">
        <w:rPr>
          <w:rFonts w:asciiTheme="minorHAnsi" w:hAnsiTheme="minorHAnsi" w:cstheme="minorHAnsi"/>
          <w:sz w:val="20"/>
        </w:rPr>
        <w:t xml:space="preserve">, </w:t>
      </w:r>
      <w:proofErr w:type="gramStart"/>
      <w:r w:rsidRPr="00596709">
        <w:rPr>
          <w:rFonts w:asciiTheme="minorHAnsi" w:hAnsiTheme="minorHAnsi" w:cstheme="minorHAnsi"/>
          <w:sz w:val="20"/>
        </w:rPr>
        <w:t>Lynn</w:t>
      </w:r>
      <w:r w:rsidR="002553A0" w:rsidRPr="00596709">
        <w:rPr>
          <w:rFonts w:asciiTheme="minorHAnsi" w:hAnsiTheme="minorHAnsi" w:cstheme="minorHAnsi"/>
          <w:sz w:val="20"/>
        </w:rPr>
        <w:t>.,</w:t>
      </w:r>
      <w:proofErr w:type="gramEnd"/>
      <w:r w:rsidR="002553A0" w:rsidRPr="00596709">
        <w:rPr>
          <w:rFonts w:asciiTheme="minorHAnsi" w:hAnsiTheme="minorHAnsi" w:cstheme="minorHAnsi"/>
          <w:sz w:val="20"/>
        </w:rPr>
        <w:t xml:space="preserve"> Fraser, Michelle L., </w:t>
      </w:r>
      <w:proofErr w:type="spellStart"/>
      <w:r w:rsidR="002553A0" w:rsidRPr="00596709">
        <w:rPr>
          <w:rFonts w:asciiTheme="minorHAnsi" w:hAnsiTheme="minorHAnsi" w:cstheme="minorHAnsi"/>
          <w:sz w:val="20"/>
        </w:rPr>
        <w:t>Govorko</w:t>
      </w:r>
      <w:proofErr w:type="spellEnd"/>
      <w:r w:rsidR="002553A0" w:rsidRPr="00596709">
        <w:rPr>
          <w:rFonts w:asciiTheme="minorHAnsi" w:hAnsiTheme="minorHAnsi" w:cstheme="minorHAnsi"/>
          <w:sz w:val="20"/>
        </w:rPr>
        <w:t xml:space="preserve">, Matthew H. &amp; Stevenson, Mark R. (2015). </w:t>
      </w:r>
      <w:r w:rsidR="00582E2B" w:rsidRPr="00596709">
        <w:rPr>
          <w:rFonts w:asciiTheme="minorHAnsi" w:hAnsiTheme="minorHAnsi" w:cstheme="minorHAnsi"/>
          <w:sz w:val="20"/>
        </w:rPr>
        <w:t>‘</w:t>
      </w:r>
      <w:r w:rsidRPr="00DF50AE">
        <w:rPr>
          <w:rFonts w:asciiTheme="minorHAnsi" w:hAnsiTheme="minorHAnsi" w:cstheme="minorHAnsi"/>
          <w:i/>
          <w:sz w:val="20"/>
        </w:rPr>
        <w:t xml:space="preserve">Obstructive sleep </w:t>
      </w:r>
      <w:proofErr w:type="spellStart"/>
      <w:r w:rsidRPr="00DF50AE">
        <w:rPr>
          <w:rFonts w:asciiTheme="minorHAnsi" w:hAnsiTheme="minorHAnsi" w:cstheme="minorHAnsi"/>
          <w:i/>
          <w:sz w:val="20"/>
        </w:rPr>
        <w:t>apnea</w:t>
      </w:r>
      <w:proofErr w:type="spellEnd"/>
      <w:r w:rsidRPr="00DF50AE">
        <w:rPr>
          <w:rFonts w:asciiTheme="minorHAnsi" w:hAnsiTheme="minorHAnsi" w:cstheme="minorHAnsi"/>
          <w:i/>
          <w:sz w:val="20"/>
        </w:rPr>
        <w:t>, health-related factors, and long distance heavy vehicle crashes in Western Australia: a case control study</w:t>
      </w:r>
      <w:r w:rsidRPr="002647CB">
        <w:rPr>
          <w:rFonts w:asciiTheme="minorHAnsi" w:hAnsiTheme="minorHAnsi" w:cstheme="minorHAnsi"/>
          <w:sz w:val="20"/>
        </w:rPr>
        <w:t>.</w:t>
      </w:r>
      <w:r w:rsidR="00582E2B" w:rsidRPr="00596709">
        <w:rPr>
          <w:rFonts w:asciiTheme="minorHAnsi" w:hAnsiTheme="minorHAnsi" w:cstheme="minorHAnsi"/>
          <w:sz w:val="20"/>
        </w:rPr>
        <w:t>’</w:t>
      </w:r>
      <w:r w:rsidRPr="00596709">
        <w:rPr>
          <w:rFonts w:asciiTheme="minorHAnsi" w:hAnsiTheme="minorHAnsi" w:cstheme="minorHAnsi"/>
          <w:sz w:val="20"/>
        </w:rPr>
        <w:t xml:space="preserve"> </w:t>
      </w:r>
      <w:r w:rsidRPr="00DF50AE">
        <w:rPr>
          <w:rFonts w:asciiTheme="minorHAnsi" w:hAnsiTheme="minorHAnsi" w:cstheme="minorHAnsi"/>
          <w:sz w:val="20"/>
        </w:rPr>
        <w:t xml:space="preserve">Journal of </w:t>
      </w:r>
      <w:r w:rsidR="00582E2B" w:rsidRPr="00DF50AE">
        <w:rPr>
          <w:rFonts w:asciiTheme="minorHAnsi" w:hAnsiTheme="minorHAnsi" w:cstheme="minorHAnsi"/>
          <w:sz w:val="20"/>
        </w:rPr>
        <w:t>C</w:t>
      </w:r>
      <w:r w:rsidRPr="00DF50AE">
        <w:rPr>
          <w:rFonts w:asciiTheme="minorHAnsi" w:hAnsiTheme="minorHAnsi" w:cstheme="minorHAnsi"/>
          <w:sz w:val="20"/>
        </w:rPr>
        <w:t xml:space="preserve">linical </w:t>
      </w:r>
      <w:r w:rsidR="00582E2B" w:rsidRPr="00DF50AE">
        <w:rPr>
          <w:rFonts w:asciiTheme="minorHAnsi" w:hAnsiTheme="minorHAnsi" w:cstheme="minorHAnsi"/>
          <w:sz w:val="20"/>
        </w:rPr>
        <w:t>S</w:t>
      </w:r>
      <w:r w:rsidRPr="00DF50AE">
        <w:rPr>
          <w:rFonts w:asciiTheme="minorHAnsi" w:hAnsiTheme="minorHAnsi" w:cstheme="minorHAnsi"/>
          <w:sz w:val="20"/>
        </w:rPr>
        <w:t xml:space="preserve">leep </w:t>
      </w:r>
      <w:r w:rsidR="00582E2B" w:rsidRPr="00DF50AE">
        <w:rPr>
          <w:rFonts w:asciiTheme="minorHAnsi" w:hAnsiTheme="minorHAnsi" w:cstheme="minorHAnsi"/>
          <w:sz w:val="20"/>
        </w:rPr>
        <w:t>M</w:t>
      </w:r>
      <w:r w:rsidRPr="00DF50AE">
        <w:rPr>
          <w:rFonts w:asciiTheme="minorHAnsi" w:hAnsiTheme="minorHAnsi" w:cstheme="minorHAnsi"/>
          <w:sz w:val="20"/>
        </w:rPr>
        <w:t>edicine</w:t>
      </w:r>
      <w:r w:rsidR="00582E2B" w:rsidRPr="00596709">
        <w:rPr>
          <w:rFonts w:asciiTheme="minorHAnsi" w:hAnsiTheme="minorHAnsi" w:cstheme="minorHAnsi"/>
          <w:sz w:val="20"/>
        </w:rPr>
        <w:t xml:space="preserve">, 11(4): 413-418, </w:t>
      </w:r>
      <w:r w:rsidRPr="00596709">
        <w:rPr>
          <w:rFonts w:asciiTheme="minorHAnsi" w:hAnsiTheme="minorHAnsi" w:cstheme="minorHAnsi"/>
          <w:sz w:val="20"/>
        </w:rPr>
        <w:t>doi:10.5664/jcsm.4594</w:t>
      </w:r>
    </w:p>
    <w:p w14:paraId="0B0A96CD" w14:textId="2D5C41B0" w:rsidR="00430D9F" w:rsidRPr="00596709" w:rsidRDefault="00583199"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NHTSA (</w:t>
      </w:r>
      <w:r w:rsidR="00430D9F" w:rsidRPr="00596709">
        <w:rPr>
          <w:rFonts w:asciiTheme="minorHAnsi" w:hAnsiTheme="minorHAnsi" w:cstheme="minorHAnsi"/>
          <w:sz w:val="20"/>
        </w:rPr>
        <w:t>National Highway Traffic Safety Administration</w:t>
      </w:r>
      <w:r w:rsidR="00604A5C" w:rsidRPr="00596709">
        <w:rPr>
          <w:rFonts w:asciiTheme="minorHAnsi" w:hAnsiTheme="minorHAnsi" w:cstheme="minorHAnsi"/>
          <w:sz w:val="20"/>
        </w:rPr>
        <w:t>)</w:t>
      </w:r>
      <w:r w:rsidR="00430D9F" w:rsidRPr="00596709">
        <w:rPr>
          <w:rFonts w:asciiTheme="minorHAnsi" w:hAnsiTheme="minorHAnsi" w:cstheme="minorHAnsi"/>
          <w:sz w:val="20"/>
        </w:rPr>
        <w:t xml:space="preserve"> (2014). </w:t>
      </w:r>
      <w:r w:rsidR="00430D9F" w:rsidRPr="00596709">
        <w:rPr>
          <w:rFonts w:asciiTheme="minorHAnsi" w:hAnsiTheme="minorHAnsi" w:cstheme="minorHAnsi"/>
          <w:i/>
          <w:sz w:val="20"/>
        </w:rPr>
        <w:t>Heavy-Vehicle Lane Departure Warning Test Development</w:t>
      </w:r>
      <w:r w:rsidR="00430D9F" w:rsidRPr="00596709">
        <w:rPr>
          <w:rFonts w:asciiTheme="minorHAnsi" w:hAnsiTheme="minorHAnsi" w:cstheme="minorHAnsi"/>
          <w:sz w:val="20"/>
        </w:rPr>
        <w:t xml:space="preserve">. Report No. DOT HS 812 078. </w:t>
      </w:r>
      <w:r w:rsidR="00352C22" w:rsidRPr="00596709">
        <w:rPr>
          <w:rFonts w:asciiTheme="minorHAnsi" w:hAnsiTheme="minorHAnsi" w:cstheme="minorHAnsi"/>
          <w:sz w:val="20"/>
        </w:rPr>
        <w:t>NHTSA, accessed June 2021 -</w:t>
      </w:r>
      <w:r w:rsidR="00430D9F" w:rsidRPr="00596709">
        <w:rPr>
          <w:rFonts w:asciiTheme="minorHAnsi" w:hAnsiTheme="minorHAnsi" w:cstheme="minorHAnsi"/>
          <w:sz w:val="20"/>
        </w:rPr>
        <w:t xml:space="preserve"> </w:t>
      </w:r>
      <w:r w:rsidR="002647CB" w:rsidRPr="002647CB">
        <w:rPr>
          <w:rFonts w:asciiTheme="minorHAnsi" w:hAnsiTheme="minorHAnsi" w:cstheme="minorHAnsi"/>
          <w:sz w:val="20"/>
        </w:rPr>
        <w:t>https://www.ntis.gov./</w:t>
      </w:r>
    </w:p>
    <w:p w14:paraId="3344436E" w14:textId="73C19388" w:rsidR="009D7B2F" w:rsidRPr="00FE6CF4" w:rsidRDefault="009D7B2F" w:rsidP="00DF50AE">
      <w:pPr>
        <w:pStyle w:val="references"/>
        <w:ind w:left="360" w:firstLine="0"/>
        <w:rPr>
          <w:rFonts w:asciiTheme="minorHAnsi" w:hAnsiTheme="minorHAnsi" w:cstheme="minorHAnsi"/>
          <w:sz w:val="20"/>
          <w:highlight w:val="yellow"/>
        </w:rPr>
      </w:pPr>
      <w:r w:rsidRPr="00596709">
        <w:rPr>
          <w:rFonts w:asciiTheme="minorHAnsi" w:hAnsiTheme="minorHAnsi" w:cstheme="minorHAnsi"/>
          <w:sz w:val="20"/>
        </w:rPr>
        <w:t>NHVR (National Heavy Vehicle Regulator) (2021).</w:t>
      </w:r>
      <w:r w:rsidR="000E42C6">
        <w:rPr>
          <w:rFonts w:asciiTheme="minorHAnsi" w:hAnsiTheme="minorHAnsi" w:cstheme="minorHAnsi"/>
          <w:sz w:val="20"/>
        </w:rPr>
        <w:t xml:space="preserve"> </w:t>
      </w:r>
      <w:r w:rsidR="000E42C6" w:rsidRPr="000E42C6">
        <w:rPr>
          <w:rFonts w:asciiTheme="minorHAnsi" w:hAnsiTheme="minorHAnsi" w:cstheme="minorHAnsi"/>
          <w:i/>
          <w:sz w:val="20"/>
        </w:rPr>
        <w:t>Heavy Vehicle Safety Strategy 2021 – 2025</w:t>
      </w:r>
      <w:r w:rsidR="000E42C6">
        <w:rPr>
          <w:rFonts w:asciiTheme="minorHAnsi" w:hAnsiTheme="minorHAnsi" w:cstheme="minorHAnsi"/>
          <w:sz w:val="20"/>
        </w:rPr>
        <w:t xml:space="preserve">. </w:t>
      </w:r>
      <w:r w:rsidR="000E42C6" w:rsidRPr="000E42C6">
        <w:rPr>
          <w:rFonts w:asciiTheme="minorHAnsi" w:hAnsiTheme="minorHAnsi" w:cstheme="minorHAnsi"/>
          <w:sz w:val="20"/>
        </w:rPr>
        <w:t>https://www.nhvr.gov.au/files/202111-1275-hv-safety-strategy-2021-25.pdf</w:t>
      </w:r>
    </w:p>
    <w:p w14:paraId="75A1452C" w14:textId="6D77D167" w:rsidR="00BD6E54" w:rsidRPr="00FE6CF4" w:rsidRDefault="00BD6E54"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lastRenderedPageBreak/>
        <w:t xml:space="preserve">NRSS - Department of Infrastructure, Transport, Regional Development and Communications (DITRDC) (2021). </w:t>
      </w:r>
      <w:r w:rsidRPr="00596709">
        <w:rPr>
          <w:rFonts w:asciiTheme="minorHAnsi" w:hAnsiTheme="minorHAnsi" w:cstheme="minorHAnsi"/>
          <w:i/>
          <w:sz w:val="20"/>
        </w:rPr>
        <w:t>National Road Safety Strategy 2021-2030</w:t>
      </w:r>
      <w:r w:rsidRPr="00FE6CF4">
        <w:rPr>
          <w:rFonts w:asciiTheme="minorHAnsi" w:hAnsiTheme="minorHAnsi" w:cstheme="minorHAnsi"/>
          <w:i/>
          <w:sz w:val="20"/>
        </w:rPr>
        <w:t>.</w:t>
      </w:r>
      <w:r w:rsidRPr="00FE6CF4">
        <w:rPr>
          <w:rFonts w:asciiTheme="minorHAnsi" w:hAnsiTheme="minorHAnsi" w:cstheme="minorHAnsi"/>
          <w:sz w:val="20"/>
        </w:rPr>
        <w:t xml:space="preserve"> (NRSS)</w:t>
      </w:r>
      <w:r w:rsidRPr="00596709">
        <w:rPr>
          <w:rFonts w:asciiTheme="minorHAnsi" w:hAnsiTheme="minorHAnsi" w:cstheme="minorHAnsi"/>
          <w:sz w:val="20"/>
        </w:rPr>
        <w:t>. D</w:t>
      </w:r>
      <w:r w:rsidR="009D7B2F" w:rsidRPr="00596709">
        <w:rPr>
          <w:rFonts w:asciiTheme="minorHAnsi" w:hAnsiTheme="minorHAnsi" w:cstheme="minorHAnsi"/>
          <w:sz w:val="20"/>
        </w:rPr>
        <w:t>ITRDC, Australian Government, a</w:t>
      </w:r>
      <w:r w:rsidRPr="00596709">
        <w:rPr>
          <w:rFonts w:asciiTheme="minorHAnsi" w:hAnsiTheme="minorHAnsi" w:cstheme="minorHAnsi"/>
          <w:sz w:val="20"/>
        </w:rPr>
        <w:t xml:space="preserve">ccessed May 2021 - </w:t>
      </w:r>
      <w:r w:rsidR="00D07E4E" w:rsidRPr="00FE6CF4">
        <w:t>https://www.officeofroadsafety.gov.au/</w:t>
      </w:r>
    </w:p>
    <w:p w14:paraId="75A7E71D" w14:textId="458F17EB" w:rsidR="00D07E4E" w:rsidRPr="00596709" w:rsidRDefault="00D07E4E" w:rsidP="00DF50AE">
      <w:pPr>
        <w:pStyle w:val="references"/>
        <w:ind w:left="360" w:firstLine="0"/>
        <w:rPr>
          <w:rFonts w:asciiTheme="minorHAnsi" w:hAnsiTheme="minorHAnsi" w:cstheme="minorHAnsi"/>
          <w:sz w:val="20"/>
        </w:rPr>
      </w:pPr>
      <w:r w:rsidRPr="00FE6CF4">
        <w:rPr>
          <w:rFonts w:asciiTheme="minorHAnsi" w:hAnsiTheme="minorHAnsi" w:cstheme="minorHAnsi"/>
          <w:sz w:val="20"/>
        </w:rPr>
        <w:t xml:space="preserve">NSW Government (2021). </w:t>
      </w:r>
      <w:r w:rsidRPr="00FE6CF4">
        <w:rPr>
          <w:rFonts w:asciiTheme="minorHAnsi" w:hAnsiTheme="minorHAnsi" w:cstheme="minorHAnsi"/>
          <w:i/>
          <w:sz w:val="20"/>
        </w:rPr>
        <w:t>Motor Vehicle Operational Guidelines</w:t>
      </w:r>
      <w:r w:rsidRPr="00596709">
        <w:rPr>
          <w:rFonts w:asciiTheme="minorHAnsi" w:hAnsiTheme="minorHAnsi" w:cstheme="minorHAnsi"/>
          <w:sz w:val="20"/>
        </w:rPr>
        <w:t>. NSW Government, accessed - https://buy.nsw.gov.au/resources/motor-vehicle-operational-guidelines</w:t>
      </w:r>
    </w:p>
    <w:p w14:paraId="7E6AE01D" w14:textId="2964FC32" w:rsidR="00604A5C" w:rsidRPr="00B76846" w:rsidRDefault="00604A5C" w:rsidP="00DF50AE">
      <w:pPr>
        <w:pStyle w:val="references"/>
        <w:ind w:left="360" w:firstLine="0"/>
        <w:rPr>
          <w:rFonts w:asciiTheme="minorHAnsi" w:hAnsiTheme="minorHAnsi" w:cstheme="minorHAnsi"/>
          <w:sz w:val="20"/>
        </w:rPr>
      </w:pPr>
      <w:r w:rsidRPr="00B76846">
        <w:rPr>
          <w:rFonts w:asciiTheme="minorHAnsi" w:hAnsiTheme="minorHAnsi" w:cstheme="minorHAnsi"/>
          <w:sz w:val="20"/>
        </w:rPr>
        <w:t>NTARC (National Truck Accident Research Centre) (2019)</w:t>
      </w:r>
      <w:r w:rsidR="00B76846" w:rsidRPr="00B76846">
        <w:rPr>
          <w:rFonts w:asciiTheme="minorHAnsi" w:hAnsiTheme="minorHAnsi" w:cstheme="minorHAnsi"/>
          <w:sz w:val="20"/>
        </w:rPr>
        <w:t xml:space="preserve">. </w:t>
      </w:r>
      <w:r w:rsidR="00B76846" w:rsidRPr="00B76846">
        <w:rPr>
          <w:rFonts w:asciiTheme="minorHAnsi" w:hAnsiTheme="minorHAnsi" w:cstheme="minorHAnsi"/>
          <w:i/>
          <w:sz w:val="20"/>
        </w:rPr>
        <w:t>Major Accident Investigation Report: Covering major accidents in 2017</w:t>
      </w:r>
      <w:r w:rsidR="00B76846" w:rsidRPr="00B76846">
        <w:rPr>
          <w:rFonts w:asciiTheme="minorHAnsi" w:hAnsiTheme="minorHAnsi" w:cstheme="minorHAnsi"/>
          <w:sz w:val="20"/>
        </w:rPr>
        <w:t>. Retrieved April 2019 from https://www.nti.com.au/news-resources/research/latest-report</w:t>
      </w:r>
      <w:r w:rsidRPr="00B76846">
        <w:rPr>
          <w:rFonts w:asciiTheme="minorHAnsi" w:hAnsiTheme="minorHAnsi" w:cstheme="minorHAnsi"/>
          <w:sz w:val="20"/>
        </w:rPr>
        <w:t>.</w:t>
      </w:r>
    </w:p>
    <w:p w14:paraId="3BE4F983" w14:textId="4F294C8F" w:rsidR="00BD6E54" w:rsidRPr="00596709" w:rsidRDefault="00604A5C"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NTARC (National Truck Accident Research Centre</w:t>
      </w:r>
      <w:r w:rsidRPr="00FE6CF4">
        <w:rPr>
          <w:rFonts w:asciiTheme="minorHAnsi" w:hAnsiTheme="minorHAnsi" w:cstheme="minorHAnsi"/>
          <w:sz w:val="20"/>
        </w:rPr>
        <w:t>)</w:t>
      </w:r>
      <w:r w:rsidRPr="00596709">
        <w:rPr>
          <w:rFonts w:asciiTheme="minorHAnsi" w:hAnsiTheme="minorHAnsi" w:cstheme="minorHAnsi"/>
          <w:sz w:val="20"/>
        </w:rPr>
        <w:t xml:space="preserve"> (2021). </w:t>
      </w:r>
      <w:r w:rsidRPr="00596709">
        <w:rPr>
          <w:rFonts w:asciiTheme="minorHAnsi" w:hAnsiTheme="minorHAnsi" w:cstheme="minorHAnsi"/>
          <w:i/>
          <w:sz w:val="20"/>
        </w:rPr>
        <w:t>Major Accident Investigation 2021 Report</w:t>
      </w:r>
      <w:r w:rsidRPr="00596709">
        <w:rPr>
          <w:rFonts w:asciiTheme="minorHAnsi" w:hAnsiTheme="minorHAnsi" w:cstheme="minorHAnsi"/>
          <w:sz w:val="20"/>
        </w:rPr>
        <w:t>. NTARC, accessed May 2021 - https://www.nti.com.au/better-business-hub/ntarc/ntarc-2021-report/</w:t>
      </w:r>
    </w:p>
    <w:p w14:paraId="33A6D06B" w14:textId="5A748E59" w:rsidR="001119D5" w:rsidRPr="00596709" w:rsidRDefault="00583199"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NTC (</w:t>
      </w:r>
      <w:r w:rsidR="00430D9F" w:rsidRPr="00596709">
        <w:rPr>
          <w:rFonts w:asciiTheme="minorHAnsi" w:hAnsiTheme="minorHAnsi" w:cstheme="minorHAnsi"/>
          <w:sz w:val="20"/>
        </w:rPr>
        <w:t>National Transport Commission</w:t>
      </w:r>
      <w:r w:rsidR="001119D5" w:rsidRPr="00596709">
        <w:rPr>
          <w:rFonts w:asciiTheme="minorHAnsi" w:hAnsiTheme="minorHAnsi" w:cstheme="minorHAnsi"/>
          <w:sz w:val="20"/>
        </w:rPr>
        <w:t>)</w:t>
      </w:r>
      <w:r w:rsidR="00430D9F" w:rsidRPr="00596709">
        <w:rPr>
          <w:rFonts w:asciiTheme="minorHAnsi" w:hAnsiTheme="minorHAnsi" w:cstheme="minorHAnsi"/>
          <w:sz w:val="20"/>
        </w:rPr>
        <w:t xml:space="preserve"> (2016). </w:t>
      </w:r>
      <w:r w:rsidR="001119D5" w:rsidRPr="00596709">
        <w:rPr>
          <w:rFonts w:asciiTheme="minorHAnsi" w:hAnsiTheme="minorHAnsi" w:cstheme="minorHAnsi"/>
          <w:i/>
          <w:sz w:val="20"/>
        </w:rPr>
        <w:t xml:space="preserve">Who Moves What Where - </w:t>
      </w:r>
      <w:r w:rsidR="00430D9F" w:rsidRPr="00596709">
        <w:rPr>
          <w:rFonts w:asciiTheme="minorHAnsi" w:hAnsiTheme="minorHAnsi" w:cstheme="minorHAnsi"/>
          <w:i/>
          <w:sz w:val="20"/>
        </w:rPr>
        <w:t xml:space="preserve">Freight and Passenger Transport in </w:t>
      </w:r>
      <w:proofErr w:type="gramStart"/>
      <w:r w:rsidR="00430D9F" w:rsidRPr="00596709">
        <w:rPr>
          <w:rFonts w:asciiTheme="minorHAnsi" w:hAnsiTheme="minorHAnsi" w:cstheme="minorHAnsi"/>
          <w:i/>
          <w:sz w:val="20"/>
        </w:rPr>
        <w:t>Australia</w:t>
      </w:r>
      <w:r w:rsidR="00430D9F" w:rsidRPr="00596709">
        <w:rPr>
          <w:rFonts w:asciiTheme="minorHAnsi" w:hAnsiTheme="minorHAnsi" w:cstheme="minorHAnsi"/>
          <w:sz w:val="20"/>
        </w:rPr>
        <w:t>.</w:t>
      </w:r>
      <w:proofErr w:type="gramEnd"/>
      <w:r w:rsidR="00430D9F" w:rsidRPr="00596709">
        <w:rPr>
          <w:rFonts w:asciiTheme="minorHAnsi" w:hAnsiTheme="minorHAnsi" w:cstheme="minorHAnsi"/>
          <w:sz w:val="20"/>
        </w:rPr>
        <w:t xml:space="preserve"> </w:t>
      </w:r>
      <w:r w:rsidR="001119D5" w:rsidRPr="00596709">
        <w:rPr>
          <w:rFonts w:asciiTheme="minorHAnsi" w:hAnsiTheme="minorHAnsi" w:cstheme="minorHAnsi"/>
          <w:sz w:val="20"/>
        </w:rPr>
        <w:t>NTC, accessed</w:t>
      </w:r>
      <w:r w:rsidR="00430D9F" w:rsidRPr="00596709">
        <w:rPr>
          <w:rFonts w:asciiTheme="minorHAnsi" w:hAnsiTheme="minorHAnsi" w:cstheme="minorHAnsi"/>
          <w:sz w:val="20"/>
        </w:rPr>
        <w:t xml:space="preserve"> December 2021 </w:t>
      </w:r>
      <w:r w:rsidR="001119D5" w:rsidRPr="00596709">
        <w:rPr>
          <w:rFonts w:asciiTheme="minorHAnsi" w:hAnsiTheme="minorHAnsi" w:cstheme="minorHAnsi"/>
          <w:sz w:val="20"/>
        </w:rPr>
        <w:t>- https://www.ntc.gov.au/sites/default/files/assets/files/Whomoveswhatwherereport.pdf</w:t>
      </w:r>
    </w:p>
    <w:p w14:paraId="581AD4A0" w14:textId="4CAF67A2" w:rsidR="00430D9F" w:rsidRPr="00596709" w:rsidRDefault="00583199" w:rsidP="00DF50AE">
      <w:pPr>
        <w:pStyle w:val="references"/>
        <w:ind w:left="360" w:firstLine="0"/>
        <w:rPr>
          <w:rFonts w:asciiTheme="minorHAnsi" w:hAnsiTheme="minorHAnsi" w:cstheme="minorHAnsi"/>
          <w:sz w:val="20"/>
        </w:rPr>
      </w:pPr>
      <w:r w:rsidRPr="00596709">
        <w:rPr>
          <w:rFonts w:asciiTheme="minorHAnsi" w:hAnsiTheme="minorHAnsi" w:cstheme="minorHAnsi"/>
          <w:sz w:val="20"/>
        </w:rPr>
        <w:t>ORS (Office of Road Safety</w:t>
      </w:r>
      <w:r w:rsidR="005D1D0D" w:rsidRPr="00596709">
        <w:rPr>
          <w:rFonts w:asciiTheme="minorHAnsi" w:hAnsiTheme="minorHAnsi" w:cstheme="minorHAnsi"/>
          <w:sz w:val="20"/>
        </w:rPr>
        <w:t>)</w:t>
      </w:r>
      <w:r w:rsidR="00430D9F" w:rsidRPr="00596709">
        <w:rPr>
          <w:rFonts w:asciiTheme="minorHAnsi" w:hAnsiTheme="minorHAnsi" w:cstheme="minorHAnsi"/>
          <w:sz w:val="20"/>
        </w:rPr>
        <w:t xml:space="preserve"> (2021). </w:t>
      </w:r>
      <w:r w:rsidR="00430D9F" w:rsidRPr="00596709">
        <w:rPr>
          <w:rFonts w:asciiTheme="minorHAnsi" w:hAnsiTheme="minorHAnsi" w:cstheme="minorHAnsi"/>
          <w:i/>
          <w:sz w:val="20"/>
        </w:rPr>
        <w:t>Fact sheet: Heavy vehicle safety</w:t>
      </w:r>
      <w:r w:rsidR="00430D9F" w:rsidRPr="00596709">
        <w:rPr>
          <w:rFonts w:asciiTheme="minorHAnsi" w:hAnsiTheme="minorHAnsi" w:cstheme="minorHAnsi"/>
          <w:sz w:val="20"/>
        </w:rPr>
        <w:t xml:space="preserve">. </w:t>
      </w:r>
      <w:r w:rsidR="005D1D0D" w:rsidRPr="00596709">
        <w:rPr>
          <w:rFonts w:asciiTheme="minorHAnsi" w:hAnsiTheme="minorHAnsi" w:cstheme="minorHAnsi"/>
          <w:sz w:val="20"/>
        </w:rPr>
        <w:t>ORS, accessed August 2021 -</w:t>
      </w:r>
      <w:r w:rsidR="00430D9F" w:rsidRPr="00596709">
        <w:rPr>
          <w:rFonts w:asciiTheme="minorHAnsi" w:hAnsiTheme="minorHAnsi" w:cstheme="minorHAnsi"/>
          <w:sz w:val="20"/>
        </w:rPr>
        <w:t xml:space="preserve"> https://www.officeofroadsafety.gov.au/nrss/resources-fact-sheets/heavy-vehicle-safety#_ftn2</w:t>
      </w:r>
    </w:p>
    <w:p w14:paraId="0AAE402E" w14:textId="629B70B8" w:rsidR="00430D9F" w:rsidRPr="00FE6CF4" w:rsidRDefault="00583199" w:rsidP="00DF50AE">
      <w:pPr>
        <w:pStyle w:val="references"/>
        <w:ind w:left="360" w:firstLine="0"/>
        <w:rPr>
          <w:rFonts w:asciiTheme="minorHAnsi" w:hAnsiTheme="minorHAnsi" w:cstheme="minorHAnsi"/>
          <w:sz w:val="20"/>
        </w:rPr>
      </w:pPr>
      <w:proofErr w:type="spellStart"/>
      <w:r w:rsidRPr="00596709">
        <w:rPr>
          <w:rFonts w:asciiTheme="minorHAnsi" w:hAnsiTheme="minorHAnsi" w:cstheme="minorHAnsi"/>
          <w:sz w:val="20"/>
        </w:rPr>
        <w:t>TfNSW</w:t>
      </w:r>
      <w:proofErr w:type="spellEnd"/>
      <w:r w:rsidRPr="00596709">
        <w:rPr>
          <w:rFonts w:asciiTheme="minorHAnsi" w:hAnsiTheme="minorHAnsi" w:cstheme="minorHAnsi"/>
          <w:sz w:val="20"/>
        </w:rPr>
        <w:t xml:space="preserve"> (</w:t>
      </w:r>
      <w:r w:rsidR="00430D9F" w:rsidRPr="00596709">
        <w:rPr>
          <w:rFonts w:asciiTheme="minorHAnsi" w:hAnsiTheme="minorHAnsi" w:cstheme="minorHAnsi"/>
          <w:sz w:val="20"/>
        </w:rPr>
        <w:t>Tran</w:t>
      </w:r>
      <w:r w:rsidRPr="00596709">
        <w:rPr>
          <w:rFonts w:asciiTheme="minorHAnsi" w:hAnsiTheme="minorHAnsi" w:cstheme="minorHAnsi"/>
          <w:sz w:val="20"/>
        </w:rPr>
        <w:t>sport for New South Wales</w:t>
      </w:r>
      <w:r w:rsidR="00430D9F" w:rsidRPr="00596709">
        <w:rPr>
          <w:rFonts w:asciiTheme="minorHAnsi" w:hAnsiTheme="minorHAnsi" w:cstheme="minorHAnsi"/>
          <w:sz w:val="20"/>
        </w:rPr>
        <w:t xml:space="preserve">) (2020). </w:t>
      </w:r>
      <w:r w:rsidR="00430D9F" w:rsidRPr="00596709">
        <w:rPr>
          <w:rFonts w:asciiTheme="minorHAnsi" w:hAnsiTheme="minorHAnsi" w:cstheme="minorHAnsi"/>
          <w:i/>
          <w:sz w:val="20"/>
        </w:rPr>
        <w:t>Safety technology and features for heavy vehicles</w:t>
      </w:r>
      <w:r w:rsidR="00430D9F" w:rsidRPr="00FE6CF4">
        <w:rPr>
          <w:rFonts w:asciiTheme="minorHAnsi" w:hAnsiTheme="minorHAnsi" w:cstheme="minorHAnsi"/>
          <w:i/>
          <w:sz w:val="20"/>
        </w:rPr>
        <w:t>. May 2020</w:t>
      </w:r>
      <w:r w:rsidR="00D07E4E" w:rsidRPr="00FE6CF4">
        <w:rPr>
          <w:rFonts w:asciiTheme="minorHAnsi" w:hAnsiTheme="minorHAnsi" w:cstheme="minorHAnsi"/>
          <w:i/>
          <w:sz w:val="20"/>
        </w:rPr>
        <w:t>.</w:t>
      </w:r>
      <w:r w:rsidR="00430D9F" w:rsidRPr="00596709">
        <w:rPr>
          <w:rFonts w:asciiTheme="minorHAnsi" w:hAnsiTheme="minorHAnsi" w:cstheme="minorHAnsi"/>
          <w:sz w:val="20"/>
        </w:rPr>
        <w:t xml:space="preserve"> </w:t>
      </w:r>
      <w:proofErr w:type="spellStart"/>
      <w:r w:rsidR="00D07E4E" w:rsidRPr="00596709">
        <w:rPr>
          <w:rFonts w:asciiTheme="minorHAnsi" w:hAnsiTheme="minorHAnsi" w:cstheme="minorHAnsi"/>
          <w:sz w:val="20"/>
        </w:rPr>
        <w:t>TfNSW</w:t>
      </w:r>
      <w:proofErr w:type="spellEnd"/>
      <w:r w:rsidR="00D07E4E" w:rsidRPr="00596709">
        <w:rPr>
          <w:rFonts w:asciiTheme="minorHAnsi" w:hAnsiTheme="minorHAnsi" w:cstheme="minorHAnsi"/>
          <w:sz w:val="20"/>
        </w:rPr>
        <w:t>, accessed March 2021 - https://roadsafety.transport.nsw.gov.au/downloads/heavy_vehicle_safety_dl1.html</w:t>
      </w:r>
    </w:p>
    <w:p w14:paraId="325F1F9C" w14:textId="77777777" w:rsidR="00D17801" w:rsidRDefault="00D17801" w:rsidP="00805C43">
      <w:pPr>
        <w:pStyle w:val="references"/>
        <w:rPr>
          <w:rFonts w:asciiTheme="minorHAnsi" w:hAnsiTheme="minorHAnsi" w:cstheme="minorHAnsi"/>
          <w:sz w:val="20"/>
        </w:rPr>
      </w:pPr>
    </w:p>
    <w:p w14:paraId="064C799E" w14:textId="77777777" w:rsidR="00616B01" w:rsidRDefault="00616B01" w:rsidP="00805C43">
      <w:pPr>
        <w:pStyle w:val="references"/>
        <w:rPr>
          <w:rFonts w:asciiTheme="minorHAnsi" w:hAnsiTheme="minorHAnsi" w:cstheme="minorHAnsi"/>
          <w:sz w:val="20"/>
        </w:rPr>
      </w:pPr>
    </w:p>
    <w:p w14:paraId="3EE262FD" w14:textId="77777777" w:rsidR="00D509A5" w:rsidRDefault="00D509A5" w:rsidP="00805C43">
      <w:pPr>
        <w:pStyle w:val="references"/>
        <w:rPr>
          <w:rFonts w:asciiTheme="minorHAnsi" w:hAnsiTheme="minorHAnsi" w:cstheme="minorHAnsi"/>
          <w:sz w:val="20"/>
        </w:rPr>
      </w:pPr>
    </w:p>
    <w:p w14:paraId="0DFC4D6B" w14:textId="77777777" w:rsidR="008E226D" w:rsidRDefault="008E226D" w:rsidP="008A23AD">
      <w:pPr>
        <w:pStyle w:val="AppendixHeading1"/>
        <w:sectPr w:rsidR="008E226D" w:rsidSect="00D87AD8">
          <w:pgSz w:w="11906" w:h="16838" w:code="9"/>
          <w:pgMar w:top="1021" w:right="1021" w:bottom="1021" w:left="1021" w:header="510" w:footer="567" w:gutter="0"/>
          <w:cols w:space="708"/>
          <w:docGrid w:linePitch="360"/>
        </w:sectPr>
      </w:pPr>
    </w:p>
    <w:p w14:paraId="2332BC9E" w14:textId="77777777" w:rsidR="008A23AD" w:rsidRDefault="0086564C" w:rsidP="008A23AD">
      <w:pPr>
        <w:pStyle w:val="AppendixHeading1"/>
      </w:pPr>
      <w:bookmarkStart w:id="57" w:name="_Toc100326817"/>
      <w:r>
        <w:lastRenderedPageBreak/>
        <w:t>Strategic Vehicle Safety and Environment Group</w:t>
      </w:r>
      <w:bookmarkEnd w:id="57"/>
    </w:p>
    <w:p w14:paraId="6C7ABC75" w14:textId="77777777" w:rsidR="00977CA5" w:rsidRDefault="00977CA5" w:rsidP="00977CA5">
      <w:r w:rsidRPr="00977CA5">
        <w:t>The prime purpose of the Strategic Vehicle Safety and Environment Group (SVSEG) is to consider how governments, industry and road user organisations will ensure that vehicles sold in Australia are both safe and environmentally friendly.</w:t>
      </w:r>
      <w:r w:rsidR="000B61A1">
        <w:t xml:space="preserve"> </w:t>
      </w:r>
      <w:r w:rsidRPr="00977CA5">
        <w:t xml:space="preserve">SVSEG is an advisory body of </w:t>
      </w:r>
      <w:r>
        <w:t>ITSOC</w:t>
      </w:r>
      <w:r w:rsidRPr="00977CA5">
        <w:t xml:space="preserve">, which is primarily responsible for advising the Council on road safety matters of national concern.  SVSEG will coordinate work on national vehicle issues on behalf of </w:t>
      </w:r>
      <w:r>
        <w:t>ITSOC</w:t>
      </w:r>
      <w:r w:rsidRPr="00977CA5">
        <w:t xml:space="preserve"> and government representatives of SVSEG will serve as the </w:t>
      </w:r>
      <w:proofErr w:type="spellStart"/>
      <w:r w:rsidRPr="00977CA5">
        <w:t>Austroads</w:t>
      </w:r>
      <w:proofErr w:type="spellEnd"/>
      <w:r w:rsidRPr="00977CA5">
        <w:t xml:space="preserve"> Safety Task Force (ASTF) Safe Vehicles Theme Group (SVTG).</w:t>
      </w:r>
    </w:p>
    <w:p w14:paraId="3B9CC426" w14:textId="77777777" w:rsidR="0024270A" w:rsidRDefault="0024270A" w:rsidP="00977CA5">
      <w:pPr>
        <w:rPr>
          <w:i/>
        </w:rPr>
        <w:sectPr w:rsidR="0024270A" w:rsidSect="00D87AD8">
          <w:pgSz w:w="11906" w:h="16838" w:code="9"/>
          <w:pgMar w:top="1021" w:right="1021" w:bottom="1021" w:left="1021" w:header="510" w:footer="567" w:gutter="0"/>
          <w:cols w:space="708"/>
          <w:docGrid w:linePitch="360"/>
        </w:sectPr>
      </w:pPr>
    </w:p>
    <w:p w14:paraId="081DB229" w14:textId="77777777" w:rsidR="00977CA5" w:rsidRPr="0024270A" w:rsidRDefault="00977CA5" w:rsidP="00977CA5">
      <w:pPr>
        <w:rPr>
          <w:i/>
          <w:u w:val="single"/>
        </w:rPr>
      </w:pPr>
      <w:r w:rsidRPr="0024270A">
        <w:rPr>
          <w:i/>
          <w:u w:val="single"/>
        </w:rPr>
        <w:t>Manufacturer Representatives</w:t>
      </w:r>
    </w:p>
    <w:p w14:paraId="764885E4" w14:textId="77777777" w:rsidR="00977CA5" w:rsidRDefault="00171935" w:rsidP="00977CA5">
      <w:r>
        <w:t>Australian Road Transport Suppliers Association (ARTSA)</w:t>
      </w:r>
    </w:p>
    <w:p w14:paraId="5745621B" w14:textId="77777777" w:rsidR="00171935" w:rsidRDefault="00171935" w:rsidP="00977CA5">
      <w:r>
        <w:t>Bus Industry Confederation (BIC)</w:t>
      </w:r>
    </w:p>
    <w:p w14:paraId="1BD17D67" w14:textId="77777777" w:rsidR="006C5DB9" w:rsidRDefault="00171935" w:rsidP="00977CA5">
      <w:r>
        <w:t>Commercial Vehicle Industry Association of Australia (CVIAA)</w:t>
      </w:r>
    </w:p>
    <w:p w14:paraId="4EC498DB" w14:textId="77777777" w:rsidR="006C5DB9" w:rsidRDefault="006C5DB9" w:rsidP="00977CA5">
      <w:r>
        <w:t xml:space="preserve">Caravan Industry </w:t>
      </w:r>
      <w:r w:rsidR="00FB3F0E">
        <w:t>Association of Australia Ltd</w:t>
      </w:r>
      <w:r w:rsidR="004E1E4C">
        <w:t xml:space="preserve"> (CIAA)</w:t>
      </w:r>
    </w:p>
    <w:p w14:paraId="6728EB7D" w14:textId="77777777" w:rsidR="00171935" w:rsidRDefault="00171935" w:rsidP="00977CA5">
      <w:r>
        <w:t>Federal Chamber of Automotive Industries (FCAI)</w:t>
      </w:r>
    </w:p>
    <w:p w14:paraId="27DF03C3" w14:textId="77777777" w:rsidR="00171935" w:rsidRDefault="00171935" w:rsidP="00977CA5">
      <w:r>
        <w:t>Heavy Vehicle Industry Australia (HVIA)</w:t>
      </w:r>
    </w:p>
    <w:p w14:paraId="31A01227" w14:textId="77777777" w:rsidR="00171935" w:rsidRDefault="00171935" w:rsidP="00977CA5">
      <w:r>
        <w:t>Truck Industry Council (TIC)</w:t>
      </w:r>
    </w:p>
    <w:p w14:paraId="64E5327D" w14:textId="77777777" w:rsidR="00171935" w:rsidRDefault="006C5DB9" w:rsidP="00977CA5">
      <w:r>
        <w:t>Victorian Automobile Chamber of Commerce (VACC)</w:t>
      </w:r>
    </w:p>
    <w:p w14:paraId="47CEDAD3" w14:textId="77777777" w:rsidR="006C5DB9" w:rsidRDefault="006C5DB9" w:rsidP="00977CA5"/>
    <w:p w14:paraId="65AD9C54" w14:textId="77777777" w:rsidR="00977CA5" w:rsidRPr="0024270A" w:rsidRDefault="00977CA5" w:rsidP="00977CA5">
      <w:pPr>
        <w:rPr>
          <w:i/>
          <w:u w:val="single"/>
        </w:rPr>
      </w:pPr>
      <w:r w:rsidRPr="0024270A">
        <w:rPr>
          <w:i/>
          <w:u w:val="single"/>
        </w:rPr>
        <w:t>Consumer Representatives</w:t>
      </w:r>
    </w:p>
    <w:p w14:paraId="50532DE3" w14:textId="77777777" w:rsidR="00977CA5" w:rsidRDefault="00171935" w:rsidP="00977CA5">
      <w:r>
        <w:t>Australasian New Car Assessment Program (ANCAP)</w:t>
      </w:r>
    </w:p>
    <w:p w14:paraId="22144278" w14:textId="77777777" w:rsidR="00171935" w:rsidRDefault="00171935" w:rsidP="00977CA5">
      <w:r>
        <w:t>Australian Automobile Association (AAA)</w:t>
      </w:r>
    </w:p>
    <w:p w14:paraId="7E46C9BC" w14:textId="77777777" w:rsidR="00171935" w:rsidRDefault="00171935" w:rsidP="00977CA5">
      <w:r>
        <w:t>Australian Trucking Association (ATA)</w:t>
      </w:r>
    </w:p>
    <w:p w14:paraId="7CB630D2" w14:textId="77777777" w:rsidR="00171935" w:rsidRDefault="00171935" w:rsidP="00977CA5"/>
    <w:p w14:paraId="747BEE7C" w14:textId="77777777" w:rsidR="0024270A" w:rsidRDefault="0024270A" w:rsidP="00977CA5">
      <w:pPr>
        <w:rPr>
          <w:i/>
        </w:rPr>
      </w:pPr>
    </w:p>
    <w:p w14:paraId="5178F12C" w14:textId="77777777" w:rsidR="00977CA5" w:rsidRPr="0024270A" w:rsidRDefault="00977CA5" w:rsidP="00977CA5">
      <w:pPr>
        <w:rPr>
          <w:i/>
          <w:u w:val="single"/>
        </w:rPr>
      </w:pPr>
      <w:r w:rsidRPr="0024270A">
        <w:rPr>
          <w:i/>
          <w:u w:val="single"/>
        </w:rPr>
        <w:t>Government Representatives</w:t>
      </w:r>
    </w:p>
    <w:p w14:paraId="27C91501" w14:textId="77777777" w:rsidR="00977CA5" w:rsidRDefault="00171935" w:rsidP="00977CA5">
      <w:r>
        <w:t>Department of Infrastructure, Transport, Regional Development and Communications</w:t>
      </w:r>
    </w:p>
    <w:p w14:paraId="6837900B" w14:textId="77777777" w:rsidR="00171935" w:rsidRDefault="00DD3172" w:rsidP="00977CA5">
      <w:r>
        <w:t>Department of Transport and Main Roads, QLD</w:t>
      </w:r>
    </w:p>
    <w:p w14:paraId="369DD72E" w14:textId="77777777" w:rsidR="00DD3172" w:rsidRDefault="00DD3172" w:rsidP="00977CA5">
      <w:r>
        <w:t>Road Safety Commission, WA</w:t>
      </w:r>
    </w:p>
    <w:p w14:paraId="6054C9BD" w14:textId="77777777" w:rsidR="00DD3172" w:rsidRDefault="00DD3172" w:rsidP="00977CA5">
      <w:r>
        <w:t>Department of Transport, WA</w:t>
      </w:r>
    </w:p>
    <w:p w14:paraId="2FCC432F" w14:textId="77777777" w:rsidR="00DD3172" w:rsidRDefault="00DD3172" w:rsidP="00977CA5">
      <w:r>
        <w:t>Department of Transport, VIC</w:t>
      </w:r>
    </w:p>
    <w:p w14:paraId="4A3A2EA7" w14:textId="77777777" w:rsidR="00DD3172" w:rsidRDefault="00DD3172" w:rsidP="00977CA5">
      <w:r>
        <w:t>Transport for NSW, NSW</w:t>
      </w:r>
    </w:p>
    <w:p w14:paraId="351C8892" w14:textId="77777777" w:rsidR="00DD3172" w:rsidRDefault="006C5DB9" w:rsidP="00977CA5">
      <w:r>
        <w:t>Department for Infrastructure and Transport, SA</w:t>
      </w:r>
    </w:p>
    <w:p w14:paraId="22B022F5" w14:textId="77777777" w:rsidR="006C5DB9" w:rsidRDefault="006C5DB9" w:rsidP="00977CA5">
      <w:r>
        <w:t>Department of Infrastructure, Planning and Logistics, NT</w:t>
      </w:r>
    </w:p>
    <w:p w14:paraId="5A39C348" w14:textId="77777777" w:rsidR="006C5DB9" w:rsidRDefault="006C5DB9" w:rsidP="00977CA5">
      <w:r>
        <w:t>Department of State Growth, TAS</w:t>
      </w:r>
    </w:p>
    <w:p w14:paraId="7505766C" w14:textId="77777777" w:rsidR="006C5DB9" w:rsidRDefault="006C5DB9" w:rsidP="00977CA5">
      <w:r>
        <w:t>Justice and Community Safety, ACT</w:t>
      </w:r>
    </w:p>
    <w:p w14:paraId="6D9D0232" w14:textId="77777777" w:rsidR="006C5DB9" w:rsidRDefault="006C5DB9" w:rsidP="00977CA5">
      <w:r>
        <w:t>New Zealand Transport Agency</w:t>
      </w:r>
    </w:p>
    <w:p w14:paraId="3B6A26D5" w14:textId="77777777" w:rsidR="00DD3172" w:rsidRDefault="00DD3172" w:rsidP="00977CA5"/>
    <w:p w14:paraId="72609E28" w14:textId="77777777" w:rsidR="00977CA5" w:rsidRPr="0024270A" w:rsidRDefault="00977CA5" w:rsidP="00977CA5">
      <w:pPr>
        <w:rPr>
          <w:u w:val="single"/>
        </w:rPr>
      </w:pPr>
      <w:r w:rsidRPr="0024270A">
        <w:rPr>
          <w:i/>
          <w:u w:val="single"/>
        </w:rPr>
        <w:t>Intergovernmental Representatives</w:t>
      </w:r>
    </w:p>
    <w:p w14:paraId="7FA04A21" w14:textId="77777777" w:rsidR="008A23AD" w:rsidRDefault="00171935" w:rsidP="008A23AD">
      <w:r>
        <w:t>National Transport Commission (NTC)</w:t>
      </w:r>
    </w:p>
    <w:p w14:paraId="4348DFE1" w14:textId="77777777" w:rsidR="00171935" w:rsidRDefault="00171935" w:rsidP="008A23AD">
      <w:r>
        <w:t>National Heavy Vehicle Regulator (NHVR)</w:t>
      </w:r>
    </w:p>
    <w:p w14:paraId="5DC1995F" w14:textId="77777777" w:rsidR="0024270A" w:rsidRDefault="0024270A" w:rsidP="008A23AD">
      <w:pPr>
        <w:sectPr w:rsidR="0024270A" w:rsidSect="0024270A">
          <w:type w:val="continuous"/>
          <w:pgSz w:w="11906" w:h="16838" w:code="9"/>
          <w:pgMar w:top="1021" w:right="1021" w:bottom="1021" w:left="1021" w:header="510" w:footer="567" w:gutter="0"/>
          <w:cols w:num="2" w:space="708"/>
          <w:docGrid w:linePitch="360"/>
        </w:sectPr>
      </w:pPr>
    </w:p>
    <w:p w14:paraId="6725BB29" w14:textId="77777777" w:rsidR="00171935" w:rsidRPr="00044540" w:rsidRDefault="00171935" w:rsidP="008A23AD"/>
    <w:p w14:paraId="2D89F215" w14:textId="77777777" w:rsidR="008E226D" w:rsidRDefault="008E226D" w:rsidP="008A23AD">
      <w:pPr>
        <w:pStyle w:val="AppendixHeading1"/>
        <w:sectPr w:rsidR="008E226D" w:rsidSect="0024270A">
          <w:type w:val="continuous"/>
          <w:pgSz w:w="11906" w:h="16838" w:code="9"/>
          <w:pgMar w:top="1021" w:right="1021" w:bottom="1021" w:left="1021" w:header="510" w:footer="567" w:gutter="0"/>
          <w:cols w:space="708"/>
          <w:docGrid w:linePitch="360"/>
        </w:sectPr>
      </w:pPr>
    </w:p>
    <w:p w14:paraId="2018CF78" w14:textId="77777777" w:rsidR="008A23AD" w:rsidRDefault="00DA2099" w:rsidP="008A23AD">
      <w:pPr>
        <w:pStyle w:val="AppendixHeading1"/>
      </w:pPr>
      <w:bookmarkStart w:id="58" w:name="_Toc100326818"/>
      <w:r>
        <w:lastRenderedPageBreak/>
        <w:t>Technical Liaison Group</w:t>
      </w:r>
      <w:bookmarkEnd w:id="58"/>
    </w:p>
    <w:p w14:paraId="72DBFF24" w14:textId="54109658" w:rsidR="00217290" w:rsidRDefault="00F20388" w:rsidP="00D509A5">
      <w:pPr>
        <w:rPr>
          <w:lang w:val="en-US"/>
        </w:rPr>
      </w:pPr>
      <w:r w:rsidRPr="00F20388">
        <w:rPr>
          <w:lang w:val="en-US"/>
        </w:rPr>
        <w:t xml:space="preserve">The Technical Liaison Group (TLG) has two principal roles: to advise the Strategic Vehicle Safety and Environment Group (SVSEG) on detailed technical issues relating to the implementation and development of the </w:t>
      </w:r>
      <w:r w:rsidR="008742A6">
        <w:rPr>
          <w:lang w:val="en-US"/>
        </w:rPr>
        <w:t>ADR</w:t>
      </w:r>
      <w:r w:rsidRPr="00F20388">
        <w:rPr>
          <w:lang w:val="en-US"/>
        </w:rPr>
        <w:t>s for vehicles, and to advise SVSEG on detailed technical issues relating to regulatory and non-regulatory approaches to improving vehicle safety and environmental performance.</w:t>
      </w:r>
    </w:p>
    <w:p w14:paraId="7CD7EC07" w14:textId="77777777" w:rsidR="000B61A1" w:rsidRDefault="000B61A1" w:rsidP="000B61A1">
      <w:pPr>
        <w:rPr>
          <w:i/>
          <w:u w:val="single"/>
        </w:rPr>
        <w:sectPr w:rsidR="000B61A1" w:rsidSect="00D87AD8">
          <w:pgSz w:w="11906" w:h="16838" w:code="9"/>
          <w:pgMar w:top="1021" w:right="1021" w:bottom="1021" w:left="1021" w:header="510" w:footer="567" w:gutter="0"/>
          <w:cols w:space="708"/>
          <w:docGrid w:linePitch="360"/>
        </w:sectPr>
      </w:pPr>
    </w:p>
    <w:p w14:paraId="0286D4BD" w14:textId="77777777" w:rsidR="000B61A1" w:rsidRPr="0024270A" w:rsidRDefault="000B61A1" w:rsidP="000B61A1">
      <w:pPr>
        <w:rPr>
          <w:i/>
          <w:u w:val="single"/>
        </w:rPr>
      </w:pPr>
      <w:r w:rsidRPr="0024270A">
        <w:rPr>
          <w:i/>
          <w:u w:val="single"/>
        </w:rPr>
        <w:t>Manufacturer Representatives</w:t>
      </w:r>
    </w:p>
    <w:p w14:paraId="099C0472" w14:textId="77777777" w:rsidR="000B61A1" w:rsidRDefault="000B61A1" w:rsidP="000B61A1">
      <w:r>
        <w:t>Australian Road Transport Suppliers Association (ARTSA)</w:t>
      </w:r>
    </w:p>
    <w:p w14:paraId="41633C38" w14:textId="77777777" w:rsidR="000B61A1" w:rsidRDefault="000B61A1" w:rsidP="000B61A1">
      <w:r>
        <w:t>Bus Industry Confederation (BIC)</w:t>
      </w:r>
    </w:p>
    <w:p w14:paraId="170A00A9" w14:textId="77777777" w:rsidR="000B61A1" w:rsidRDefault="000B61A1" w:rsidP="000B61A1">
      <w:r>
        <w:t>Commercial Vehicle Industry Association of Australia (CVIAA)</w:t>
      </w:r>
    </w:p>
    <w:p w14:paraId="75C81328" w14:textId="77777777" w:rsidR="000B61A1" w:rsidRDefault="000B61A1" w:rsidP="000B61A1">
      <w:r>
        <w:t>Caravan Industry Association of Australia Ltd</w:t>
      </w:r>
    </w:p>
    <w:p w14:paraId="1793D57A" w14:textId="77777777" w:rsidR="000B61A1" w:rsidRDefault="000B61A1" w:rsidP="000B61A1">
      <w:r>
        <w:t>Federal Chamber of Automotive Industries (FCAI)</w:t>
      </w:r>
    </w:p>
    <w:p w14:paraId="1D716B2F" w14:textId="77777777" w:rsidR="000B61A1" w:rsidRDefault="000B61A1" w:rsidP="000B61A1">
      <w:r>
        <w:t>Heavy Vehicle Industry Australia (HVIA)</w:t>
      </w:r>
    </w:p>
    <w:p w14:paraId="2329B6F4" w14:textId="77777777" w:rsidR="000B61A1" w:rsidRDefault="000B61A1" w:rsidP="000B61A1">
      <w:r>
        <w:t>Truck Industry Council (TIC)</w:t>
      </w:r>
    </w:p>
    <w:p w14:paraId="125C700E" w14:textId="77777777" w:rsidR="000B61A1" w:rsidRDefault="000B61A1" w:rsidP="000B61A1">
      <w:r>
        <w:t>Victorian Automobile Chamber of Commerce (VACC)</w:t>
      </w:r>
    </w:p>
    <w:p w14:paraId="7F439283" w14:textId="77777777" w:rsidR="000B61A1" w:rsidRDefault="000B61A1" w:rsidP="000B61A1"/>
    <w:p w14:paraId="5E58AC17" w14:textId="77777777" w:rsidR="000B61A1" w:rsidRPr="0024270A" w:rsidRDefault="000B61A1" w:rsidP="000B61A1">
      <w:pPr>
        <w:rPr>
          <w:i/>
          <w:u w:val="single"/>
        </w:rPr>
      </w:pPr>
      <w:r w:rsidRPr="0024270A">
        <w:rPr>
          <w:i/>
          <w:u w:val="single"/>
        </w:rPr>
        <w:t>Consumer Representatives</w:t>
      </w:r>
    </w:p>
    <w:p w14:paraId="0ACEDBFB" w14:textId="77777777" w:rsidR="000B61A1" w:rsidRDefault="000B61A1" w:rsidP="000B61A1">
      <w:r>
        <w:t>Australasian New Car Assessment Program (ANCAP)</w:t>
      </w:r>
    </w:p>
    <w:p w14:paraId="3CD9D5B2" w14:textId="77777777" w:rsidR="000B61A1" w:rsidRDefault="000B61A1" w:rsidP="000B61A1">
      <w:r>
        <w:t>Australian Automobile Association (AAA)</w:t>
      </w:r>
    </w:p>
    <w:p w14:paraId="0BE7D945" w14:textId="77777777" w:rsidR="000B61A1" w:rsidRDefault="000B61A1" w:rsidP="000B61A1">
      <w:r>
        <w:t>Australian Trucking Association (ATA)</w:t>
      </w:r>
    </w:p>
    <w:p w14:paraId="5886EA1B" w14:textId="77777777" w:rsidR="000B61A1" w:rsidRDefault="000B61A1" w:rsidP="000B61A1">
      <w:r>
        <w:t>Registered Automotive Workshop Scheme Association</w:t>
      </w:r>
    </w:p>
    <w:p w14:paraId="4ACFF6EF" w14:textId="77777777" w:rsidR="000B61A1" w:rsidRDefault="000B61A1" w:rsidP="000B61A1">
      <w:r>
        <w:t>Australian</w:t>
      </w:r>
      <w:r w:rsidR="004565F7">
        <w:t xml:space="preserve"> Imported Motor Vehicle Industry Association (AIMVIA)</w:t>
      </w:r>
    </w:p>
    <w:p w14:paraId="27410299" w14:textId="77777777" w:rsidR="000B61A1" w:rsidRPr="0024270A" w:rsidRDefault="000B61A1" w:rsidP="000B61A1">
      <w:pPr>
        <w:rPr>
          <w:i/>
          <w:u w:val="single"/>
        </w:rPr>
      </w:pPr>
      <w:r w:rsidRPr="0024270A">
        <w:rPr>
          <w:i/>
          <w:u w:val="single"/>
        </w:rPr>
        <w:t>Government Representatives</w:t>
      </w:r>
    </w:p>
    <w:p w14:paraId="040D5DE9" w14:textId="77777777" w:rsidR="000B61A1" w:rsidRDefault="000B61A1" w:rsidP="000B61A1">
      <w:r>
        <w:t>Department of Infrastructure, Transport, Regional Development and Communications</w:t>
      </w:r>
    </w:p>
    <w:p w14:paraId="0FD85B36" w14:textId="77777777" w:rsidR="000B61A1" w:rsidRDefault="000B61A1" w:rsidP="000B61A1">
      <w:r>
        <w:t>Department of Transport and Main Roads, QLD</w:t>
      </w:r>
    </w:p>
    <w:p w14:paraId="7A2FD67E" w14:textId="77777777" w:rsidR="000B61A1" w:rsidRDefault="000B61A1" w:rsidP="000B61A1">
      <w:r>
        <w:t>Department of Transport, VIC</w:t>
      </w:r>
    </w:p>
    <w:p w14:paraId="1844A29A" w14:textId="77777777" w:rsidR="000B61A1" w:rsidRDefault="000B61A1" w:rsidP="000B61A1">
      <w:r>
        <w:t>Transport for NSW, NSW</w:t>
      </w:r>
    </w:p>
    <w:p w14:paraId="1C1EA71E" w14:textId="77777777" w:rsidR="000B61A1" w:rsidRDefault="000B61A1" w:rsidP="000B61A1">
      <w:r>
        <w:t>Department for Infrastructure and Transport, SA</w:t>
      </w:r>
    </w:p>
    <w:p w14:paraId="5EFDF413" w14:textId="77777777" w:rsidR="000B61A1" w:rsidRDefault="000B61A1" w:rsidP="000B61A1">
      <w:r>
        <w:t>Department of Infrastructure, Planning and Logistics, NT</w:t>
      </w:r>
    </w:p>
    <w:p w14:paraId="4F89765C" w14:textId="77777777" w:rsidR="000B61A1" w:rsidRDefault="000B61A1" w:rsidP="000B61A1">
      <w:r>
        <w:t>Department of State Growth, TAS</w:t>
      </w:r>
    </w:p>
    <w:p w14:paraId="678E921E" w14:textId="77777777" w:rsidR="000B61A1" w:rsidRDefault="000B61A1" w:rsidP="000B61A1">
      <w:r>
        <w:t>Justice and Community Safety, ACT</w:t>
      </w:r>
    </w:p>
    <w:p w14:paraId="63887BE9" w14:textId="77777777" w:rsidR="000B61A1" w:rsidRDefault="000B61A1" w:rsidP="000B61A1">
      <w:r>
        <w:t>New Zealand Transport Agency</w:t>
      </w:r>
    </w:p>
    <w:p w14:paraId="060692E2" w14:textId="77777777" w:rsidR="000B61A1" w:rsidRDefault="000B61A1" w:rsidP="000B61A1"/>
    <w:p w14:paraId="453D9788" w14:textId="77777777" w:rsidR="000B61A1" w:rsidRPr="0024270A" w:rsidRDefault="000B61A1" w:rsidP="000B61A1">
      <w:pPr>
        <w:rPr>
          <w:u w:val="single"/>
        </w:rPr>
      </w:pPr>
      <w:r w:rsidRPr="0024270A">
        <w:rPr>
          <w:i/>
          <w:u w:val="single"/>
        </w:rPr>
        <w:t>Intergovernmental Representatives</w:t>
      </w:r>
    </w:p>
    <w:p w14:paraId="66EB156B" w14:textId="77777777" w:rsidR="000B61A1" w:rsidRDefault="000B61A1" w:rsidP="000B61A1">
      <w:r>
        <w:t>National Transport Commission (NTC)</w:t>
      </w:r>
    </w:p>
    <w:p w14:paraId="63A1A1FB" w14:textId="77777777" w:rsidR="000B61A1" w:rsidRDefault="000B61A1" w:rsidP="000B61A1">
      <w:r>
        <w:t>National Heavy Vehicle Regulator (NHVR)</w:t>
      </w:r>
    </w:p>
    <w:p w14:paraId="4ACFFA8B" w14:textId="77777777" w:rsidR="000B61A1" w:rsidRDefault="000B61A1" w:rsidP="000B61A1"/>
    <w:p w14:paraId="27CB709A" w14:textId="77777777" w:rsidR="000B61A1" w:rsidRPr="0024270A" w:rsidRDefault="000B61A1" w:rsidP="000B61A1">
      <w:pPr>
        <w:rPr>
          <w:lang w:val="en-US"/>
        </w:rPr>
      </w:pPr>
    </w:p>
    <w:p w14:paraId="42AB9013" w14:textId="77777777" w:rsidR="000B61A1" w:rsidRDefault="000B61A1" w:rsidP="008A23AD">
      <w:pPr>
        <w:rPr>
          <w:lang w:val="x-none"/>
        </w:rPr>
        <w:sectPr w:rsidR="000B61A1" w:rsidSect="000B61A1">
          <w:type w:val="continuous"/>
          <w:pgSz w:w="11906" w:h="16838" w:code="9"/>
          <w:pgMar w:top="1021" w:right="1021" w:bottom="1021" w:left="1021" w:header="510" w:footer="567" w:gutter="0"/>
          <w:cols w:num="2" w:space="708"/>
          <w:docGrid w:linePitch="360"/>
        </w:sectPr>
      </w:pPr>
    </w:p>
    <w:p w14:paraId="4AC2F15C" w14:textId="77777777" w:rsidR="00217290" w:rsidRDefault="00217290" w:rsidP="008A23AD">
      <w:pPr>
        <w:rPr>
          <w:lang w:val="x-none"/>
        </w:rPr>
      </w:pPr>
    </w:p>
    <w:p w14:paraId="33B222B3" w14:textId="77777777" w:rsidR="00DA2099" w:rsidRDefault="00DA2099" w:rsidP="008A23AD">
      <w:pPr>
        <w:rPr>
          <w:lang w:val="x-none"/>
        </w:rPr>
        <w:sectPr w:rsidR="00DA2099" w:rsidSect="000B61A1">
          <w:type w:val="continuous"/>
          <w:pgSz w:w="11906" w:h="16838" w:code="9"/>
          <w:pgMar w:top="1021" w:right="1021" w:bottom="1021" w:left="1021" w:header="510" w:footer="567" w:gutter="0"/>
          <w:cols w:space="708"/>
          <w:docGrid w:linePitch="360"/>
        </w:sectPr>
      </w:pPr>
    </w:p>
    <w:p w14:paraId="53EA036B" w14:textId="77777777" w:rsidR="008A23AD" w:rsidRPr="005F794B" w:rsidRDefault="008A23AD" w:rsidP="008A23AD">
      <w:pPr>
        <w:pStyle w:val="AppendixHeading1"/>
      </w:pPr>
      <w:bookmarkStart w:id="59" w:name="_Toc100326819"/>
      <w:r>
        <w:lastRenderedPageBreak/>
        <w:t>UN Regulation No. 130 performance requirements</w:t>
      </w:r>
      <w:bookmarkEnd w:id="59"/>
    </w:p>
    <w:p w14:paraId="53920A45" w14:textId="77777777" w:rsidR="008A23AD" w:rsidRDefault="008A23AD" w:rsidP="008A23AD">
      <w:pPr>
        <w:rPr>
          <w:lang w:val="x-none"/>
        </w:rPr>
      </w:pPr>
    </w:p>
    <w:p w14:paraId="24A0D036" w14:textId="77777777" w:rsidR="001C4E24" w:rsidRDefault="00062168" w:rsidP="008A23AD">
      <w:r w:rsidRPr="00062168">
        <w:t>The performance of the LDWS is assessed in a series of four tests conducted at a speed of 65 ± 3 km/h. Two of these tests are performed by gently drifting the vehicle to the left, so that the vehicle crosses the lane markings at two different rates of departure within the range 0.1 to 0.8 m/s. The other two tests are performed by gently drifting the vehicle to the right, so that the vehicle crosses the lane markings at two different rates of departure within the range 0.1 to 0.8 m/s. In all tests, the required warnings must be provided before the outside of the tyre on the front wheel closest to the lane markings passes more than 0.3 m beyond the outside edge of the lane markings. UN R130 also includes failure warning signal and deactivation warning signal tests for the LDWS.</w:t>
      </w:r>
    </w:p>
    <w:p w14:paraId="4860649C" w14:textId="77777777" w:rsidR="003D1945" w:rsidRPr="003D1945" w:rsidRDefault="003D1945" w:rsidP="003D1945">
      <w:pPr>
        <w:rPr>
          <w:b/>
        </w:rPr>
      </w:pPr>
      <w:r w:rsidRPr="003D1945">
        <w:rPr>
          <w:b/>
        </w:rPr>
        <w:t>Warning and activation</w:t>
      </w:r>
    </w:p>
    <w:p w14:paraId="350088F8" w14:textId="77777777" w:rsidR="003D1945" w:rsidRPr="003D1945" w:rsidRDefault="003D1945" w:rsidP="003D1945">
      <w:r w:rsidRPr="003D1945">
        <w:t>Summary of the requirements for the test vehicles and conditions.</w:t>
      </w:r>
      <w:r w:rsidRPr="003D1945">
        <w:rPr>
          <w:lang w:val="en-US"/>
        </w:rPr>
        <w:t xml:space="preserve"> LDWS is required (when active) to warn the driver if the vehicle crosses over a visible lane marking, when there has been no purposeful demand to do so (including for both straight sections, and curved sections having an inner lane marking with a radius </w:t>
      </w:r>
      <w:r w:rsidRPr="003D1945">
        <w:rPr>
          <w:u w:val="single"/>
          <w:lang w:val="en-US"/>
        </w:rPr>
        <w:t>&gt;</w:t>
      </w:r>
      <w:r w:rsidRPr="003D1945">
        <w:rPr>
          <w:lang w:val="en-US"/>
        </w:rPr>
        <w:t xml:space="preserve">250 m. The </w:t>
      </w:r>
      <w:r w:rsidRPr="003D1945">
        <w:t xml:space="preserve">LDWS is active above road speeds of 60 km/h providing it has not manually been deactivated by a switch within the cabin. </w:t>
      </w:r>
    </w:p>
    <w:p w14:paraId="709352D4" w14:textId="77777777" w:rsidR="003D1945" w:rsidRPr="003D1945" w:rsidRDefault="003D1945" w:rsidP="003D1945">
      <w:r w:rsidRPr="003D1945">
        <w:rPr>
          <w:lang w:val="en-US"/>
        </w:rPr>
        <w:t>Test conditions: -</w:t>
      </w:r>
    </w:p>
    <w:p w14:paraId="5EDD8CD2" w14:textId="77777777" w:rsidR="003D1945" w:rsidRPr="003D1945" w:rsidRDefault="003D1945" w:rsidP="00CB0804">
      <w:pPr>
        <w:numPr>
          <w:ilvl w:val="0"/>
          <w:numId w:val="23"/>
        </w:numPr>
        <w:rPr>
          <w:lang w:val="en-US"/>
        </w:rPr>
      </w:pPr>
      <w:r w:rsidRPr="003D1945">
        <w:rPr>
          <w:lang w:val="en-US"/>
        </w:rPr>
        <w:t>On a flat dry asphalt or concrete surface.</w:t>
      </w:r>
    </w:p>
    <w:p w14:paraId="74702D3A" w14:textId="77777777" w:rsidR="003D1945" w:rsidRPr="003D1945" w:rsidRDefault="003D1945" w:rsidP="00CB0804">
      <w:pPr>
        <w:numPr>
          <w:ilvl w:val="0"/>
          <w:numId w:val="23"/>
        </w:numPr>
        <w:rPr>
          <w:lang w:val="en-US"/>
        </w:rPr>
      </w:pPr>
      <w:r w:rsidRPr="003D1945">
        <w:rPr>
          <w:lang w:val="en-US"/>
        </w:rPr>
        <w:t>Ambient temperature shall be between 0° and 45°.</w:t>
      </w:r>
    </w:p>
    <w:p w14:paraId="0E83FB37" w14:textId="77777777" w:rsidR="003D1945" w:rsidRPr="003D1945" w:rsidRDefault="003D1945" w:rsidP="00CB0804">
      <w:pPr>
        <w:numPr>
          <w:ilvl w:val="0"/>
          <w:numId w:val="23"/>
        </w:numPr>
        <w:rPr>
          <w:lang w:val="en-US"/>
        </w:rPr>
      </w:pPr>
      <w:r w:rsidRPr="003D1945">
        <w:rPr>
          <w:lang w:val="en-US"/>
        </w:rPr>
        <w:t>Visible lane markings.</w:t>
      </w:r>
    </w:p>
    <w:p w14:paraId="78492B3E" w14:textId="77777777" w:rsidR="003D1945" w:rsidRPr="003D1945" w:rsidRDefault="003D1945" w:rsidP="00CB0804">
      <w:pPr>
        <w:numPr>
          <w:ilvl w:val="0"/>
          <w:numId w:val="23"/>
        </w:numPr>
        <w:rPr>
          <w:lang w:val="en-US"/>
        </w:rPr>
      </w:pPr>
      <w:r w:rsidRPr="003D1945">
        <w:rPr>
          <w:lang w:val="en-US"/>
        </w:rPr>
        <w:t xml:space="preserve">The vehicle tested with recommended vehicle manufacture </w:t>
      </w:r>
      <w:proofErr w:type="spellStart"/>
      <w:r w:rsidRPr="003D1945">
        <w:rPr>
          <w:lang w:val="en-US"/>
        </w:rPr>
        <w:t>tyre</w:t>
      </w:r>
      <w:proofErr w:type="spellEnd"/>
      <w:r w:rsidRPr="003D1945">
        <w:rPr>
          <w:lang w:val="en-US"/>
        </w:rPr>
        <w:t xml:space="preserve"> pressures.</w:t>
      </w:r>
    </w:p>
    <w:p w14:paraId="2A0CE78E" w14:textId="77777777" w:rsidR="003D1945" w:rsidRPr="003D1945" w:rsidRDefault="003D1945" w:rsidP="003D1945">
      <w:pPr>
        <w:rPr>
          <w:lang w:val="en-US"/>
        </w:rPr>
      </w:pPr>
    </w:p>
    <w:p w14:paraId="4C1BFA24" w14:textId="77777777" w:rsidR="003D1945" w:rsidRPr="003D1945" w:rsidRDefault="003D1945" w:rsidP="003D1945">
      <w:pPr>
        <w:rPr>
          <w:lang w:val="en-US"/>
        </w:rPr>
      </w:pPr>
      <w:r w:rsidRPr="003D1945">
        <w:rPr>
          <w:lang w:val="en-US"/>
        </w:rPr>
        <w:t>The vehicle test weight: -</w:t>
      </w:r>
    </w:p>
    <w:p w14:paraId="685822D3" w14:textId="77777777" w:rsidR="003D1945" w:rsidRPr="003D1945" w:rsidRDefault="003D1945" w:rsidP="00CB0804">
      <w:pPr>
        <w:numPr>
          <w:ilvl w:val="0"/>
          <w:numId w:val="24"/>
        </w:numPr>
        <w:rPr>
          <w:lang w:val="en-US"/>
        </w:rPr>
      </w:pPr>
      <w:r w:rsidRPr="003D1945">
        <w:rPr>
          <w:lang w:val="en-US"/>
        </w:rPr>
        <w:t>The vehicle maybe tested at any condition of load.</w:t>
      </w:r>
    </w:p>
    <w:p w14:paraId="183CDA23" w14:textId="77777777" w:rsidR="003D1945" w:rsidRPr="003D1945" w:rsidRDefault="003D1945" w:rsidP="00CB0804">
      <w:pPr>
        <w:numPr>
          <w:ilvl w:val="0"/>
          <w:numId w:val="24"/>
        </w:numPr>
        <w:rPr>
          <w:lang w:val="en-US"/>
        </w:rPr>
      </w:pPr>
      <w:r w:rsidRPr="003D1945">
        <w:rPr>
          <w:lang w:val="en-US"/>
        </w:rPr>
        <w:t>The distribution of the mass among the axles being that stated by the vehicle manufacturer.</w:t>
      </w:r>
    </w:p>
    <w:p w14:paraId="71893040" w14:textId="77777777" w:rsidR="003D1945" w:rsidRPr="003D1945" w:rsidRDefault="003D1945" w:rsidP="00CB0804">
      <w:pPr>
        <w:numPr>
          <w:ilvl w:val="0"/>
          <w:numId w:val="24"/>
        </w:numPr>
        <w:rPr>
          <w:lang w:val="en-US"/>
        </w:rPr>
      </w:pPr>
      <w:r w:rsidRPr="003D1945">
        <w:rPr>
          <w:lang w:val="en-US"/>
        </w:rPr>
        <w:t>This must not exceed any of the maximum permissible mass for each axle.</w:t>
      </w:r>
    </w:p>
    <w:p w14:paraId="370D08A7" w14:textId="77777777" w:rsidR="003D1945" w:rsidRPr="003D1945" w:rsidRDefault="003D1945" w:rsidP="00CB0804">
      <w:pPr>
        <w:numPr>
          <w:ilvl w:val="0"/>
          <w:numId w:val="24"/>
        </w:numPr>
        <w:rPr>
          <w:lang w:val="en-US"/>
        </w:rPr>
      </w:pPr>
      <w:r w:rsidRPr="003D1945">
        <w:rPr>
          <w:lang w:val="en-US"/>
        </w:rPr>
        <w:t>No alteration shall be made once the test procedure has begun.</w:t>
      </w:r>
    </w:p>
    <w:p w14:paraId="0A11BCD2" w14:textId="77777777" w:rsidR="003D1945" w:rsidRPr="003D1945" w:rsidRDefault="003D1945" w:rsidP="00CB0804">
      <w:pPr>
        <w:numPr>
          <w:ilvl w:val="0"/>
          <w:numId w:val="24"/>
        </w:numPr>
        <w:rPr>
          <w:lang w:val="en-US"/>
        </w:rPr>
      </w:pPr>
      <w:r w:rsidRPr="003D1945">
        <w:rPr>
          <w:lang w:val="en-US"/>
        </w:rPr>
        <w:t>The vehicle manufacture shall demonstrate through the use of documentation that the system works at all conditions of load.</w:t>
      </w:r>
    </w:p>
    <w:p w14:paraId="65858912" w14:textId="77777777" w:rsidR="003D1945" w:rsidRPr="003D1945" w:rsidRDefault="003D1945" w:rsidP="003D1945">
      <w:pPr>
        <w:rPr>
          <w:lang w:val="en-US"/>
        </w:rPr>
      </w:pPr>
    </w:p>
    <w:p w14:paraId="4EE86E00" w14:textId="77777777" w:rsidR="003D1945" w:rsidRPr="003D1945" w:rsidRDefault="003D1945" w:rsidP="003D1945">
      <w:pPr>
        <w:rPr>
          <w:lang w:val="en-US"/>
        </w:rPr>
      </w:pPr>
      <w:r w:rsidRPr="003D1945">
        <w:rPr>
          <w:lang w:val="en-US"/>
        </w:rPr>
        <w:t>Whenever a LDWS active to warn the driver if the vehicle crosses over a visible lane marking in the lane the vehicle is driven in. A noticeable warning by the driver and be provided by: -</w:t>
      </w:r>
    </w:p>
    <w:p w14:paraId="45D0D682" w14:textId="77777777" w:rsidR="003D1945" w:rsidRPr="003D1945" w:rsidRDefault="003D1945" w:rsidP="00CB0804">
      <w:pPr>
        <w:numPr>
          <w:ilvl w:val="0"/>
          <w:numId w:val="25"/>
        </w:numPr>
        <w:rPr>
          <w:lang w:val="en-US"/>
        </w:rPr>
      </w:pPr>
      <w:r w:rsidRPr="003D1945">
        <w:rPr>
          <w:lang w:val="en-US"/>
        </w:rPr>
        <w:t>At least two warning means out of optical, acoustic and haptic.</w:t>
      </w:r>
    </w:p>
    <w:p w14:paraId="77C21144" w14:textId="77777777" w:rsidR="003D1945" w:rsidRPr="003D1945" w:rsidRDefault="003D1945" w:rsidP="00CB0804">
      <w:pPr>
        <w:numPr>
          <w:ilvl w:val="0"/>
          <w:numId w:val="25"/>
        </w:numPr>
        <w:rPr>
          <w:lang w:val="en-US"/>
        </w:rPr>
      </w:pPr>
      <w:r w:rsidRPr="003D1945">
        <w:rPr>
          <w:lang w:val="en-US"/>
        </w:rPr>
        <w:t>Or, one warning means out of haptic and acoustic, with spatial indication about the direction of unintended drift of the vehicle.</w:t>
      </w:r>
    </w:p>
    <w:p w14:paraId="6B1D47F3" w14:textId="77777777" w:rsidR="003D1945" w:rsidRPr="003D1945" w:rsidRDefault="003D1945" w:rsidP="00CB0804">
      <w:pPr>
        <w:numPr>
          <w:ilvl w:val="0"/>
          <w:numId w:val="25"/>
        </w:numPr>
        <w:rPr>
          <w:lang w:val="en-US"/>
        </w:rPr>
      </w:pPr>
      <w:r w:rsidRPr="003D1945">
        <w:rPr>
          <w:lang w:val="en-US"/>
        </w:rPr>
        <w:t>Where an optical signal is used for the LDWS, it uses the failure warning signal in a flashing mode.</w:t>
      </w:r>
    </w:p>
    <w:p w14:paraId="5D5E24FE" w14:textId="77777777" w:rsidR="003D1945" w:rsidRPr="003D1945" w:rsidRDefault="003D1945" w:rsidP="00CB0804">
      <w:pPr>
        <w:numPr>
          <w:ilvl w:val="0"/>
          <w:numId w:val="25"/>
        </w:numPr>
        <w:rPr>
          <w:lang w:val="en-US"/>
        </w:rPr>
      </w:pPr>
      <w:r w:rsidRPr="003D1945">
        <w:rPr>
          <w:lang w:val="en-US"/>
        </w:rPr>
        <w:lastRenderedPageBreak/>
        <w:t>The optical warning signal shall be yellow.</w:t>
      </w:r>
    </w:p>
    <w:p w14:paraId="7FBE1DE1" w14:textId="77777777" w:rsidR="003D1945" w:rsidRPr="003D1945" w:rsidRDefault="003D1945" w:rsidP="00CB0804">
      <w:pPr>
        <w:numPr>
          <w:ilvl w:val="0"/>
          <w:numId w:val="25"/>
        </w:numPr>
        <w:rPr>
          <w:lang w:val="en-US"/>
        </w:rPr>
      </w:pPr>
      <w:r w:rsidRPr="003D1945">
        <w:rPr>
          <w:lang w:val="en-US"/>
        </w:rPr>
        <w:t>The optical warning signals shall be visible even by daylight; the satisfactory condition of the signals must be easily verifiable by the driver from the driver’s seat.</w:t>
      </w:r>
    </w:p>
    <w:p w14:paraId="3B8D3960" w14:textId="77777777" w:rsidR="003D1945" w:rsidRPr="003D1945" w:rsidRDefault="003D1945" w:rsidP="003D1945"/>
    <w:p w14:paraId="33DEDC6F" w14:textId="77777777" w:rsidR="003D1945" w:rsidRPr="003D1945" w:rsidRDefault="003D1945" w:rsidP="003D1945">
      <w:pPr>
        <w:rPr>
          <w:lang w:val="en-US"/>
        </w:rPr>
      </w:pPr>
      <w:r w:rsidRPr="003D1945">
        <w:rPr>
          <w:lang w:val="en-US"/>
        </w:rPr>
        <w:t>In the case where the LDWS is equipped with a user-adjustable warning threshold, the Lane Departure Warning System shall be performed with the warning threshold set at its maximum lane departure setting. No alteration shall be made once the test procedure has begun.</w:t>
      </w:r>
    </w:p>
    <w:p w14:paraId="07BB6FE2" w14:textId="77777777" w:rsidR="003D1945" w:rsidRPr="003D1945" w:rsidRDefault="003D1945" w:rsidP="003D1945">
      <w:pPr>
        <w:rPr>
          <w:lang w:val="en-US"/>
        </w:rPr>
      </w:pPr>
      <w:r w:rsidRPr="003D1945">
        <w:rPr>
          <w:lang w:val="en-US"/>
        </w:rPr>
        <w:t>The performance of the Lane Departure Warning System (LDWS) is assessed in a series of four tests.</w:t>
      </w:r>
    </w:p>
    <w:p w14:paraId="3CBFF79C" w14:textId="77777777" w:rsidR="003D1945" w:rsidRPr="003D1945" w:rsidRDefault="003D1945" w:rsidP="003D1945">
      <w:pPr>
        <w:rPr>
          <w:lang w:val="en-US"/>
        </w:rPr>
      </w:pPr>
      <w:r w:rsidRPr="003D1945">
        <w:rPr>
          <w:lang w:val="en-US"/>
        </w:rPr>
        <w:t>Drive the vehicle at a speed of 65 km/h +/- 3 km/h into the center of the test lane in a smooth manner so that the attitude of the vehicle is stable.</w:t>
      </w:r>
    </w:p>
    <w:tbl>
      <w:tblPr>
        <w:tblW w:w="0" w:type="auto"/>
        <w:tblLook w:val="04A0" w:firstRow="1" w:lastRow="0" w:firstColumn="1" w:lastColumn="0" w:noHBand="0" w:noVBand="1"/>
      </w:tblPr>
      <w:tblGrid>
        <w:gridCol w:w="3005"/>
        <w:gridCol w:w="3005"/>
        <w:gridCol w:w="3006"/>
      </w:tblGrid>
      <w:tr w:rsidR="003D1945" w:rsidRPr="003D1945" w14:paraId="0C33E5FF" w14:textId="77777777" w:rsidTr="00D433F9">
        <w:trPr>
          <w:trHeight w:val="486"/>
        </w:trPr>
        <w:tc>
          <w:tcPr>
            <w:tcW w:w="9016" w:type="dxa"/>
            <w:gridSpan w:val="3"/>
            <w:tcBorders>
              <w:left w:val="nil"/>
              <w:bottom w:val="single" w:sz="4" w:space="0" w:color="auto"/>
              <w:right w:val="nil"/>
            </w:tcBorders>
            <w:shd w:val="clear" w:color="auto" w:fill="081E3E" w:themeFill="text2"/>
          </w:tcPr>
          <w:p w14:paraId="2B8AF297" w14:textId="77777777" w:rsidR="003D1945" w:rsidRPr="00CB0804" w:rsidRDefault="003D1945" w:rsidP="003D1945">
            <w:pPr>
              <w:rPr>
                <w:b/>
                <w:color w:val="FFFFFF" w:themeColor="background1"/>
              </w:rPr>
            </w:pPr>
            <w:r w:rsidRPr="00CB0804">
              <w:rPr>
                <w:b/>
                <w:color w:val="FFFFFF" w:themeColor="background1"/>
              </w:rPr>
              <w:t xml:space="preserve">Target 65 </w:t>
            </w:r>
            <w:r w:rsidRPr="00CB0804">
              <w:rPr>
                <w:b/>
                <w:color w:val="FFFFFF" w:themeColor="background1"/>
                <w:u w:val="single"/>
              </w:rPr>
              <w:t>+</w:t>
            </w:r>
            <w:r w:rsidRPr="00CB0804">
              <w:rPr>
                <w:b/>
                <w:color w:val="FFFFFF" w:themeColor="background1"/>
              </w:rPr>
              <w:t xml:space="preserve"> 3 km/h</w:t>
            </w:r>
          </w:p>
          <w:p w14:paraId="0C89594F" w14:textId="77777777" w:rsidR="003D1945" w:rsidRPr="003D1945" w:rsidRDefault="003D1945" w:rsidP="003D1945">
            <w:pPr>
              <w:rPr>
                <w:b/>
              </w:rPr>
            </w:pPr>
            <w:r w:rsidRPr="00CB0804">
              <w:rPr>
                <w:b/>
                <w:color w:val="FFFFFF" w:themeColor="background1"/>
              </w:rPr>
              <w:t>The vehicle crosses the lane markings at two different rates of departure within the range 0.1 to 0.8 m/s</w:t>
            </w:r>
          </w:p>
        </w:tc>
      </w:tr>
      <w:tr w:rsidR="003D1945" w:rsidRPr="003D1945" w14:paraId="1B366627" w14:textId="77777777" w:rsidTr="00D433F9">
        <w:tc>
          <w:tcPr>
            <w:tcW w:w="3005" w:type="dxa"/>
          </w:tcPr>
          <w:p w14:paraId="3E0B2740" w14:textId="77777777" w:rsidR="003D1945" w:rsidRPr="003D1945" w:rsidRDefault="003D1945" w:rsidP="003D1945">
            <w:pPr>
              <w:rPr>
                <w:lang w:val="en-US"/>
              </w:rPr>
            </w:pPr>
            <w:r w:rsidRPr="003D1945">
              <w:rPr>
                <w:lang w:val="en-US"/>
              </w:rPr>
              <w:t xml:space="preserve">Range one drifting to the left </w:t>
            </w:r>
          </w:p>
          <w:p w14:paraId="4CEDA441" w14:textId="77777777" w:rsidR="003D1945" w:rsidRPr="003D1945" w:rsidRDefault="003D1945" w:rsidP="003D1945">
            <w:pPr>
              <w:rPr>
                <w:lang w:val="en-US"/>
              </w:rPr>
            </w:pPr>
            <w:r w:rsidRPr="003D1945">
              <w:rPr>
                <w:lang w:val="en-US"/>
              </w:rPr>
              <w:t>0.1 – 0.8 m/s (first rate)</w:t>
            </w:r>
          </w:p>
        </w:tc>
        <w:tc>
          <w:tcPr>
            <w:tcW w:w="3005" w:type="dxa"/>
          </w:tcPr>
          <w:p w14:paraId="53C341EE" w14:textId="77777777" w:rsidR="003D1945" w:rsidRPr="003D1945" w:rsidRDefault="003D1945" w:rsidP="003D1945">
            <w:pPr>
              <w:rPr>
                <w:lang w:val="en-US"/>
              </w:rPr>
            </w:pPr>
            <w:r w:rsidRPr="003D1945">
              <w:rPr>
                <w:lang w:val="en-US"/>
              </w:rPr>
              <w:t>Passing lane marking &gt;0.3m</w:t>
            </w:r>
          </w:p>
        </w:tc>
        <w:tc>
          <w:tcPr>
            <w:tcW w:w="3006" w:type="dxa"/>
          </w:tcPr>
          <w:p w14:paraId="04C52C05" w14:textId="77777777" w:rsidR="003D1945" w:rsidRPr="003D1945" w:rsidRDefault="003D1945" w:rsidP="003D1945">
            <w:pPr>
              <w:rPr>
                <w:lang w:val="en-US"/>
              </w:rPr>
            </w:pPr>
            <w:r w:rsidRPr="003D1945">
              <w:rPr>
                <w:lang w:val="en-US"/>
              </w:rPr>
              <w:t>Drivers warning occurs</w:t>
            </w:r>
          </w:p>
        </w:tc>
      </w:tr>
      <w:tr w:rsidR="003D1945" w:rsidRPr="003D1945" w14:paraId="37BA2EDA" w14:textId="77777777" w:rsidTr="00D433F9">
        <w:tc>
          <w:tcPr>
            <w:tcW w:w="3005" w:type="dxa"/>
          </w:tcPr>
          <w:p w14:paraId="10F9B1B3" w14:textId="77777777" w:rsidR="003D1945" w:rsidRPr="003D1945" w:rsidRDefault="003D1945" w:rsidP="003D1945">
            <w:pPr>
              <w:rPr>
                <w:lang w:val="en-US"/>
              </w:rPr>
            </w:pPr>
            <w:r w:rsidRPr="003D1945">
              <w:rPr>
                <w:lang w:val="en-US"/>
              </w:rPr>
              <w:t xml:space="preserve">Range two drifting to the left </w:t>
            </w:r>
          </w:p>
          <w:p w14:paraId="5622D719" w14:textId="77777777" w:rsidR="003D1945" w:rsidRPr="003D1945" w:rsidRDefault="003D1945" w:rsidP="003D1945">
            <w:pPr>
              <w:rPr>
                <w:lang w:val="en-US"/>
              </w:rPr>
            </w:pPr>
            <w:r w:rsidRPr="003D1945">
              <w:rPr>
                <w:lang w:val="en-US"/>
              </w:rPr>
              <w:t>0.1 – 0.8 m/s (second rate, different to the first rate)</w:t>
            </w:r>
          </w:p>
        </w:tc>
        <w:tc>
          <w:tcPr>
            <w:tcW w:w="3005" w:type="dxa"/>
          </w:tcPr>
          <w:p w14:paraId="11A2C755" w14:textId="77777777" w:rsidR="003D1945" w:rsidRPr="003D1945" w:rsidRDefault="003D1945" w:rsidP="003D1945">
            <w:pPr>
              <w:rPr>
                <w:lang w:val="en-US"/>
              </w:rPr>
            </w:pPr>
            <w:r w:rsidRPr="003D1945">
              <w:rPr>
                <w:lang w:val="en-US"/>
              </w:rPr>
              <w:t>Passing lane marking &gt;0.3m</w:t>
            </w:r>
          </w:p>
        </w:tc>
        <w:tc>
          <w:tcPr>
            <w:tcW w:w="3006" w:type="dxa"/>
          </w:tcPr>
          <w:p w14:paraId="2CC5B4EA" w14:textId="77777777" w:rsidR="003D1945" w:rsidRPr="003D1945" w:rsidRDefault="003D1945" w:rsidP="003D1945">
            <w:pPr>
              <w:rPr>
                <w:lang w:val="en-US"/>
              </w:rPr>
            </w:pPr>
            <w:r w:rsidRPr="003D1945">
              <w:rPr>
                <w:lang w:val="en-US"/>
              </w:rPr>
              <w:t>Drivers warning occurs</w:t>
            </w:r>
          </w:p>
        </w:tc>
      </w:tr>
      <w:tr w:rsidR="003D1945" w:rsidRPr="003D1945" w14:paraId="11378AA2" w14:textId="77777777" w:rsidTr="00D433F9">
        <w:tc>
          <w:tcPr>
            <w:tcW w:w="3005" w:type="dxa"/>
          </w:tcPr>
          <w:p w14:paraId="7CA443B9" w14:textId="77777777" w:rsidR="003D1945" w:rsidRPr="003D1945" w:rsidRDefault="003D1945" w:rsidP="003D1945">
            <w:pPr>
              <w:rPr>
                <w:lang w:val="en-US"/>
              </w:rPr>
            </w:pPr>
            <w:r w:rsidRPr="003D1945">
              <w:rPr>
                <w:lang w:val="en-US"/>
              </w:rPr>
              <w:t xml:space="preserve">Range one drifting to the right </w:t>
            </w:r>
          </w:p>
          <w:p w14:paraId="44C70AF1" w14:textId="77777777" w:rsidR="003D1945" w:rsidRPr="003D1945" w:rsidRDefault="003D1945" w:rsidP="003D1945">
            <w:pPr>
              <w:rPr>
                <w:lang w:val="en-US"/>
              </w:rPr>
            </w:pPr>
            <w:r w:rsidRPr="003D1945">
              <w:rPr>
                <w:lang w:val="en-US"/>
              </w:rPr>
              <w:t>0.1 – 0.8 m/s (first rate)</w:t>
            </w:r>
          </w:p>
        </w:tc>
        <w:tc>
          <w:tcPr>
            <w:tcW w:w="3005" w:type="dxa"/>
          </w:tcPr>
          <w:p w14:paraId="22FB8769" w14:textId="77777777" w:rsidR="003D1945" w:rsidRPr="003D1945" w:rsidRDefault="003D1945" w:rsidP="003D1945">
            <w:pPr>
              <w:rPr>
                <w:lang w:val="en-US"/>
              </w:rPr>
            </w:pPr>
            <w:r w:rsidRPr="003D1945">
              <w:rPr>
                <w:lang w:val="en-US"/>
              </w:rPr>
              <w:t>Passing lane marking &gt;0.3m</w:t>
            </w:r>
          </w:p>
        </w:tc>
        <w:tc>
          <w:tcPr>
            <w:tcW w:w="3006" w:type="dxa"/>
          </w:tcPr>
          <w:p w14:paraId="2686820A" w14:textId="77777777" w:rsidR="003D1945" w:rsidRPr="003D1945" w:rsidRDefault="003D1945" w:rsidP="003D1945">
            <w:pPr>
              <w:rPr>
                <w:lang w:val="en-US"/>
              </w:rPr>
            </w:pPr>
            <w:r w:rsidRPr="003D1945">
              <w:rPr>
                <w:lang w:val="en-US"/>
              </w:rPr>
              <w:t>Drivers warning occurs</w:t>
            </w:r>
          </w:p>
        </w:tc>
      </w:tr>
      <w:tr w:rsidR="003D1945" w:rsidRPr="003D1945" w14:paraId="343D40CE" w14:textId="77777777" w:rsidTr="00D433F9">
        <w:tc>
          <w:tcPr>
            <w:tcW w:w="3005" w:type="dxa"/>
          </w:tcPr>
          <w:p w14:paraId="1ACE29E4" w14:textId="77777777" w:rsidR="003D1945" w:rsidRPr="003D1945" w:rsidRDefault="003D1945" w:rsidP="003D1945">
            <w:pPr>
              <w:rPr>
                <w:lang w:val="en-US"/>
              </w:rPr>
            </w:pPr>
            <w:r w:rsidRPr="003D1945">
              <w:rPr>
                <w:lang w:val="en-US"/>
              </w:rPr>
              <w:t xml:space="preserve">Range two drifting to the right </w:t>
            </w:r>
          </w:p>
          <w:p w14:paraId="7229DCC7" w14:textId="77777777" w:rsidR="003D1945" w:rsidRPr="003D1945" w:rsidRDefault="003D1945" w:rsidP="003D1945">
            <w:pPr>
              <w:rPr>
                <w:lang w:val="en-US"/>
              </w:rPr>
            </w:pPr>
            <w:r w:rsidRPr="003D1945">
              <w:rPr>
                <w:lang w:val="en-US"/>
              </w:rPr>
              <w:t>0.1 – 0.8 m/s (second rate, different to the first rate)</w:t>
            </w:r>
          </w:p>
        </w:tc>
        <w:tc>
          <w:tcPr>
            <w:tcW w:w="3005" w:type="dxa"/>
          </w:tcPr>
          <w:p w14:paraId="4B07AD09" w14:textId="77777777" w:rsidR="003D1945" w:rsidRPr="003D1945" w:rsidRDefault="003D1945" w:rsidP="003D1945">
            <w:pPr>
              <w:rPr>
                <w:lang w:val="en-US"/>
              </w:rPr>
            </w:pPr>
            <w:r w:rsidRPr="003D1945">
              <w:rPr>
                <w:lang w:val="en-US"/>
              </w:rPr>
              <w:t>Passing lane marking &gt;0.3m</w:t>
            </w:r>
          </w:p>
        </w:tc>
        <w:tc>
          <w:tcPr>
            <w:tcW w:w="3006" w:type="dxa"/>
          </w:tcPr>
          <w:p w14:paraId="00861E18" w14:textId="77777777" w:rsidR="003D1945" w:rsidRPr="003D1945" w:rsidRDefault="003D1945" w:rsidP="003D1945">
            <w:pPr>
              <w:rPr>
                <w:lang w:val="en-US"/>
              </w:rPr>
            </w:pPr>
            <w:r w:rsidRPr="003D1945">
              <w:rPr>
                <w:lang w:val="en-US"/>
              </w:rPr>
              <w:t>Drivers warning occurs</w:t>
            </w:r>
          </w:p>
        </w:tc>
      </w:tr>
    </w:tbl>
    <w:p w14:paraId="2CEC009F" w14:textId="77777777" w:rsidR="003D1945" w:rsidRPr="003D1945" w:rsidRDefault="003D1945" w:rsidP="003D1945">
      <w:pPr>
        <w:rPr>
          <w:lang w:val="en-US"/>
        </w:rPr>
      </w:pPr>
      <w:r w:rsidRPr="003D1945">
        <w:rPr>
          <w:lang w:val="en-US"/>
        </w:rPr>
        <w:t xml:space="preserve">In all tests, the required warnings must (when active) to warn the driver before the outside of the </w:t>
      </w:r>
      <w:proofErr w:type="spellStart"/>
      <w:r w:rsidRPr="003D1945">
        <w:rPr>
          <w:lang w:val="en-US"/>
        </w:rPr>
        <w:t>tyre</w:t>
      </w:r>
      <w:proofErr w:type="spellEnd"/>
      <w:r w:rsidRPr="003D1945">
        <w:rPr>
          <w:lang w:val="en-US"/>
        </w:rPr>
        <w:t xml:space="preserve"> on the front wheel closest to the lane markings passes more than 0.3 m beyond the outside edge of the lane markings.</w:t>
      </w:r>
    </w:p>
    <w:p w14:paraId="74E0944F" w14:textId="77777777" w:rsidR="003D1945" w:rsidRPr="003D1945" w:rsidRDefault="003D1945" w:rsidP="003D1945">
      <w:pPr>
        <w:rPr>
          <w:lang w:val="en-US"/>
        </w:rPr>
      </w:pPr>
      <w:r w:rsidRPr="003D1945">
        <w:rPr>
          <w:lang w:val="en-US"/>
        </w:rPr>
        <w:t>The LDWS optical warning signals shall be activated either when the ignition (start) switch is turned to the “on” (run) position or when the ignition (start) switch is in a position between the “on” (run) and “start” that is designated by the manufacturer as a check position (initial system (power-on)). This requirement does not apply to warning signal shown in a common space.</w:t>
      </w:r>
    </w:p>
    <w:p w14:paraId="66A69A43" w14:textId="77777777" w:rsidR="003D1945" w:rsidRPr="003D1945" w:rsidRDefault="003D1945" w:rsidP="003D1945">
      <w:pPr>
        <w:rPr>
          <w:lang w:val="en-US"/>
        </w:rPr>
      </w:pPr>
      <w:r w:rsidRPr="003D1945">
        <w:rPr>
          <w:lang w:val="en-US"/>
        </w:rPr>
        <w:t>A constant optical warning signal shall inform the driver that the LDWS function has been deactivated. A yellow warning signal.</w:t>
      </w:r>
    </w:p>
    <w:p w14:paraId="2078F2CE" w14:textId="77777777" w:rsidR="003D1945" w:rsidRPr="003D1945" w:rsidRDefault="003D1945" w:rsidP="003D1945">
      <w:pPr>
        <w:rPr>
          <w:b/>
        </w:rPr>
      </w:pPr>
    </w:p>
    <w:p w14:paraId="5B0782FB" w14:textId="77777777" w:rsidR="003D1945" w:rsidRPr="003D1945" w:rsidRDefault="003D1945" w:rsidP="003D1945">
      <w:pPr>
        <w:rPr>
          <w:b/>
        </w:rPr>
      </w:pPr>
      <w:r w:rsidRPr="003D1945">
        <w:rPr>
          <w:b/>
        </w:rPr>
        <w:t>Failure Warning</w:t>
      </w:r>
    </w:p>
    <w:p w14:paraId="4A38AF39" w14:textId="77777777" w:rsidR="003D1945" w:rsidRPr="003D1945" w:rsidRDefault="003D1945" w:rsidP="003D1945">
      <w:r w:rsidRPr="003D1945">
        <w:t xml:space="preserve">When the driver is provided with an optical warning signal to indicate that the LDWS is temporarily not available, for example due to inclement weather conditions, the signal shall be constant. </w:t>
      </w:r>
    </w:p>
    <w:p w14:paraId="7BA707F4" w14:textId="77777777" w:rsidR="003D1945" w:rsidRPr="003D1945" w:rsidRDefault="003D1945" w:rsidP="003D1945">
      <w:r w:rsidRPr="003D1945">
        <w:t>At a periodic technical inspection, it shall be possible to confirm the correct operational status of the LDWS by a visible observation of the failure warning signal status, following a “power-ON” (off-system OK, on-system fault present).</w:t>
      </w:r>
    </w:p>
    <w:p w14:paraId="51E90B35" w14:textId="77777777" w:rsidR="003D1945" w:rsidRPr="003D1945" w:rsidRDefault="003D1945" w:rsidP="003D1945"/>
    <w:p w14:paraId="745FDBEC" w14:textId="77777777" w:rsidR="003D1945" w:rsidRPr="003D1945" w:rsidRDefault="003D1945" w:rsidP="003D1945">
      <w:pPr>
        <w:rPr>
          <w:b/>
        </w:rPr>
      </w:pPr>
      <w:r w:rsidRPr="003D1945">
        <w:rPr>
          <w:b/>
        </w:rPr>
        <w:lastRenderedPageBreak/>
        <w:t>Failure Detection</w:t>
      </w:r>
    </w:p>
    <w:p w14:paraId="1C84ED9D" w14:textId="77777777" w:rsidR="003D1945" w:rsidRPr="003D1945" w:rsidRDefault="003D1945" w:rsidP="003D1945">
      <w:r w:rsidRPr="003D1945">
        <w:t>Summary of requirements for LDWS failure. Disconnecting the power source to any LDWS component or disconnecting any electrical connection between LDWS components. The electrical connections for the failure an optical warning signal shall be constant. The LDWS disable control (manually deactivated) shall not be disconnected when simulating a LDWS failure.</w:t>
      </w:r>
    </w:p>
    <w:p w14:paraId="329C63B2" w14:textId="77777777" w:rsidR="003D1945" w:rsidRPr="003D1945" w:rsidRDefault="003D1945" w:rsidP="003D1945">
      <w:r w:rsidRPr="003D1945">
        <w:t>The failure optical warning signal shall be constant and remain constant while the vehicle is being driven. It is to be reactivated after a subsequent ignition “off” ignition “on” cycle as long as the simulated failure exists.</w:t>
      </w:r>
    </w:p>
    <w:p w14:paraId="34A97E54" w14:textId="77777777" w:rsidR="003D1945" w:rsidRPr="003D1945" w:rsidRDefault="003D1945" w:rsidP="003D1945"/>
    <w:p w14:paraId="65602E1C" w14:textId="77777777" w:rsidR="003D1945" w:rsidRPr="003D1945" w:rsidRDefault="003D1945" w:rsidP="003D1945">
      <w:pPr>
        <w:rPr>
          <w:b/>
        </w:rPr>
      </w:pPr>
      <w:r w:rsidRPr="003D1945">
        <w:rPr>
          <w:b/>
        </w:rPr>
        <w:t>Deactivation test</w:t>
      </w:r>
    </w:p>
    <w:p w14:paraId="35D5E0F5" w14:textId="77777777" w:rsidR="003D1945" w:rsidRDefault="003D1945" w:rsidP="003D1945">
      <w:r w:rsidRPr="003D1945">
        <w:t>If the vehicle is equipped with means to deactivate the LDWS, turn the ignition (start) switch to the “on” (run) position and deactivate the LDWS. The optical warning signal shall be constant. Turn the ignition (start) switch to the “off” position. Again, turn the ignition (start) switch to the “on” (run) position and verify that the previously activated warning signal is not reactivated, thereby indicating that the LDWS has been reinstated and the optical warning signal is extinguished. If the ignition system is activated by means of a “key”, the above requirement shall be fulfilled without removing the key.</w:t>
      </w:r>
    </w:p>
    <w:p w14:paraId="6923E959" w14:textId="77777777" w:rsidR="00D96A35" w:rsidRPr="005F794B" w:rsidRDefault="00D96A35" w:rsidP="00D96A35">
      <w:pPr>
        <w:pStyle w:val="Heading2"/>
      </w:pPr>
      <w:bookmarkStart w:id="60" w:name="_Toc100326820"/>
      <w:r>
        <w:t>European mandate of UN Regulation No. 130</w:t>
      </w:r>
      <w:bookmarkEnd w:id="60"/>
      <w:r>
        <w:t xml:space="preserve"> </w:t>
      </w:r>
    </w:p>
    <w:p w14:paraId="21BBED13" w14:textId="77777777" w:rsidR="008A23AD" w:rsidRDefault="00D96A35" w:rsidP="008A23AD">
      <w:pPr>
        <w:rPr>
          <w:lang w:val="x-none"/>
        </w:rPr>
      </w:pPr>
      <w:r w:rsidRPr="00CD0353">
        <w:rPr>
          <w:lang w:val="x-none"/>
        </w:rPr>
        <w:t xml:space="preserve">Mandatory fitment of </w:t>
      </w:r>
      <w:r>
        <w:rPr>
          <w:lang w:val="en-US"/>
        </w:rPr>
        <w:t>LDWS</w:t>
      </w:r>
      <w:r w:rsidRPr="00CD0353">
        <w:rPr>
          <w:lang w:val="x-none"/>
        </w:rPr>
        <w:t xml:space="preserve"> to</w:t>
      </w:r>
      <w:r>
        <w:rPr>
          <w:lang w:val="en-US"/>
        </w:rPr>
        <w:t xml:space="preserve"> new</w:t>
      </w:r>
      <w:r w:rsidRPr="00CD0353">
        <w:rPr>
          <w:lang w:val="x-none"/>
        </w:rPr>
        <w:t xml:space="preserve"> heavy </w:t>
      </w:r>
      <w:r w:rsidRPr="00745A45">
        <w:rPr>
          <w:lang w:val="x-none"/>
        </w:rPr>
        <w:t>vehicles</w:t>
      </w:r>
      <w:r w:rsidRPr="00745A45">
        <w:rPr>
          <w:lang w:val="en-US"/>
        </w:rPr>
        <w:t xml:space="preserve"> and buses</w:t>
      </w:r>
      <w:r w:rsidRPr="00745A45">
        <w:rPr>
          <w:lang w:val="x-none"/>
        </w:rPr>
        <w:t xml:space="preserve"> </w:t>
      </w:r>
      <w:r>
        <w:rPr>
          <w:lang w:val="en-US"/>
        </w:rPr>
        <w:t>complying with</w:t>
      </w:r>
      <w:r w:rsidRPr="00745A45">
        <w:rPr>
          <w:lang w:val="x-none"/>
        </w:rPr>
        <w:t xml:space="preserve"> UN Regulation No. 13</w:t>
      </w:r>
      <w:r w:rsidRPr="00745A45">
        <w:rPr>
          <w:lang w:val="en-US"/>
        </w:rPr>
        <w:t>0</w:t>
      </w:r>
      <w:r w:rsidRPr="00745A45">
        <w:rPr>
          <w:lang w:val="x-none"/>
        </w:rPr>
        <w:t xml:space="preserve"> has been implemented across the European</w:t>
      </w:r>
      <w:r w:rsidRPr="00745A45">
        <w:rPr>
          <w:lang w:val="en-US"/>
        </w:rPr>
        <w:t xml:space="preserve"> market</w:t>
      </w:r>
      <w:r w:rsidRPr="00745A45">
        <w:rPr>
          <w:lang w:val="x-none"/>
        </w:rPr>
        <w:t xml:space="preserve"> since </w:t>
      </w:r>
      <w:r>
        <w:rPr>
          <w:lang w:val="en-US"/>
        </w:rPr>
        <w:t xml:space="preserve">1 </w:t>
      </w:r>
      <w:r w:rsidRPr="00745A45">
        <w:rPr>
          <w:lang w:val="x-none"/>
        </w:rPr>
        <w:t>November 201</w:t>
      </w:r>
      <w:r w:rsidRPr="00745A45">
        <w:rPr>
          <w:lang w:val="en-US"/>
        </w:rPr>
        <w:t>5</w:t>
      </w:r>
      <w:r w:rsidRPr="00745A45">
        <w:rPr>
          <w:lang w:val="x-none"/>
        </w:rPr>
        <w:t xml:space="preserve">, followed by mandates in Japan and Korea. </w:t>
      </w:r>
      <w:r w:rsidRPr="00745A45">
        <w:rPr>
          <w:lang w:val="en-US"/>
        </w:rPr>
        <w:t>Today</w:t>
      </w:r>
      <w:r w:rsidRPr="00745A45">
        <w:rPr>
          <w:lang w:val="x-none"/>
        </w:rPr>
        <w:t>, t</w:t>
      </w:r>
      <w:r w:rsidRPr="00CD0353">
        <w:rPr>
          <w:lang w:val="x-none"/>
        </w:rPr>
        <w:t xml:space="preserve">he European mandate had taken full effect for all new </w:t>
      </w:r>
      <w:r>
        <w:rPr>
          <w:lang w:val="en-US"/>
        </w:rPr>
        <w:t xml:space="preserve">heavy </w:t>
      </w:r>
      <w:r w:rsidRPr="00CD0353">
        <w:rPr>
          <w:lang w:val="x-none"/>
        </w:rPr>
        <w:t>vehicles covered by UN Regulation No. 13</w:t>
      </w:r>
      <w:r>
        <w:rPr>
          <w:lang w:val="en-US"/>
        </w:rPr>
        <w:t>0</w:t>
      </w:r>
      <w:r w:rsidRPr="00CD0353">
        <w:rPr>
          <w:lang w:val="x-none"/>
        </w:rPr>
        <w:t xml:space="preserve"> (with exemptions including urban buses and off-road or agricultural vehicles). Though now well established, the European mandate has not strongly influenced Australian market fitment rates, in part due to the bespoke sale configurations selected by Australian operators. However, the mandate has reduced and mitigated heavy vehicle </w:t>
      </w:r>
      <w:r w:rsidRPr="00DF3F5B">
        <w:rPr>
          <w:lang w:val="x-none"/>
        </w:rPr>
        <w:t xml:space="preserve">head-on </w:t>
      </w:r>
      <w:r>
        <w:rPr>
          <w:lang w:val="en-US"/>
        </w:rPr>
        <w:t>and</w:t>
      </w:r>
      <w:r w:rsidRPr="00DF3F5B">
        <w:rPr>
          <w:lang w:val="x-none"/>
        </w:rPr>
        <w:t xml:space="preserve"> single vehicle runoff-road crashes</w:t>
      </w:r>
      <w:r w:rsidRPr="00CD0353">
        <w:rPr>
          <w:lang w:val="x-none"/>
        </w:rPr>
        <w:t xml:space="preserve"> in Europe, providing useful</w:t>
      </w:r>
      <w:r>
        <w:rPr>
          <w:lang w:val="en-US"/>
        </w:rPr>
        <w:t xml:space="preserve"> </w:t>
      </w:r>
      <w:r w:rsidRPr="00CD0353">
        <w:rPr>
          <w:lang w:val="x-none"/>
        </w:rPr>
        <w:t>European data on the effectiveness of the technology that has been used to support Australian research.</w:t>
      </w:r>
      <w:r w:rsidR="00E035C9" w:rsidDel="00E035C9">
        <w:rPr>
          <w:lang w:val="x-none"/>
        </w:rPr>
        <w:t xml:space="preserve"> </w:t>
      </w:r>
    </w:p>
    <w:p w14:paraId="4182C167" w14:textId="77777777" w:rsidR="00C0365F" w:rsidRDefault="00C0365F" w:rsidP="008A23AD">
      <w:pPr>
        <w:sectPr w:rsidR="00C0365F" w:rsidSect="00D87AD8">
          <w:pgSz w:w="11906" w:h="16838" w:code="9"/>
          <w:pgMar w:top="1021" w:right="1021" w:bottom="1021" w:left="1021" w:header="510" w:footer="567" w:gutter="0"/>
          <w:cols w:space="708"/>
          <w:docGrid w:linePitch="360"/>
        </w:sectPr>
      </w:pPr>
    </w:p>
    <w:p w14:paraId="50425B8B" w14:textId="77777777" w:rsidR="008A23AD" w:rsidRDefault="008A23AD" w:rsidP="008A23AD">
      <w:pPr>
        <w:pStyle w:val="AppendixHeading1"/>
      </w:pPr>
      <w:bookmarkStart w:id="61" w:name="_Toc100326821"/>
      <w:r>
        <w:lastRenderedPageBreak/>
        <w:t>Benefit-cost analysis</w:t>
      </w:r>
      <w:bookmarkEnd w:id="61"/>
    </w:p>
    <w:p w14:paraId="1CBEB625" w14:textId="5EB89AF9" w:rsidR="008A23AD" w:rsidRDefault="00B94761" w:rsidP="008A23AD">
      <w:pPr>
        <w:rPr>
          <w:lang w:val="x-none"/>
        </w:rPr>
      </w:pPr>
      <w:r w:rsidRPr="00B94761">
        <w:rPr>
          <w:lang w:val="x-none"/>
        </w:rPr>
        <w:t>The model used in this analysis was the Net Present Value (NPV) model. The costs and expected benefits associated with government intervention</w:t>
      </w:r>
      <w:r>
        <w:rPr>
          <w:lang w:val="en-US"/>
        </w:rPr>
        <w:t xml:space="preserve"> (Option2)</w:t>
      </w:r>
      <w:r w:rsidRPr="00B94761">
        <w:rPr>
          <w:lang w:val="x-none"/>
        </w:rPr>
        <w:t xml:space="preserve"> were summed over time. The further the cost or benefit occurred from the nominal starting date, the more they were discounted. This allowed all costs and benefits to be compared equally among the options, no mat</w:t>
      </w:r>
      <w:r>
        <w:rPr>
          <w:lang w:val="x-none"/>
        </w:rPr>
        <w:t>ter when they occurred. Table</w:t>
      </w:r>
      <w:r w:rsidR="00AA3690">
        <w:rPr>
          <w:lang w:val="en-US"/>
        </w:rPr>
        <w:t>s</w:t>
      </w:r>
      <w:r>
        <w:rPr>
          <w:lang w:val="x-none"/>
        </w:rPr>
        <w:t xml:space="preserve"> </w:t>
      </w:r>
      <w:r w:rsidR="00AA3690">
        <w:rPr>
          <w:lang w:val="en-US"/>
        </w:rPr>
        <w:t>1, 2 and 3</w:t>
      </w:r>
      <w:r w:rsidRPr="00B94761">
        <w:rPr>
          <w:lang w:val="x-none"/>
        </w:rPr>
        <w:t xml:space="preserve"> summarises the </w:t>
      </w:r>
      <w:r w:rsidR="003F0186">
        <w:rPr>
          <w:lang w:val="en-US"/>
        </w:rPr>
        <w:t xml:space="preserve">outcomes </w:t>
      </w:r>
      <w:r w:rsidRPr="00B94761">
        <w:rPr>
          <w:lang w:val="x-none"/>
        </w:rPr>
        <w:t>from this analysis.</w:t>
      </w:r>
    </w:p>
    <w:p w14:paraId="5B5E6A54" w14:textId="0BB17C09" w:rsidR="00B94761" w:rsidRPr="00A60DD6" w:rsidRDefault="00B94761" w:rsidP="00CB0804">
      <w:pPr>
        <w:pStyle w:val="ListParagraph"/>
        <w:numPr>
          <w:ilvl w:val="0"/>
          <w:numId w:val="21"/>
        </w:numPr>
        <w:rPr>
          <w:rFonts w:asciiTheme="minorHAnsi" w:hAnsiTheme="minorHAnsi" w:cstheme="minorBidi"/>
          <w:color w:val="000000" w:themeColor="text1"/>
          <w:kern w:val="12"/>
          <w:sz w:val="20"/>
          <w:szCs w:val="20"/>
          <w:lang w:val="x-none"/>
        </w:rPr>
      </w:pPr>
      <w:r w:rsidRPr="00A60DD6">
        <w:rPr>
          <w:rFonts w:asciiTheme="minorHAnsi" w:hAnsiTheme="minorHAnsi" w:cstheme="minorBidi"/>
          <w:color w:val="000000" w:themeColor="text1"/>
          <w:kern w:val="12"/>
          <w:sz w:val="20"/>
          <w:szCs w:val="20"/>
          <w:lang w:val="x-none"/>
        </w:rPr>
        <w:t>The number of new registered vehicles in ADR categories covered by UN Regulation No. 130 were established for each year between 1968 and 2021 inclusive, utilising available Australian Bureau of Statistics Motor Vehicle Census (report series 9309.0) data (Australian Bureau of Statistics, 2017a), and registrations per capita for years prior to availability of census data:</w:t>
      </w:r>
    </w:p>
    <w:p w14:paraId="27289CD4" w14:textId="77777777" w:rsidR="0065065A" w:rsidRDefault="0065065A" w:rsidP="0065065A">
      <w:pPr>
        <w:keepNext/>
        <w:jc w:val="center"/>
      </w:pPr>
      <w:r>
        <w:rPr>
          <w:rFonts w:cstheme="minorHAnsi"/>
          <w:noProof/>
          <w:lang w:eastAsia="en-AU"/>
        </w:rPr>
        <w:drawing>
          <wp:inline distT="0" distB="0" distL="0" distR="0" wp14:anchorId="13256552" wp14:editId="5E19F05F">
            <wp:extent cx="5356746" cy="2323908"/>
            <wp:effectExtent l="0" t="0" r="0" b="63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382588" cy="2335119"/>
                    </a:xfrm>
                    <a:prstGeom prst="rect">
                      <a:avLst/>
                    </a:prstGeom>
                    <a:noFill/>
                  </pic:spPr>
                </pic:pic>
              </a:graphicData>
            </a:graphic>
          </wp:inline>
        </w:drawing>
      </w:r>
    </w:p>
    <w:p w14:paraId="50760DFB" w14:textId="266B4A46" w:rsidR="0065065A" w:rsidRPr="0065065A" w:rsidRDefault="0065065A" w:rsidP="0065065A">
      <w:pPr>
        <w:pStyle w:val="Caption"/>
        <w:jc w:val="center"/>
        <w:rPr>
          <w:rFonts w:cstheme="minorHAnsi"/>
          <w:lang w:val="x-none"/>
        </w:rPr>
      </w:pPr>
      <w:r>
        <w:t xml:space="preserve">Figure </w:t>
      </w:r>
      <w:fldSimple w:instr=" SEQ Figure \* ARABIC ">
        <w:r w:rsidR="008E07C6">
          <w:rPr>
            <w:noProof/>
          </w:rPr>
          <w:t>9</w:t>
        </w:r>
      </w:fldSimple>
      <w:r>
        <w:t>: New Australian heavy vehicle registrations, categories covered by UN Regulation No. 131 to 2021.</w:t>
      </w:r>
    </w:p>
    <w:p w14:paraId="43160AD0" w14:textId="425DBC84" w:rsidR="00C0365F" w:rsidRPr="00A60DD6" w:rsidRDefault="005E29AD" w:rsidP="00CB0804">
      <w:pPr>
        <w:pStyle w:val="ListParagraph"/>
        <w:numPr>
          <w:ilvl w:val="0"/>
          <w:numId w:val="21"/>
        </w:numPr>
        <w:rPr>
          <w:rFonts w:asciiTheme="minorHAnsi" w:hAnsiTheme="minorHAnsi" w:cstheme="minorBidi"/>
          <w:color w:val="000000" w:themeColor="text1"/>
          <w:kern w:val="12"/>
          <w:sz w:val="20"/>
          <w:szCs w:val="20"/>
          <w:lang w:val="x-none"/>
        </w:rPr>
      </w:pPr>
      <w:r w:rsidRPr="00A60DD6">
        <w:rPr>
          <w:rFonts w:asciiTheme="minorHAnsi" w:hAnsiTheme="minorHAnsi" w:cstheme="minorBidi"/>
          <w:color w:val="000000" w:themeColor="text1"/>
          <w:kern w:val="12"/>
          <w:sz w:val="20"/>
          <w:szCs w:val="20"/>
          <w:lang w:val="x-none"/>
        </w:rPr>
        <w:t>Data from MUARC was used to determine the typical crash frequency by age for vehicle categories covered by UN Regulation No. 130</w:t>
      </w:r>
      <w:r w:rsidR="002553A0">
        <w:rPr>
          <w:rFonts w:asciiTheme="minorHAnsi" w:hAnsiTheme="minorHAnsi" w:cstheme="minorBidi"/>
          <w:color w:val="000000" w:themeColor="text1"/>
          <w:kern w:val="12"/>
          <w:sz w:val="20"/>
          <w:szCs w:val="20"/>
          <w:lang w:val="en-GB"/>
        </w:rPr>
        <w:t>:</w:t>
      </w:r>
    </w:p>
    <w:p w14:paraId="6637E15B" w14:textId="77777777" w:rsidR="004551C6" w:rsidRDefault="005E29AD" w:rsidP="004551C6">
      <w:pPr>
        <w:keepNext/>
        <w:jc w:val="center"/>
      </w:pPr>
      <w:r>
        <w:rPr>
          <w:noProof/>
          <w:lang w:eastAsia="en-AU"/>
        </w:rPr>
        <w:drawing>
          <wp:inline distT="0" distB="0" distL="0" distR="0" wp14:anchorId="0781E993" wp14:editId="4BFAB214">
            <wp:extent cx="5404513" cy="2519726"/>
            <wp:effectExtent l="0" t="0" r="5715"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432807" cy="2532917"/>
                    </a:xfrm>
                    <a:prstGeom prst="rect">
                      <a:avLst/>
                    </a:prstGeom>
                    <a:noFill/>
                  </pic:spPr>
                </pic:pic>
              </a:graphicData>
            </a:graphic>
          </wp:inline>
        </w:drawing>
      </w:r>
    </w:p>
    <w:p w14:paraId="59DF3B64" w14:textId="0443594F" w:rsidR="005E29AD" w:rsidRPr="005E29AD" w:rsidRDefault="004551C6" w:rsidP="004551C6">
      <w:pPr>
        <w:pStyle w:val="Caption"/>
        <w:jc w:val="center"/>
        <w:rPr>
          <w:lang w:val="x-none"/>
        </w:rPr>
      </w:pPr>
      <w:r>
        <w:t xml:space="preserve">Figure </w:t>
      </w:r>
      <w:fldSimple w:instr=" SEQ Figure \* ARABIC ">
        <w:r w:rsidR="008E07C6">
          <w:rPr>
            <w:noProof/>
          </w:rPr>
          <w:t>10</w:t>
        </w:r>
      </w:fldSimple>
      <w:r>
        <w:t>: Crash frequency by vehicle age</w:t>
      </w:r>
    </w:p>
    <w:p w14:paraId="7D8C24DE" w14:textId="592AAAC3" w:rsidR="005E29AD" w:rsidRPr="00A60DD6" w:rsidRDefault="005E29AD" w:rsidP="00CB0804">
      <w:pPr>
        <w:pStyle w:val="ListParagraph"/>
        <w:numPr>
          <w:ilvl w:val="0"/>
          <w:numId w:val="21"/>
        </w:numPr>
        <w:rPr>
          <w:rFonts w:asciiTheme="minorHAnsi" w:hAnsiTheme="minorHAnsi" w:cstheme="minorBidi"/>
          <w:color w:val="000000" w:themeColor="text1"/>
          <w:kern w:val="12"/>
          <w:sz w:val="20"/>
          <w:szCs w:val="20"/>
          <w:lang w:val="x-none"/>
        </w:rPr>
      </w:pPr>
      <w:r w:rsidRPr="00A60DD6">
        <w:rPr>
          <w:rFonts w:asciiTheme="minorHAnsi" w:hAnsiTheme="minorHAnsi" w:cstheme="minorBidi"/>
          <w:color w:val="000000" w:themeColor="text1"/>
          <w:kern w:val="12"/>
          <w:sz w:val="20"/>
          <w:szCs w:val="20"/>
          <w:lang w:val="x-none"/>
        </w:rPr>
        <w:lastRenderedPageBreak/>
        <w:t>Data from steps 1 and 2 were used to determine the likelihood of a vehicle of a given age being involved in a casualty crash over the course of 1 year as a function of the registered vehicles of a given age:</w:t>
      </w:r>
    </w:p>
    <w:p w14:paraId="18E2B64B" w14:textId="77777777" w:rsidR="004551C6" w:rsidRDefault="005E29AD" w:rsidP="004551C6">
      <w:pPr>
        <w:keepNext/>
        <w:jc w:val="center"/>
      </w:pPr>
      <w:r>
        <w:rPr>
          <w:noProof/>
          <w:lang w:eastAsia="en-AU"/>
        </w:rPr>
        <w:drawing>
          <wp:inline distT="0" distB="0" distL="0" distR="0" wp14:anchorId="385CEE12" wp14:editId="566A818D">
            <wp:extent cx="5356746" cy="2477905"/>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373774" cy="2485782"/>
                    </a:xfrm>
                    <a:prstGeom prst="rect">
                      <a:avLst/>
                    </a:prstGeom>
                    <a:noFill/>
                  </pic:spPr>
                </pic:pic>
              </a:graphicData>
            </a:graphic>
          </wp:inline>
        </w:drawing>
      </w:r>
    </w:p>
    <w:p w14:paraId="54E5DBA5" w14:textId="214ECD4A" w:rsidR="005E29AD" w:rsidRPr="004551C6" w:rsidRDefault="004551C6" w:rsidP="004551C6">
      <w:pPr>
        <w:pStyle w:val="Caption"/>
        <w:jc w:val="center"/>
        <w:rPr>
          <w:lang w:val="en-US"/>
        </w:rPr>
      </w:pPr>
      <w:r>
        <w:t xml:space="preserve">Figure </w:t>
      </w:r>
      <w:fldSimple w:instr=" SEQ Figure \* ARABIC ">
        <w:r w:rsidR="008E07C6">
          <w:rPr>
            <w:noProof/>
          </w:rPr>
          <w:t>11</w:t>
        </w:r>
      </w:fldSimple>
      <w:r>
        <w:t>: Crash likelihood by age</w:t>
      </w:r>
    </w:p>
    <w:p w14:paraId="38BF6DBB" w14:textId="39F6691D" w:rsidR="005E29AD" w:rsidRPr="00A60DD6" w:rsidRDefault="004551C6" w:rsidP="00CB0804">
      <w:pPr>
        <w:pStyle w:val="ListParagraph"/>
        <w:numPr>
          <w:ilvl w:val="0"/>
          <w:numId w:val="21"/>
        </w:numPr>
        <w:rPr>
          <w:rFonts w:asciiTheme="minorHAnsi" w:hAnsiTheme="minorHAnsi" w:cstheme="minorBidi"/>
          <w:color w:val="000000" w:themeColor="text1"/>
          <w:kern w:val="12"/>
          <w:sz w:val="20"/>
          <w:szCs w:val="20"/>
          <w:lang w:val="x-none"/>
        </w:rPr>
      </w:pPr>
      <w:r w:rsidRPr="00A60DD6">
        <w:rPr>
          <w:rFonts w:asciiTheme="minorHAnsi" w:hAnsiTheme="minorHAnsi" w:cstheme="minorBidi"/>
          <w:color w:val="000000" w:themeColor="text1"/>
          <w:kern w:val="12"/>
          <w:sz w:val="20"/>
          <w:szCs w:val="20"/>
          <w:lang w:val="x-none"/>
        </w:rPr>
        <w:t>New combined vehicle sales data for applicable vehicle categories was established:</w:t>
      </w:r>
    </w:p>
    <w:p w14:paraId="2BC16153" w14:textId="77777777" w:rsidR="004551C6" w:rsidRDefault="004551C6" w:rsidP="004551C6">
      <w:pPr>
        <w:keepNext/>
        <w:jc w:val="center"/>
      </w:pPr>
      <w:r>
        <w:rPr>
          <w:noProof/>
          <w:lang w:eastAsia="en-AU"/>
        </w:rPr>
        <w:drawing>
          <wp:inline distT="0" distB="0" distL="0" distR="0" wp14:anchorId="776AA168" wp14:editId="116EE71D">
            <wp:extent cx="5356341" cy="2388358"/>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375221" cy="2396776"/>
                    </a:xfrm>
                    <a:prstGeom prst="rect">
                      <a:avLst/>
                    </a:prstGeom>
                    <a:noFill/>
                  </pic:spPr>
                </pic:pic>
              </a:graphicData>
            </a:graphic>
          </wp:inline>
        </w:drawing>
      </w:r>
    </w:p>
    <w:p w14:paraId="3D2B4637" w14:textId="7D8AAACA" w:rsidR="004551C6" w:rsidRDefault="004551C6" w:rsidP="004551C6">
      <w:pPr>
        <w:pStyle w:val="Caption"/>
        <w:jc w:val="center"/>
      </w:pPr>
      <w:r>
        <w:t xml:space="preserve">Figure </w:t>
      </w:r>
      <w:fldSimple w:instr=" SEQ Figure \* ARABIC ">
        <w:r w:rsidR="008E07C6">
          <w:rPr>
            <w:noProof/>
          </w:rPr>
          <w:t>12</w:t>
        </w:r>
      </w:fldSimple>
      <w:r>
        <w:t>: Past and projected heavy vehicle sales</w:t>
      </w:r>
    </w:p>
    <w:p w14:paraId="53FB2818" w14:textId="2292B927" w:rsidR="004551C6" w:rsidRPr="00A60DD6" w:rsidRDefault="00552A2E" w:rsidP="00A60DD6">
      <w:pPr>
        <w:pStyle w:val="ListParagraph"/>
        <w:rPr>
          <w:rFonts w:asciiTheme="minorHAnsi" w:hAnsiTheme="minorHAnsi" w:cstheme="minorBidi"/>
          <w:color w:val="000000" w:themeColor="text1"/>
          <w:kern w:val="12"/>
          <w:sz w:val="20"/>
          <w:szCs w:val="20"/>
          <w:lang w:val="x-none"/>
        </w:rPr>
      </w:pPr>
      <w:r w:rsidRPr="00A60DD6">
        <w:rPr>
          <w:rFonts w:asciiTheme="minorHAnsi" w:hAnsiTheme="minorHAnsi" w:cstheme="minorBidi"/>
          <w:color w:val="000000" w:themeColor="text1"/>
          <w:kern w:val="12"/>
          <w:sz w:val="20"/>
          <w:szCs w:val="20"/>
          <w:lang w:val="x-none"/>
        </w:rPr>
        <w:t xml:space="preserve">Short to medium forecast sales were obtained from industry bodies, beyond which growth rates were projected from NTC statistics (NTC, 2016), heavy duty vehicle industry </w:t>
      </w:r>
      <w:r w:rsidRPr="007908D9">
        <w:rPr>
          <w:rFonts w:asciiTheme="minorHAnsi" w:hAnsiTheme="minorHAnsi" w:cstheme="minorBidi"/>
          <w:color w:val="000000" w:themeColor="text1"/>
          <w:kern w:val="12"/>
          <w:sz w:val="20"/>
          <w:szCs w:val="20"/>
          <w:lang w:val="x-none"/>
        </w:rPr>
        <w:t>(Heavy Duty Sales, 2018), Bus Industry Council’s National Technical Suppliers Summit 2017 and VFACTs.</w:t>
      </w:r>
    </w:p>
    <w:p w14:paraId="27878E6C" w14:textId="77777777" w:rsidR="00C62831" w:rsidRDefault="00C62831" w:rsidP="00FD45D7">
      <w:pPr>
        <w:pStyle w:val="ListParagraph"/>
        <w:spacing w:before="240"/>
        <w:rPr>
          <w:rFonts w:asciiTheme="minorHAnsi" w:hAnsiTheme="minorHAnsi" w:cstheme="minorBidi"/>
          <w:color w:val="000000" w:themeColor="text1"/>
          <w:kern w:val="12"/>
          <w:sz w:val="20"/>
          <w:szCs w:val="20"/>
          <w:lang w:val="x-none"/>
        </w:rPr>
        <w:sectPr w:rsidR="00C62831" w:rsidSect="00D87AD8">
          <w:pgSz w:w="11906" w:h="16838" w:code="9"/>
          <w:pgMar w:top="1021" w:right="1021" w:bottom="1021" w:left="1021" w:header="510" w:footer="567" w:gutter="0"/>
          <w:cols w:space="708"/>
          <w:docGrid w:linePitch="360"/>
        </w:sectPr>
      </w:pPr>
    </w:p>
    <w:p w14:paraId="71D5BFBE" w14:textId="40F23928" w:rsidR="00FD45D7" w:rsidRPr="00A60DD6" w:rsidRDefault="00FD45D7" w:rsidP="00FD45D7">
      <w:pPr>
        <w:pStyle w:val="ListParagraph"/>
        <w:spacing w:before="240"/>
        <w:rPr>
          <w:rFonts w:asciiTheme="minorHAnsi" w:hAnsiTheme="minorHAnsi" w:cstheme="minorBidi"/>
          <w:color w:val="000000" w:themeColor="text1"/>
          <w:kern w:val="12"/>
          <w:sz w:val="20"/>
          <w:szCs w:val="20"/>
          <w:lang w:val="x-none"/>
        </w:rPr>
      </w:pPr>
    </w:p>
    <w:p w14:paraId="1B981F36" w14:textId="58FB0A6A" w:rsidR="004551C6" w:rsidRPr="00A60DD6" w:rsidRDefault="008D6CD1" w:rsidP="00CB0804">
      <w:pPr>
        <w:pStyle w:val="ListParagraph"/>
        <w:numPr>
          <w:ilvl w:val="0"/>
          <w:numId w:val="21"/>
        </w:numPr>
        <w:rPr>
          <w:rFonts w:asciiTheme="minorHAnsi" w:hAnsiTheme="minorHAnsi" w:cstheme="minorBidi"/>
          <w:color w:val="000000" w:themeColor="text1"/>
          <w:kern w:val="12"/>
          <w:sz w:val="20"/>
          <w:szCs w:val="20"/>
          <w:lang w:val="x-none"/>
        </w:rPr>
      </w:pPr>
      <w:r w:rsidRPr="00A60DD6">
        <w:rPr>
          <w:rFonts w:asciiTheme="minorHAnsi" w:hAnsiTheme="minorHAnsi" w:cstheme="minorBidi"/>
          <w:color w:val="000000" w:themeColor="text1"/>
          <w:kern w:val="12"/>
          <w:sz w:val="20"/>
          <w:szCs w:val="20"/>
          <w:lang w:val="x-none"/>
        </w:rPr>
        <w:t>The projected increased fitment rate at sale was established for Option 2 (solid line – BAU):</w:t>
      </w:r>
    </w:p>
    <w:p w14:paraId="13F59A73" w14:textId="48140A09" w:rsidR="00FD45D7" w:rsidRDefault="00B24191" w:rsidP="00FD45D7">
      <w:pPr>
        <w:pStyle w:val="ListParagraph"/>
        <w:keepNext/>
        <w:jc w:val="center"/>
      </w:pPr>
      <w:r>
        <w:rPr>
          <w:noProof/>
          <w:lang w:eastAsia="en-AU"/>
        </w:rPr>
        <w:drawing>
          <wp:inline distT="0" distB="0" distL="0" distR="0" wp14:anchorId="3D8EEA46" wp14:editId="29FED1FE">
            <wp:extent cx="5011420" cy="3596640"/>
            <wp:effectExtent l="0" t="0" r="4445" b="381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011420" cy="3596640"/>
                    </a:xfrm>
                    <a:prstGeom prst="rect">
                      <a:avLst/>
                    </a:prstGeom>
                    <a:noFill/>
                  </pic:spPr>
                </pic:pic>
              </a:graphicData>
            </a:graphic>
          </wp:inline>
        </w:drawing>
      </w:r>
    </w:p>
    <w:p w14:paraId="31CB6F48" w14:textId="36C2E146" w:rsidR="008D6CD1" w:rsidRDefault="00FD45D7" w:rsidP="00FD45D7">
      <w:pPr>
        <w:pStyle w:val="Caption"/>
        <w:jc w:val="center"/>
      </w:pPr>
      <w:r>
        <w:t xml:space="preserve">Figure </w:t>
      </w:r>
      <w:fldSimple w:instr=" SEQ Figure \* ARABIC ">
        <w:r w:rsidR="008E07C6">
          <w:rPr>
            <w:noProof/>
          </w:rPr>
          <w:t>13</w:t>
        </w:r>
      </w:fldSimple>
      <w:r>
        <w:t>: Projected fitment effect</w:t>
      </w:r>
    </w:p>
    <w:p w14:paraId="4934F8CA" w14:textId="77777777" w:rsidR="007359D5" w:rsidRDefault="007359D5" w:rsidP="007359D5">
      <w:pPr>
        <w:sectPr w:rsidR="007359D5" w:rsidSect="00D87AD8">
          <w:pgSz w:w="11906" w:h="16838" w:code="9"/>
          <w:pgMar w:top="1021" w:right="1021" w:bottom="1021" w:left="1021" w:header="510" w:footer="567" w:gutter="0"/>
          <w:cols w:space="708"/>
          <w:docGrid w:linePitch="360"/>
        </w:sectPr>
      </w:pPr>
    </w:p>
    <w:p w14:paraId="79E9F316" w14:textId="2C253447" w:rsidR="00FD45D7" w:rsidRPr="00A60DD6" w:rsidRDefault="00B24191" w:rsidP="00CB0804">
      <w:pPr>
        <w:pStyle w:val="ListParagraph"/>
        <w:numPr>
          <w:ilvl w:val="0"/>
          <w:numId w:val="21"/>
        </w:numPr>
        <w:rPr>
          <w:rFonts w:asciiTheme="minorHAnsi" w:hAnsiTheme="minorHAnsi" w:cstheme="minorBidi"/>
          <w:color w:val="000000" w:themeColor="text1"/>
          <w:kern w:val="12"/>
          <w:sz w:val="20"/>
          <w:szCs w:val="20"/>
          <w:lang w:val="x-none"/>
        </w:rPr>
      </w:pPr>
      <w:r w:rsidRPr="00A60DD6">
        <w:rPr>
          <w:rFonts w:asciiTheme="minorHAnsi" w:hAnsiTheme="minorHAnsi" w:cstheme="minorBidi"/>
          <w:color w:val="000000" w:themeColor="text1"/>
          <w:kern w:val="12"/>
          <w:sz w:val="20"/>
          <w:szCs w:val="20"/>
          <w:lang w:val="x-none"/>
        </w:rPr>
        <w:lastRenderedPageBreak/>
        <w:t>Fitment increase by year is determined from available sales data (step 4) and fitment data (step 5):</w:t>
      </w:r>
    </w:p>
    <w:tbl>
      <w:tblPr>
        <w:tblStyle w:val="TableGrid"/>
        <w:tblW w:w="0" w:type="auto"/>
        <w:jc w:val="center"/>
        <w:tblLook w:val="04A0" w:firstRow="1" w:lastRow="0" w:firstColumn="1" w:lastColumn="0" w:noHBand="0" w:noVBand="1"/>
      </w:tblPr>
      <w:tblGrid>
        <w:gridCol w:w="3514"/>
        <w:gridCol w:w="4927"/>
      </w:tblGrid>
      <w:tr w:rsidR="00B24191" w14:paraId="29A5ED12" w14:textId="77777777" w:rsidTr="007359D5">
        <w:trPr>
          <w:jc w:val="center"/>
        </w:trPr>
        <w:tc>
          <w:tcPr>
            <w:tcW w:w="8441" w:type="dxa"/>
            <w:gridSpan w:val="2"/>
          </w:tcPr>
          <w:p w14:paraId="7D1855F1" w14:textId="451E016A" w:rsidR="00B24191" w:rsidRDefault="00B24191" w:rsidP="007359D5">
            <w:pPr>
              <w:jc w:val="center"/>
            </w:pPr>
            <w:r>
              <w:t>Fitment increase</w:t>
            </w:r>
            <w:r w:rsidR="003D1D68">
              <w:t xml:space="preserve"> over BAU</w:t>
            </w:r>
            <w:r>
              <w:t xml:space="preserve"> at sale</w:t>
            </w:r>
          </w:p>
        </w:tc>
      </w:tr>
      <w:tr w:rsidR="00B24191" w14:paraId="3E717768" w14:textId="77777777" w:rsidTr="007359D5">
        <w:trPr>
          <w:jc w:val="center"/>
        </w:trPr>
        <w:tc>
          <w:tcPr>
            <w:tcW w:w="3514" w:type="dxa"/>
          </w:tcPr>
          <w:p w14:paraId="5D84A261" w14:textId="2F9B6A1A" w:rsidR="00B24191" w:rsidRDefault="00B24191" w:rsidP="007359D5">
            <w:pPr>
              <w:jc w:val="center"/>
            </w:pPr>
            <w:r>
              <w:t>Year</w:t>
            </w:r>
          </w:p>
        </w:tc>
        <w:tc>
          <w:tcPr>
            <w:tcW w:w="4927" w:type="dxa"/>
          </w:tcPr>
          <w:p w14:paraId="44565115" w14:textId="7CCCF493" w:rsidR="00B24191" w:rsidRDefault="00B24191" w:rsidP="007359D5">
            <w:pPr>
              <w:jc w:val="center"/>
            </w:pPr>
            <w:r>
              <w:t>Option 2</w:t>
            </w:r>
          </w:p>
        </w:tc>
      </w:tr>
      <w:tr w:rsidR="007359D5" w14:paraId="138FD78D" w14:textId="77777777" w:rsidTr="007359D5">
        <w:trPr>
          <w:jc w:val="center"/>
        </w:trPr>
        <w:tc>
          <w:tcPr>
            <w:tcW w:w="3514" w:type="dxa"/>
          </w:tcPr>
          <w:p w14:paraId="21FEB663" w14:textId="560010BD" w:rsidR="007359D5" w:rsidRDefault="007359D5" w:rsidP="007359D5">
            <w:pPr>
              <w:jc w:val="center"/>
            </w:pPr>
            <w:r w:rsidRPr="00AB6485">
              <w:t>2024</w:t>
            </w:r>
          </w:p>
        </w:tc>
        <w:tc>
          <w:tcPr>
            <w:tcW w:w="4927" w:type="dxa"/>
          </w:tcPr>
          <w:p w14:paraId="43A7B321" w14:textId="0A13BDD0" w:rsidR="007359D5" w:rsidRDefault="007359D5" w:rsidP="007359D5">
            <w:pPr>
              <w:jc w:val="center"/>
            </w:pPr>
            <w:r w:rsidRPr="009859F9">
              <w:t>5,772</w:t>
            </w:r>
          </w:p>
        </w:tc>
      </w:tr>
      <w:tr w:rsidR="007359D5" w14:paraId="1935B685" w14:textId="77777777" w:rsidTr="007359D5">
        <w:trPr>
          <w:jc w:val="center"/>
        </w:trPr>
        <w:tc>
          <w:tcPr>
            <w:tcW w:w="3514" w:type="dxa"/>
          </w:tcPr>
          <w:p w14:paraId="104CF88B" w14:textId="5B8F0018" w:rsidR="007359D5" w:rsidRDefault="007359D5" w:rsidP="007359D5">
            <w:pPr>
              <w:jc w:val="center"/>
            </w:pPr>
            <w:r w:rsidRPr="00AB6485">
              <w:t>2025</w:t>
            </w:r>
          </w:p>
        </w:tc>
        <w:tc>
          <w:tcPr>
            <w:tcW w:w="4927" w:type="dxa"/>
          </w:tcPr>
          <w:p w14:paraId="73E7A870" w14:textId="7AE1A7A8" w:rsidR="007359D5" w:rsidRDefault="007359D5" w:rsidP="007359D5">
            <w:pPr>
              <w:jc w:val="center"/>
            </w:pPr>
            <w:r w:rsidRPr="009859F9">
              <w:t>13,600</w:t>
            </w:r>
          </w:p>
        </w:tc>
      </w:tr>
      <w:tr w:rsidR="007359D5" w14:paraId="20B09293" w14:textId="77777777" w:rsidTr="007359D5">
        <w:trPr>
          <w:jc w:val="center"/>
        </w:trPr>
        <w:tc>
          <w:tcPr>
            <w:tcW w:w="3514" w:type="dxa"/>
          </w:tcPr>
          <w:p w14:paraId="3CA7BA19" w14:textId="180385F8" w:rsidR="007359D5" w:rsidRDefault="007359D5" w:rsidP="007359D5">
            <w:pPr>
              <w:jc w:val="center"/>
            </w:pPr>
            <w:r w:rsidRPr="00AB6485">
              <w:t>2026</w:t>
            </w:r>
          </w:p>
        </w:tc>
        <w:tc>
          <w:tcPr>
            <w:tcW w:w="4927" w:type="dxa"/>
          </w:tcPr>
          <w:p w14:paraId="099B2A40" w14:textId="4E97ED70" w:rsidR="007359D5" w:rsidRDefault="007359D5" w:rsidP="007359D5">
            <w:pPr>
              <w:jc w:val="center"/>
            </w:pPr>
            <w:r w:rsidRPr="009859F9">
              <w:t>18,750</w:t>
            </w:r>
          </w:p>
        </w:tc>
      </w:tr>
      <w:tr w:rsidR="007359D5" w14:paraId="1E1FBB0D" w14:textId="77777777" w:rsidTr="007359D5">
        <w:trPr>
          <w:jc w:val="center"/>
        </w:trPr>
        <w:tc>
          <w:tcPr>
            <w:tcW w:w="3514" w:type="dxa"/>
          </w:tcPr>
          <w:p w14:paraId="30F3C328" w14:textId="5A372820" w:rsidR="007359D5" w:rsidRDefault="007359D5" w:rsidP="007359D5">
            <w:pPr>
              <w:jc w:val="center"/>
            </w:pPr>
            <w:r w:rsidRPr="00AB6485">
              <w:t>2027</w:t>
            </w:r>
          </w:p>
        </w:tc>
        <w:tc>
          <w:tcPr>
            <w:tcW w:w="4927" w:type="dxa"/>
          </w:tcPr>
          <w:p w14:paraId="1292A063" w14:textId="0E440F6F" w:rsidR="007359D5" w:rsidRDefault="007359D5" w:rsidP="007359D5">
            <w:pPr>
              <w:jc w:val="center"/>
            </w:pPr>
            <w:r w:rsidRPr="009859F9">
              <w:t>18,022</w:t>
            </w:r>
          </w:p>
        </w:tc>
      </w:tr>
      <w:tr w:rsidR="007359D5" w14:paraId="245C7276" w14:textId="77777777" w:rsidTr="007359D5">
        <w:trPr>
          <w:jc w:val="center"/>
        </w:trPr>
        <w:tc>
          <w:tcPr>
            <w:tcW w:w="3514" w:type="dxa"/>
          </w:tcPr>
          <w:p w14:paraId="4257A755" w14:textId="110B33D6" w:rsidR="007359D5" w:rsidRDefault="007359D5" w:rsidP="007359D5">
            <w:pPr>
              <w:jc w:val="center"/>
            </w:pPr>
            <w:r w:rsidRPr="00AB6485">
              <w:t>2028</w:t>
            </w:r>
          </w:p>
        </w:tc>
        <w:tc>
          <w:tcPr>
            <w:tcW w:w="4927" w:type="dxa"/>
          </w:tcPr>
          <w:p w14:paraId="37BB37E7" w14:textId="71B5207F" w:rsidR="007359D5" w:rsidRDefault="007359D5" w:rsidP="007359D5">
            <w:pPr>
              <w:jc w:val="center"/>
            </w:pPr>
            <w:r w:rsidRPr="009859F9">
              <w:t>16,633</w:t>
            </w:r>
          </w:p>
        </w:tc>
      </w:tr>
      <w:tr w:rsidR="007359D5" w14:paraId="6657C893" w14:textId="77777777" w:rsidTr="007359D5">
        <w:trPr>
          <w:jc w:val="center"/>
        </w:trPr>
        <w:tc>
          <w:tcPr>
            <w:tcW w:w="3514" w:type="dxa"/>
          </w:tcPr>
          <w:p w14:paraId="099FCEAB" w14:textId="75D054E8" w:rsidR="007359D5" w:rsidRDefault="007359D5" w:rsidP="007359D5">
            <w:pPr>
              <w:jc w:val="center"/>
            </w:pPr>
            <w:r w:rsidRPr="00AB6485">
              <w:t>2029</w:t>
            </w:r>
          </w:p>
        </w:tc>
        <w:tc>
          <w:tcPr>
            <w:tcW w:w="4927" w:type="dxa"/>
          </w:tcPr>
          <w:p w14:paraId="52C839A1" w14:textId="16418940" w:rsidR="007359D5" w:rsidRDefault="007359D5" w:rsidP="007359D5">
            <w:pPr>
              <w:jc w:val="center"/>
            </w:pPr>
            <w:r w:rsidRPr="009859F9">
              <w:t>17,332</w:t>
            </w:r>
          </w:p>
        </w:tc>
      </w:tr>
      <w:tr w:rsidR="007359D5" w14:paraId="7B4E1D7F" w14:textId="77777777" w:rsidTr="007359D5">
        <w:trPr>
          <w:jc w:val="center"/>
        </w:trPr>
        <w:tc>
          <w:tcPr>
            <w:tcW w:w="3514" w:type="dxa"/>
          </w:tcPr>
          <w:p w14:paraId="21338403" w14:textId="54564303" w:rsidR="007359D5" w:rsidRDefault="007359D5" w:rsidP="007359D5">
            <w:pPr>
              <w:jc w:val="center"/>
            </w:pPr>
            <w:r w:rsidRPr="00AB6485">
              <w:t>2030</w:t>
            </w:r>
          </w:p>
        </w:tc>
        <w:tc>
          <w:tcPr>
            <w:tcW w:w="4927" w:type="dxa"/>
          </w:tcPr>
          <w:p w14:paraId="505C2D99" w14:textId="54E837F5" w:rsidR="007359D5" w:rsidRDefault="007359D5" w:rsidP="007359D5">
            <w:pPr>
              <w:jc w:val="center"/>
            </w:pPr>
            <w:r w:rsidRPr="009859F9">
              <w:t>18,062</w:t>
            </w:r>
          </w:p>
        </w:tc>
      </w:tr>
      <w:tr w:rsidR="007359D5" w14:paraId="0E25ECFB" w14:textId="77777777" w:rsidTr="007359D5">
        <w:trPr>
          <w:jc w:val="center"/>
        </w:trPr>
        <w:tc>
          <w:tcPr>
            <w:tcW w:w="3514" w:type="dxa"/>
          </w:tcPr>
          <w:p w14:paraId="27A442F9" w14:textId="0C55B850" w:rsidR="007359D5" w:rsidRDefault="007359D5" w:rsidP="007359D5">
            <w:pPr>
              <w:jc w:val="center"/>
            </w:pPr>
            <w:r w:rsidRPr="00AB6485">
              <w:t>2031</w:t>
            </w:r>
          </w:p>
        </w:tc>
        <w:tc>
          <w:tcPr>
            <w:tcW w:w="4927" w:type="dxa"/>
          </w:tcPr>
          <w:p w14:paraId="63AA0F9D" w14:textId="7A407D5D" w:rsidR="007359D5" w:rsidRDefault="007359D5" w:rsidP="007359D5">
            <w:pPr>
              <w:jc w:val="center"/>
            </w:pPr>
            <w:r w:rsidRPr="009859F9">
              <w:t>18,824</w:t>
            </w:r>
          </w:p>
        </w:tc>
      </w:tr>
      <w:tr w:rsidR="007359D5" w14:paraId="5C857EEA" w14:textId="77777777" w:rsidTr="007359D5">
        <w:trPr>
          <w:jc w:val="center"/>
        </w:trPr>
        <w:tc>
          <w:tcPr>
            <w:tcW w:w="3514" w:type="dxa"/>
          </w:tcPr>
          <w:p w14:paraId="5EF0AC84" w14:textId="4F8C8FF5" w:rsidR="007359D5" w:rsidRDefault="007359D5" w:rsidP="007359D5">
            <w:pPr>
              <w:jc w:val="center"/>
            </w:pPr>
            <w:r w:rsidRPr="00AB6485">
              <w:t>2032</w:t>
            </w:r>
          </w:p>
        </w:tc>
        <w:tc>
          <w:tcPr>
            <w:tcW w:w="4927" w:type="dxa"/>
          </w:tcPr>
          <w:p w14:paraId="52172223" w14:textId="4E414097" w:rsidR="007359D5" w:rsidRDefault="007359D5" w:rsidP="007359D5">
            <w:pPr>
              <w:jc w:val="center"/>
            </w:pPr>
            <w:r w:rsidRPr="009859F9">
              <w:t>19,619</w:t>
            </w:r>
          </w:p>
        </w:tc>
      </w:tr>
      <w:tr w:rsidR="007359D5" w14:paraId="24695B5B" w14:textId="77777777" w:rsidTr="007359D5">
        <w:trPr>
          <w:jc w:val="center"/>
        </w:trPr>
        <w:tc>
          <w:tcPr>
            <w:tcW w:w="3514" w:type="dxa"/>
          </w:tcPr>
          <w:p w14:paraId="7CAD684F" w14:textId="5E7B7B00" w:rsidR="007359D5" w:rsidRDefault="007359D5" w:rsidP="007359D5">
            <w:pPr>
              <w:jc w:val="center"/>
            </w:pPr>
            <w:r w:rsidRPr="00AB6485">
              <w:t>2033</w:t>
            </w:r>
          </w:p>
        </w:tc>
        <w:tc>
          <w:tcPr>
            <w:tcW w:w="4927" w:type="dxa"/>
          </w:tcPr>
          <w:p w14:paraId="23879B9B" w14:textId="1820B629" w:rsidR="007359D5" w:rsidRDefault="007359D5" w:rsidP="007359D5">
            <w:pPr>
              <w:jc w:val="center"/>
            </w:pPr>
            <w:r w:rsidRPr="009859F9">
              <w:t>20,449</w:t>
            </w:r>
          </w:p>
        </w:tc>
      </w:tr>
      <w:tr w:rsidR="007359D5" w14:paraId="01F5EE9F" w14:textId="77777777" w:rsidTr="007359D5">
        <w:trPr>
          <w:jc w:val="center"/>
        </w:trPr>
        <w:tc>
          <w:tcPr>
            <w:tcW w:w="3514" w:type="dxa"/>
          </w:tcPr>
          <w:p w14:paraId="0BD8737C" w14:textId="422A9667" w:rsidR="007359D5" w:rsidRDefault="007359D5" w:rsidP="007359D5">
            <w:pPr>
              <w:jc w:val="center"/>
            </w:pPr>
            <w:r w:rsidRPr="00AB6485">
              <w:t>2034</w:t>
            </w:r>
          </w:p>
        </w:tc>
        <w:tc>
          <w:tcPr>
            <w:tcW w:w="4927" w:type="dxa"/>
          </w:tcPr>
          <w:p w14:paraId="09D315BF" w14:textId="1E0AD7F4" w:rsidR="007359D5" w:rsidRDefault="007359D5" w:rsidP="007359D5">
            <w:pPr>
              <w:jc w:val="center"/>
            </w:pPr>
            <w:r w:rsidRPr="009859F9">
              <w:t>21,315</w:t>
            </w:r>
          </w:p>
        </w:tc>
      </w:tr>
      <w:tr w:rsidR="007359D5" w14:paraId="1A5E8105" w14:textId="77777777" w:rsidTr="007359D5">
        <w:trPr>
          <w:jc w:val="center"/>
        </w:trPr>
        <w:tc>
          <w:tcPr>
            <w:tcW w:w="3514" w:type="dxa"/>
          </w:tcPr>
          <w:p w14:paraId="0D0925BB" w14:textId="76D8BA5E" w:rsidR="007359D5" w:rsidRDefault="007359D5" w:rsidP="007359D5">
            <w:pPr>
              <w:jc w:val="center"/>
            </w:pPr>
            <w:r w:rsidRPr="00AB6485">
              <w:t>2035</w:t>
            </w:r>
          </w:p>
        </w:tc>
        <w:tc>
          <w:tcPr>
            <w:tcW w:w="4927" w:type="dxa"/>
          </w:tcPr>
          <w:p w14:paraId="32F92072" w14:textId="50B0C101" w:rsidR="007359D5" w:rsidRDefault="007359D5" w:rsidP="007359D5">
            <w:pPr>
              <w:jc w:val="center"/>
            </w:pPr>
            <w:r w:rsidRPr="009859F9">
              <w:t>22,219</w:t>
            </w:r>
          </w:p>
        </w:tc>
      </w:tr>
      <w:tr w:rsidR="007359D5" w14:paraId="4A3C36D1" w14:textId="77777777" w:rsidTr="007359D5">
        <w:trPr>
          <w:jc w:val="center"/>
        </w:trPr>
        <w:tc>
          <w:tcPr>
            <w:tcW w:w="3514" w:type="dxa"/>
          </w:tcPr>
          <w:p w14:paraId="25B0B0B7" w14:textId="737296E4" w:rsidR="007359D5" w:rsidRDefault="007359D5" w:rsidP="007359D5">
            <w:pPr>
              <w:jc w:val="center"/>
            </w:pPr>
            <w:r w:rsidRPr="00AB6485">
              <w:t>2036</w:t>
            </w:r>
          </w:p>
        </w:tc>
        <w:tc>
          <w:tcPr>
            <w:tcW w:w="4927" w:type="dxa"/>
          </w:tcPr>
          <w:p w14:paraId="06782551" w14:textId="34FE0678" w:rsidR="007359D5" w:rsidRDefault="007359D5" w:rsidP="007359D5">
            <w:pPr>
              <w:jc w:val="center"/>
            </w:pPr>
            <w:r w:rsidRPr="009859F9">
              <w:t>23,163</w:t>
            </w:r>
          </w:p>
        </w:tc>
      </w:tr>
      <w:tr w:rsidR="007359D5" w14:paraId="0FB965E6" w14:textId="77777777" w:rsidTr="007359D5">
        <w:trPr>
          <w:jc w:val="center"/>
        </w:trPr>
        <w:tc>
          <w:tcPr>
            <w:tcW w:w="3514" w:type="dxa"/>
          </w:tcPr>
          <w:p w14:paraId="67BD064D" w14:textId="0E1394A7" w:rsidR="007359D5" w:rsidRDefault="007359D5" w:rsidP="007359D5">
            <w:pPr>
              <w:jc w:val="center"/>
            </w:pPr>
            <w:r w:rsidRPr="00AB6485">
              <w:t>2037</w:t>
            </w:r>
          </w:p>
        </w:tc>
        <w:tc>
          <w:tcPr>
            <w:tcW w:w="4927" w:type="dxa"/>
          </w:tcPr>
          <w:p w14:paraId="59A7A6DE" w14:textId="27513C33" w:rsidR="007359D5" w:rsidRDefault="007359D5" w:rsidP="007359D5">
            <w:pPr>
              <w:jc w:val="center"/>
            </w:pPr>
            <w:r w:rsidRPr="009859F9">
              <w:t>24,148</w:t>
            </w:r>
          </w:p>
        </w:tc>
      </w:tr>
      <w:tr w:rsidR="007359D5" w14:paraId="76E88B1F" w14:textId="77777777" w:rsidTr="007359D5">
        <w:trPr>
          <w:jc w:val="center"/>
        </w:trPr>
        <w:tc>
          <w:tcPr>
            <w:tcW w:w="3514" w:type="dxa"/>
          </w:tcPr>
          <w:p w14:paraId="65C82D25" w14:textId="203A8CD5" w:rsidR="007359D5" w:rsidRDefault="007359D5" w:rsidP="007359D5">
            <w:pPr>
              <w:jc w:val="center"/>
            </w:pPr>
            <w:r w:rsidRPr="00AB6485">
              <w:t>2038</w:t>
            </w:r>
          </w:p>
        </w:tc>
        <w:tc>
          <w:tcPr>
            <w:tcW w:w="4927" w:type="dxa"/>
          </w:tcPr>
          <w:p w14:paraId="4B78DDFA" w14:textId="142A59CE" w:rsidR="007359D5" w:rsidRDefault="007359D5" w:rsidP="007359D5">
            <w:pPr>
              <w:jc w:val="center"/>
            </w:pPr>
            <w:r w:rsidRPr="009859F9">
              <w:t>24,421</w:t>
            </w:r>
          </w:p>
        </w:tc>
      </w:tr>
      <w:tr w:rsidR="007359D5" w14:paraId="19A9EDA8" w14:textId="77777777" w:rsidTr="007359D5">
        <w:trPr>
          <w:jc w:val="center"/>
        </w:trPr>
        <w:tc>
          <w:tcPr>
            <w:tcW w:w="3514" w:type="dxa"/>
          </w:tcPr>
          <w:p w14:paraId="2D00A2CD" w14:textId="013989C5" w:rsidR="007359D5" w:rsidRDefault="007359D5" w:rsidP="007359D5">
            <w:pPr>
              <w:jc w:val="center"/>
            </w:pPr>
            <w:r w:rsidRPr="00AB6485">
              <w:t>2039</w:t>
            </w:r>
          </w:p>
        </w:tc>
        <w:tc>
          <w:tcPr>
            <w:tcW w:w="4927" w:type="dxa"/>
          </w:tcPr>
          <w:p w14:paraId="0C725816" w14:textId="70A7C414" w:rsidR="007359D5" w:rsidRDefault="007359D5" w:rsidP="007359D5">
            <w:pPr>
              <w:jc w:val="center"/>
            </w:pPr>
            <w:r w:rsidRPr="009859F9">
              <w:t>23,832</w:t>
            </w:r>
          </w:p>
        </w:tc>
      </w:tr>
      <w:tr w:rsidR="007359D5" w14:paraId="1A665002" w14:textId="77777777" w:rsidTr="007359D5">
        <w:trPr>
          <w:jc w:val="center"/>
        </w:trPr>
        <w:tc>
          <w:tcPr>
            <w:tcW w:w="3514" w:type="dxa"/>
          </w:tcPr>
          <w:p w14:paraId="66CBE855" w14:textId="1766FB7F" w:rsidR="007359D5" w:rsidRDefault="007359D5" w:rsidP="007359D5">
            <w:pPr>
              <w:jc w:val="center"/>
            </w:pPr>
            <w:r w:rsidRPr="00AB6485">
              <w:t>2040</w:t>
            </w:r>
          </w:p>
        </w:tc>
        <w:tc>
          <w:tcPr>
            <w:tcW w:w="4927" w:type="dxa"/>
          </w:tcPr>
          <w:p w14:paraId="379CEE14" w14:textId="58CE3004" w:rsidR="007359D5" w:rsidRDefault="007359D5" w:rsidP="007359D5">
            <w:pPr>
              <w:jc w:val="center"/>
            </w:pPr>
            <w:r w:rsidRPr="009859F9">
              <w:t>23,227</w:t>
            </w:r>
          </w:p>
        </w:tc>
      </w:tr>
      <w:tr w:rsidR="007359D5" w14:paraId="4A4427F1" w14:textId="77777777" w:rsidTr="007359D5">
        <w:trPr>
          <w:jc w:val="center"/>
        </w:trPr>
        <w:tc>
          <w:tcPr>
            <w:tcW w:w="3514" w:type="dxa"/>
          </w:tcPr>
          <w:p w14:paraId="01B4C6B0" w14:textId="64CB0210" w:rsidR="007359D5" w:rsidRDefault="007359D5" w:rsidP="007359D5">
            <w:pPr>
              <w:jc w:val="center"/>
            </w:pPr>
            <w:r w:rsidRPr="00AB6485">
              <w:t>2041</w:t>
            </w:r>
          </w:p>
        </w:tc>
        <w:tc>
          <w:tcPr>
            <w:tcW w:w="4927" w:type="dxa"/>
          </w:tcPr>
          <w:p w14:paraId="0F36F43B" w14:textId="324C3B50" w:rsidR="007359D5" w:rsidRDefault="007359D5" w:rsidP="007359D5">
            <w:pPr>
              <w:jc w:val="center"/>
            </w:pPr>
            <w:r w:rsidRPr="009859F9">
              <w:t>22,606</w:t>
            </w:r>
          </w:p>
        </w:tc>
      </w:tr>
      <w:tr w:rsidR="007359D5" w14:paraId="5819A240" w14:textId="77777777" w:rsidTr="007359D5">
        <w:trPr>
          <w:jc w:val="center"/>
        </w:trPr>
        <w:tc>
          <w:tcPr>
            <w:tcW w:w="3514" w:type="dxa"/>
          </w:tcPr>
          <w:p w14:paraId="426165FB" w14:textId="5B1B1DBA" w:rsidR="007359D5" w:rsidRDefault="007359D5" w:rsidP="007359D5">
            <w:pPr>
              <w:jc w:val="center"/>
            </w:pPr>
            <w:r w:rsidRPr="00AB6485">
              <w:t>2042</w:t>
            </w:r>
          </w:p>
        </w:tc>
        <w:tc>
          <w:tcPr>
            <w:tcW w:w="4927" w:type="dxa"/>
          </w:tcPr>
          <w:p w14:paraId="2D921418" w14:textId="6E6AF4B0" w:rsidR="007359D5" w:rsidRDefault="007359D5" w:rsidP="007359D5">
            <w:pPr>
              <w:jc w:val="center"/>
            </w:pPr>
            <w:r w:rsidRPr="009859F9">
              <w:t>21,969</w:t>
            </w:r>
          </w:p>
        </w:tc>
      </w:tr>
      <w:tr w:rsidR="007359D5" w14:paraId="27C16DBB" w14:textId="77777777" w:rsidTr="007359D5">
        <w:trPr>
          <w:jc w:val="center"/>
        </w:trPr>
        <w:tc>
          <w:tcPr>
            <w:tcW w:w="3514" w:type="dxa"/>
          </w:tcPr>
          <w:p w14:paraId="027FD3CC" w14:textId="3A505F1C" w:rsidR="007359D5" w:rsidRDefault="007359D5" w:rsidP="007359D5">
            <w:pPr>
              <w:jc w:val="center"/>
            </w:pPr>
            <w:r w:rsidRPr="00AB6485">
              <w:t>2043</w:t>
            </w:r>
          </w:p>
        </w:tc>
        <w:tc>
          <w:tcPr>
            <w:tcW w:w="4927" w:type="dxa"/>
          </w:tcPr>
          <w:p w14:paraId="7CECE95C" w14:textId="0558E3D8" w:rsidR="007359D5" w:rsidRDefault="007359D5" w:rsidP="007359D5">
            <w:pPr>
              <w:jc w:val="center"/>
            </w:pPr>
            <w:r w:rsidRPr="009859F9">
              <w:t>21,315</w:t>
            </w:r>
          </w:p>
        </w:tc>
      </w:tr>
      <w:tr w:rsidR="007359D5" w14:paraId="22DECB98" w14:textId="77777777" w:rsidTr="007359D5">
        <w:trPr>
          <w:jc w:val="center"/>
        </w:trPr>
        <w:tc>
          <w:tcPr>
            <w:tcW w:w="3514" w:type="dxa"/>
          </w:tcPr>
          <w:p w14:paraId="4C767DF6" w14:textId="385D7649" w:rsidR="007359D5" w:rsidRDefault="007359D5" w:rsidP="007359D5">
            <w:pPr>
              <w:jc w:val="center"/>
            </w:pPr>
            <w:r w:rsidRPr="00AB6485">
              <w:t>2044</w:t>
            </w:r>
          </w:p>
        </w:tc>
        <w:tc>
          <w:tcPr>
            <w:tcW w:w="4927" w:type="dxa"/>
          </w:tcPr>
          <w:p w14:paraId="78CB1B2F" w14:textId="5C96C524" w:rsidR="007359D5" w:rsidRDefault="007359D5" w:rsidP="007359D5">
            <w:pPr>
              <w:jc w:val="center"/>
            </w:pPr>
            <w:r w:rsidRPr="009859F9">
              <w:t>20,645</w:t>
            </w:r>
          </w:p>
        </w:tc>
      </w:tr>
      <w:tr w:rsidR="007359D5" w14:paraId="41022BC8" w14:textId="77777777" w:rsidTr="007359D5">
        <w:trPr>
          <w:jc w:val="center"/>
        </w:trPr>
        <w:tc>
          <w:tcPr>
            <w:tcW w:w="3514" w:type="dxa"/>
          </w:tcPr>
          <w:p w14:paraId="418EBAEC" w14:textId="748FA270" w:rsidR="007359D5" w:rsidRDefault="007359D5" w:rsidP="007359D5">
            <w:pPr>
              <w:jc w:val="center"/>
            </w:pPr>
            <w:r w:rsidRPr="00AB6485">
              <w:t>2045</w:t>
            </w:r>
          </w:p>
        </w:tc>
        <w:tc>
          <w:tcPr>
            <w:tcW w:w="4927" w:type="dxa"/>
          </w:tcPr>
          <w:p w14:paraId="1BA5C1A2" w14:textId="26C72EA7" w:rsidR="007359D5" w:rsidRDefault="007359D5" w:rsidP="007359D5">
            <w:pPr>
              <w:jc w:val="center"/>
            </w:pPr>
            <w:r w:rsidRPr="009859F9">
              <w:t>19,957</w:t>
            </w:r>
          </w:p>
        </w:tc>
      </w:tr>
      <w:tr w:rsidR="007359D5" w14:paraId="781A4FA5" w14:textId="77777777" w:rsidTr="007359D5">
        <w:trPr>
          <w:jc w:val="center"/>
        </w:trPr>
        <w:tc>
          <w:tcPr>
            <w:tcW w:w="3514" w:type="dxa"/>
          </w:tcPr>
          <w:p w14:paraId="0207D6FA" w14:textId="45578D4F" w:rsidR="007359D5" w:rsidRDefault="007359D5" w:rsidP="007359D5">
            <w:pPr>
              <w:jc w:val="center"/>
            </w:pPr>
            <w:r w:rsidRPr="00AB6485">
              <w:t>2046</w:t>
            </w:r>
          </w:p>
        </w:tc>
        <w:tc>
          <w:tcPr>
            <w:tcW w:w="4927" w:type="dxa"/>
          </w:tcPr>
          <w:p w14:paraId="01CEDDA9" w14:textId="645CDA5C" w:rsidR="007359D5" w:rsidRDefault="007359D5" w:rsidP="007359D5">
            <w:pPr>
              <w:jc w:val="center"/>
            </w:pPr>
            <w:r w:rsidRPr="009859F9">
              <w:t>19,251</w:t>
            </w:r>
          </w:p>
        </w:tc>
      </w:tr>
      <w:tr w:rsidR="007359D5" w14:paraId="2B6BF985" w14:textId="77777777" w:rsidTr="007359D5">
        <w:trPr>
          <w:jc w:val="center"/>
        </w:trPr>
        <w:tc>
          <w:tcPr>
            <w:tcW w:w="3514" w:type="dxa"/>
          </w:tcPr>
          <w:p w14:paraId="51EE6933" w14:textId="4AD4FBD2" w:rsidR="007359D5" w:rsidRDefault="007359D5" w:rsidP="007359D5">
            <w:pPr>
              <w:jc w:val="center"/>
            </w:pPr>
            <w:r w:rsidRPr="00AB6485">
              <w:t>2047</w:t>
            </w:r>
          </w:p>
        </w:tc>
        <w:tc>
          <w:tcPr>
            <w:tcW w:w="4927" w:type="dxa"/>
          </w:tcPr>
          <w:p w14:paraId="4246A670" w14:textId="6A2DC1B9" w:rsidR="007359D5" w:rsidRDefault="007359D5" w:rsidP="007359D5">
            <w:pPr>
              <w:jc w:val="center"/>
            </w:pPr>
            <w:r w:rsidRPr="009859F9">
              <w:t>18,527</w:t>
            </w:r>
          </w:p>
        </w:tc>
      </w:tr>
      <w:tr w:rsidR="007359D5" w14:paraId="5BDFDE1A" w14:textId="77777777" w:rsidTr="007359D5">
        <w:trPr>
          <w:jc w:val="center"/>
        </w:trPr>
        <w:tc>
          <w:tcPr>
            <w:tcW w:w="3514" w:type="dxa"/>
          </w:tcPr>
          <w:p w14:paraId="4F560B85" w14:textId="67CD853F" w:rsidR="007359D5" w:rsidRDefault="007359D5" w:rsidP="007359D5">
            <w:pPr>
              <w:jc w:val="center"/>
            </w:pPr>
            <w:r w:rsidRPr="00AB6485">
              <w:t>2048</w:t>
            </w:r>
          </w:p>
        </w:tc>
        <w:tc>
          <w:tcPr>
            <w:tcW w:w="4927" w:type="dxa"/>
          </w:tcPr>
          <w:p w14:paraId="3304D804" w14:textId="24E1D8B2" w:rsidR="007359D5" w:rsidRDefault="007359D5" w:rsidP="007359D5">
            <w:pPr>
              <w:jc w:val="center"/>
            </w:pPr>
            <w:r w:rsidRPr="009859F9">
              <w:t>17,786</w:t>
            </w:r>
          </w:p>
        </w:tc>
      </w:tr>
      <w:tr w:rsidR="007359D5" w14:paraId="022C7DEB" w14:textId="77777777" w:rsidTr="007359D5">
        <w:trPr>
          <w:jc w:val="center"/>
        </w:trPr>
        <w:tc>
          <w:tcPr>
            <w:tcW w:w="3514" w:type="dxa"/>
          </w:tcPr>
          <w:p w14:paraId="333ADE26" w14:textId="527DB98C" w:rsidR="007359D5" w:rsidRDefault="007359D5" w:rsidP="007359D5">
            <w:pPr>
              <w:jc w:val="center"/>
            </w:pPr>
            <w:r w:rsidRPr="00AB6485">
              <w:t>2049</w:t>
            </w:r>
          </w:p>
        </w:tc>
        <w:tc>
          <w:tcPr>
            <w:tcW w:w="4927" w:type="dxa"/>
          </w:tcPr>
          <w:p w14:paraId="74692E92" w14:textId="2BF19D2A" w:rsidR="007359D5" w:rsidRDefault="007359D5" w:rsidP="007359D5">
            <w:pPr>
              <w:jc w:val="center"/>
            </w:pPr>
            <w:r w:rsidRPr="009859F9">
              <w:t>17,025</w:t>
            </w:r>
          </w:p>
        </w:tc>
      </w:tr>
      <w:tr w:rsidR="007359D5" w14:paraId="57F5AC4A" w14:textId="77777777" w:rsidTr="007359D5">
        <w:trPr>
          <w:jc w:val="center"/>
        </w:trPr>
        <w:tc>
          <w:tcPr>
            <w:tcW w:w="3514" w:type="dxa"/>
          </w:tcPr>
          <w:p w14:paraId="48B5DDD4" w14:textId="3C440CC5" w:rsidR="007359D5" w:rsidRDefault="007359D5" w:rsidP="007359D5">
            <w:pPr>
              <w:jc w:val="center"/>
            </w:pPr>
            <w:r w:rsidRPr="00AB6485">
              <w:t>2050</w:t>
            </w:r>
          </w:p>
        </w:tc>
        <w:tc>
          <w:tcPr>
            <w:tcW w:w="4927" w:type="dxa"/>
          </w:tcPr>
          <w:p w14:paraId="040BE8FC" w14:textId="498E2FE1" w:rsidR="007359D5" w:rsidRDefault="007359D5" w:rsidP="007359D5">
            <w:pPr>
              <w:jc w:val="center"/>
            </w:pPr>
            <w:r w:rsidRPr="009859F9">
              <w:t>16,245</w:t>
            </w:r>
          </w:p>
        </w:tc>
      </w:tr>
      <w:tr w:rsidR="007359D5" w14:paraId="2450E899" w14:textId="77777777" w:rsidTr="007359D5">
        <w:trPr>
          <w:jc w:val="center"/>
        </w:trPr>
        <w:tc>
          <w:tcPr>
            <w:tcW w:w="3514" w:type="dxa"/>
          </w:tcPr>
          <w:p w14:paraId="662A3EFB" w14:textId="19AAC466" w:rsidR="007359D5" w:rsidRDefault="007359D5" w:rsidP="007359D5">
            <w:pPr>
              <w:jc w:val="center"/>
            </w:pPr>
            <w:r w:rsidRPr="00AB6485">
              <w:t>2051</w:t>
            </w:r>
          </w:p>
        </w:tc>
        <w:tc>
          <w:tcPr>
            <w:tcW w:w="4927" w:type="dxa"/>
          </w:tcPr>
          <w:p w14:paraId="7DBF05DD" w14:textId="2FC4099C" w:rsidR="007359D5" w:rsidRDefault="007359D5" w:rsidP="007359D5">
            <w:pPr>
              <w:jc w:val="center"/>
            </w:pPr>
            <w:r w:rsidRPr="009859F9">
              <w:t>15,446</w:t>
            </w:r>
          </w:p>
        </w:tc>
      </w:tr>
      <w:tr w:rsidR="007359D5" w14:paraId="6764437E" w14:textId="77777777" w:rsidTr="007359D5">
        <w:trPr>
          <w:jc w:val="center"/>
        </w:trPr>
        <w:tc>
          <w:tcPr>
            <w:tcW w:w="3514" w:type="dxa"/>
          </w:tcPr>
          <w:p w14:paraId="185D6B1D" w14:textId="473D46EF" w:rsidR="007359D5" w:rsidRDefault="007359D5" w:rsidP="007359D5">
            <w:pPr>
              <w:jc w:val="center"/>
            </w:pPr>
            <w:r w:rsidRPr="00AB6485">
              <w:t>2052</w:t>
            </w:r>
          </w:p>
        </w:tc>
        <w:tc>
          <w:tcPr>
            <w:tcW w:w="4927" w:type="dxa"/>
          </w:tcPr>
          <w:p w14:paraId="52E2F1D4" w14:textId="4978A1A4" w:rsidR="007359D5" w:rsidRDefault="007359D5" w:rsidP="007359D5">
            <w:pPr>
              <w:jc w:val="center"/>
            </w:pPr>
            <w:r w:rsidRPr="009859F9">
              <w:t>14,627</w:t>
            </w:r>
          </w:p>
        </w:tc>
      </w:tr>
      <w:tr w:rsidR="007359D5" w14:paraId="7F777609" w14:textId="77777777" w:rsidTr="007359D5">
        <w:trPr>
          <w:jc w:val="center"/>
        </w:trPr>
        <w:tc>
          <w:tcPr>
            <w:tcW w:w="3514" w:type="dxa"/>
          </w:tcPr>
          <w:p w14:paraId="3F7D4152" w14:textId="14D71C6A" w:rsidR="007359D5" w:rsidRDefault="007359D5" w:rsidP="007359D5">
            <w:pPr>
              <w:jc w:val="center"/>
            </w:pPr>
            <w:r w:rsidRPr="00AB6485">
              <w:t>2053</w:t>
            </w:r>
          </w:p>
        </w:tc>
        <w:tc>
          <w:tcPr>
            <w:tcW w:w="4927" w:type="dxa"/>
          </w:tcPr>
          <w:p w14:paraId="433FBE61" w14:textId="66007F50" w:rsidR="007359D5" w:rsidRDefault="007359D5" w:rsidP="007359D5">
            <w:pPr>
              <w:jc w:val="center"/>
            </w:pPr>
            <w:r w:rsidRPr="009859F9">
              <w:t>13,788</w:t>
            </w:r>
          </w:p>
        </w:tc>
      </w:tr>
      <w:tr w:rsidR="007359D5" w14:paraId="771F2131" w14:textId="77777777" w:rsidTr="007359D5">
        <w:trPr>
          <w:jc w:val="center"/>
        </w:trPr>
        <w:tc>
          <w:tcPr>
            <w:tcW w:w="3514" w:type="dxa"/>
          </w:tcPr>
          <w:p w14:paraId="08334711" w14:textId="1B69BCF7" w:rsidR="007359D5" w:rsidRDefault="007359D5" w:rsidP="007359D5">
            <w:pPr>
              <w:jc w:val="center"/>
            </w:pPr>
            <w:r w:rsidRPr="00AB6485">
              <w:t>2054</w:t>
            </w:r>
          </w:p>
        </w:tc>
        <w:tc>
          <w:tcPr>
            <w:tcW w:w="4927" w:type="dxa"/>
          </w:tcPr>
          <w:p w14:paraId="323A06AE" w14:textId="5C363584" w:rsidR="007359D5" w:rsidRDefault="007359D5" w:rsidP="007359D5">
            <w:pPr>
              <w:jc w:val="center"/>
            </w:pPr>
            <w:r w:rsidRPr="009859F9">
              <w:t>12,929</w:t>
            </w:r>
          </w:p>
        </w:tc>
      </w:tr>
      <w:tr w:rsidR="007359D5" w14:paraId="0704DB10" w14:textId="77777777" w:rsidTr="007359D5">
        <w:trPr>
          <w:jc w:val="center"/>
        </w:trPr>
        <w:tc>
          <w:tcPr>
            <w:tcW w:w="3514" w:type="dxa"/>
          </w:tcPr>
          <w:p w14:paraId="43D8234D" w14:textId="42831AE2" w:rsidR="007359D5" w:rsidRDefault="007359D5" w:rsidP="007359D5">
            <w:pPr>
              <w:jc w:val="center"/>
            </w:pPr>
            <w:r w:rsidRPr="00AB6485">
              <w:t>2055</w:t>
            </w:r>
          </w:p>
        </w:tc>
        <w:tc>
          <w:tcPr>
            <w:tcW w:w="4927" w:type="dxa"/>
          </w:tcPr>
          <w:p w14:paraId="55CF2680" w14:textId="43F59EEB" w:rsidR="007359D5" w:rsidRDefault="007359D5" w:rsidP="007359D5">
            <w:pPr>
              <w:jc w:val="center"/>
            </w:pPr>
            <w:r w:rsidRPr="009859F9">
              <w:t>12,048</w:t>
            </w:r>
          </w:p>
        </w:tc>
      </w:tr>
      <w:tr w:rsidR="007359D5" w14:paraId="38DBF1ED" w14:textId="77777777" w:rsidTr="007359D5">
        <w:trPr>
          <w:jc w:val="center"/>
        </w:trPr>
        <w:tc>
          <w:tcPr>
            <w:tcW w:w="3514" w:type="dxa"/>
          </w:tcPr>
          <w:p w14:paraId="4922A7EB" w14:textId="3AAB310F" w:rsidR="007359D5" w:rsidRDefault="007359D5" w:rsidP="007359D5">
            <w:pPr>
              <w:jc w:val="center"/>
            </w:pPr>
            <w:r w:rsidRPr="00AB6485">
              <w:t>2056</w:t>
            </w:r>
          </w:p>
        </w:tc>
        <w:tc>
          <w:tcPr>
            <w:tcW w:w="4927" w:type="dxa"/>
          </w:tcPr>
          <w:p w14:paraId="5190BE28" w14:textId="32D215CE" w:rsidR="007359D5" w:rsidRDefault="007359D5" w:rsidP="007359D5">
            <w:pPr>
              <w:jc w:val="center"/>
            </w:pPr>
            <w:r w:rsidRPr="009859F9">
              <w:t>11,146</w:t>
            </w:r>
          </w:p>
        </w:tc>
      </w:tr>
      <w:tr w:rsidR="007359D5" w14:paraId="40BD9C98" w14:textId="77777777" w:rsidTr="007359D5">
        <w:trPr>
          <w:jc w:val="center"/>
        </w:trPr>
        <w:tc>
          <w:tcPr>
            <w:tcW w:w="3514" w:type="dxa"/>
          </w:tcPr>
          <w:p w14:paraId="05AA83C2" w14:textId="5485E7F0" w:rsidR="007359D5" w:rsidRDefault="007359D5" w:rsidP="007359D5">
            <w:pPr>
              <w:jc w:val="center"/>
            </w:pPr>
            <w:r w:rsidRPr="00AB6485">
              <w:t>2057</w:t>
            </w:r>
          </w:p>
        </w:tc>
        <w:tc>
          <w:tcPr>
            <w:tcW w:w="4927" w:type="dxa"/>
          </w:tcPr>
          <w:p w14:paraId="798D6737" w14:textId="228CD65E" w:rsidR="007359D5" w:rsidRDefault="007359D5" w:rsidP="007359D5">
            <w:pPr>
              <w:jc w:val="center"/>
            </w:pPr>
            <w:r w:rsidRPr="009859F9">
              <w:t>10,222</w:t>
            </w:r>
          </w:p>
        </w:tc>
      </w:tr>
    </w:tbl>
    <w:p w14:paraId="4CEEB336" w14:textId="77777777" w:rsidR="00305061" w:rsidRDefault="00305061" w:rsidP="003904FD">
      <w:pPr>
        <w:pStyle w:val="ListParagraph"/>
      </w:pPr>
    </w:p>
    <w:p w14:paraId="40E9FE48" w14:textId="7DDCD7FF" w:rsidR="00305061" w:rsidRDefault="00305061" w:rsidP="003904FD"/>
    <w:p w14:paraId="3F36A704" w14:textId="77777777" w:rsidR="003904FD" w:rsidRDefault="003904FD" w:rsidP="003904FD">
      <w:pPr>
        <w:sectPr w:rsidR="003904FD" w:rsidSect="00D87AD8">
          <w:pgSz w:w="11906" w:h="16838" w:code="9"/>
          <w:pgMar w:top="1021" w:right="1021" w:bottom="1021" w:left="1021" w:header="510" w:footer="567" w:gutter="0"/>
          <w:cols w:space="708"/>
          <w:docGrid w:linePitch="360"/>
        </w:sectPr>
      </w:pPr>
    </w:p>
    <w:p w14:paraId="2A5347EF" w14:textId="03B1055D" w:rsidR="00B24191" w:rsidRPr="00A60DD6" w:rsidRDefault="00E729F2" w:rsidP="003071FF">
      <w:pPr>
        <w:pStyle w:val="ListParagraph"/>
        <w:numPr>
          <w:ilvl w:val="0"/>
          <w:numId w:val="21"/>
        </w:numPr>
        <w:rPr>
          <w:rFonts w:asciiTheme="minorHAnsi" w:hAnsiTheme="minorHAnsi" w:cstheme="minorBidi"/>
          <w:color w:val="000000" w:themeColor="text1"/>
          <w:kern w:val="12"/>
          <w:sz w:val="20"/>
          <w:szCs w:val="20"/>
          <w:lang w:val="x-none"/>
        </w:rPr>
      </w:pPr>
      <w:r w:rsidRPr="00A60DD6">
        <w:rPr>
          <w:rFonts w:asciiTheme="minorHAnsi" w:hAnsiTheme="minorHAnsi" w:cstheme="minorBidi"/>
          <w:color w:val="000000" w:themeColor="text1"/>
          <w:kern w:val="12"/>
          <w:sz w:val="20"/>
          <w:szCs w:val="20"/>
          <w:lang w:val="x-none"/>
        </w:rPr>
        <w:lastRenderedPageBreak/>
        <w:t>The table below shows</w:t>
      </w:r>
      <w:r w:rsidR="003D1D68" w:rsidRPr="00A60DD6">
        <w:rPr>
          <w:rFonts w:asciiTheme="minorHAnsi" w:hAnsiTheme="minorHAnsi" w:cstheme="minorBidi"/>
          <w:color w:val="000000" w:themeColor="text1"/>
          <w:kern w:val="12"/>
          <w:sz w:val="20"/>
          <w:szCs w:val="20"/>
          <w:lang w:val="x-none"/>
        </w:rPr>
        <w:t xml:space="preserve"> for each year of fitment increase at sale due to intervention, the additional fitment costs calculated over the intervention period (15 years):</w:t>
      </w:r>
    </w:p>
    <w:tbl>
      <w:tblPr>
        <w:tblStyle w:val="TableGrid"/>
        <w:tblW w:w="0" w:type="auto"/>
        <w:jc w:val="center"/>
        <w:tblLook w:val="04A0" w:firstRow="1" w:lastRow="0" w:firstColumn="1" w:lastColumn="0" w:noHBand="0" w:noVBand="1"/>
      </w:tblPr>
      <w:tblGrid>
        <w:gridCol w:w="3514"/>
        <w:gridCol w:w="4927"/>
      </w:tblGrid>
      <w:tr w:rsidR="003D1D68" w14:paraId="0B4EF330" w14:textId="77777777" w:rsidTr="00CB0804">
        <w:trPr>
          <w:jc w:val="center"/>
        </w:trPr>
        <w:tc>
          <w:tcPr>
            <w:tcW w:w="8441" w:type="dxa"/>
            <w:gridSpan w:val="2"/>
          </w:tcPr>
          <w:p w14:paraId="3557FB42" w14:textId="278717B3" w:rsidR="003D1D68" w:rsidRDefault="003D1D68" w:rsidP="00CB0804">
            <w:pPr>
              <w:jc w:val="center"/>
            </w:pPr>
            <w:r>
              <w:t>Additional fitment costs ($)</w:t>
            </w:r>
          </w:p>
        </w:tc>
      </w:tr>
      <w:tr w:rsidR="003D1D68" w14:paraId="4C54C511" w14:textId="77777777" w:rsidTr="00CB0804">
        <w:trPr>
          <w:jc w:val="center"/>
        </w:trPr>
        <w:tc>
          <w:tcPr>
            <w:tcW w:w="3514" w:type="dxa"/>
          </w:tcPr>
          <w:p w14:paraId="6ED4349A" w14:textId="77777777" w:rsidR="003D1D68" w:rsidRDefault="003D1D68" w:rsidP="00CB0804">
            <w:pPr>
              <w:jc w:val="center"/>
            </w:pPr>
            <w:r>
              <w:t>Year</w:t>
            </w:r>
          </w:p>
        </w:tc>
        <w:tc>
          <w:tcPr>
            <w:tcW w:w="4927" w:type="dxa"/>
          </w:tcPr>
          <w:p w14:paraId="5DF2F2AD" w14:textId="77777777" w:rsidR="003D1D68" w:rsidRDefault="003D1D68" w:rsidP="00CB0804">
            <w:pPr>
              <w:jc w:val="center"/>
            </w:pPr>
            <w:r>
              <w:t>Option 2</w:t>
            </w:r>
          </w:p>
        </w:tc>
      </w:tr>
      <w:tr w:rsidR="009F1B54" w14:paraId="60036643" w14:textId="77777777" w:rsidTr="00CB0804">
        <w:trPr>
          <w:jc w:val="center"/>
        </w:trPr>
        <w:tc>
          <w:tcPr>
            <w:tcW w:w="3514" w:type="dxa"/>
          </w:tcPr>
          <w:p w14:paraId="6B18FE6E" w14:textId="77777777" w:rsidR="009F1B54" w:rsidRDefault="009F1B54" w:rsidP="009F1B54">
            <w:pPr>
              <w:jc w:val="center"/>
            </w:pPr>
            <w:r w:rsidRPr="00AB6485">
              <w:t>2024</w:t>
            </w:r>
          </w:p>
        </w:tc>
        <w:tc>
          <w:tcPr>
            <w:tcW w:w="4927" w:type="dxa"/>
          </w:tcPr>
          <w:p w14:paraId="38E5B953" w14:textId="61993E57" w:rsidR="009F1B54" w:rsidRDefault="009F1B54" w:rsidP="009F1B54">
            <w:pPr>
              <w:jc w:val="center"/>
            </w:pPr>
            <w:r w:rsidRPr="00862BEE">
              <w:t xml:space="preserve"> 7,214,507 </w:t>
            </w:r>
          </w:p>
        </w:tc>
      </w:tr>
      <w:tr w:rsidR="009F1B54" w14:paraId="446FC3B9" w14:textId="77777777" w:rsidTr="00CB0804">
        <w:trPr>
          <w:jc w:val="center"/>
        </w:trPr>
        <w:tc>
          <w:tcPr>
            <w:tcW w:w="3514" w:type="dxa"/>
          </w:tcPr>
          <w:p w14:paraId="7D77129F" w14:textId="77777777" w:rsidR="009F1B54" w:rsidRDefault="009F1B54" w:rsidP="009F1B54">
            <w:pPr>
              <w:jc w:val="center"/>
            </w:pPr>
            <w:r w:rsidRPr="00AB6485">
              <w:t>2025</w:t>
            </w:r>
          </w:p>
        </w:tc>
        <w:tc>
          <w:tcPr>
            <w:tcW w:w="4927" w:type="dxa"/>
          </w:tcPr>
          <w:p w14:paraId="5C124862" w14:textId="52E179FB" w:rsidR="009F1B54" w:rsidRDefault="009F1B54" w:rsidP="009F1B54">
            <w:pPr>
              <w:jc w:val="center"/>
            </w:pPr>
            <w:r w:rsidRPr="00862BEE">
              <w:t xml:space="preserve"> 16,999,733 </w:t>
            </w:r>
          </w:p>
        </w:tc>
      </w:tr>
      <w:tr w:rsidR="009F1B54" w14:paraId="1FDB6C49" w14:textId="77777777" w:rsidTr="00CB0804">
        <w:trPr>
          <w:jc w:val="center"/>
        </w:trPr>
        <w:tc>
          <w:tcPr>
            <w:tcW w:w="3514" w:type="dxa"/>
          </w:tcPr>
          <w:p w14:paraId="0EB46E2C" w14:textId="77777777" w:rsidR="009F1B54" w:rsidRDefault="009F1B54" w:rsidP="009F1B54">
            <w:pPr>
              <w:jc w:val="center"/>
            </w:pPr>
            <w:r w:rsidRPr="00AB6485">
              <w:t>2026</w:t>
            </w:r>
          </w:p>
        </w:tc>
        <w:tc>
          <w:tcPr>
            <w:tcW w:w="4927" w:type="dxa"/>
          </w:tcPr>
          <w:p w14:paraId="3AF338EB" w14:textId="4A1F3737" w:rsidR="009F1B54" w:rsidRDefault="009F1B54" w:rsidP="009F1B54">
            <w:pPr>
              <w:jc w:val="center"/>
            </w:pPr>
            <w:r w:rsidRPr="00862BEE">
              <w:t xml:space="preserve"> 23,437,537 </w:t>
            </w:r>
          </w:p>
        </w:tc>
      </w:tr>
      <w:tr w:rsidR="009F1B54" w14:paraId="266351F8" w14:textId="77777777" w:rsidTr="00CB0804">
        <w:trPr>
          <w:jc w:val="center"/>
        </w:trPr>
        <w:tc>
          <w:tcPr>
            <w:tcW w:w="3514" w:type="dxa"/>
          </w:tcPr>
          <w:p w14:paraId="3FD5E8FD" w14:textId="77777777" w:rsidR="009F1B54" w:rsidRDefault="009F1B54" w:rsidP="009F1B54">
            <w:pPr>
              <w:jc w:val="center"/>
            </w:pPr>
            <w:r w:rsidRPr="00AB6485">
              <w:t>2027</w:t>
            </w:r>
          </w:p>
        </w:tc>
        <w:tc>
          <w:tcPr>
            <w:tcW w:w="4927" w:type="dxa"/>
          </w:tcPr>
          <w:p w14:paraId="0C57FBCB" w14:textId="591AE272" w:rsidR="009F1B54" w:rsidRDefault="009F1B54" w:rsidP="009F1B54">
            <w:pPr>
              <w:jc w:val="center"/>
            </w:pPr>
            <w:r w:rsidRPr="00862BEE">
              <w:t xml:space="preserve"> 22,528,049 </w:t>
            </w:r>
          </w:p>
        </w:tc>
      </w:tr>
      <w:tr w:rsidR="009F1B54" w14:paraId="751CF4D9" w14:textId="77777777" w:rsidTr="00CB0804">
        <w:trPr>
          <w:jc w:val="center"/>
        </w:trPr>
        <w:tc>
          <w:tcPr>
            <w:tcW w:w="3514" w:type="dxa"/>
          </w:tcPr>
          <w:p w14:paraId="4B4C6BEA" w14:textId="77777777" w:rsidR="009F1B54" w:rsidRDefault="009F1B54" w:rsidP="009F1B54">
            <w:pPr>
              <w:jc w:val="center"/>
            </w:pPr>
            <w:r w:rsidRPr="00AB6485">
              <w:t>2028</w:t>
            </w:r>
          </w:p>
        </w:tc>
        <w:tc>
          <w:tcPr>
            <w:tcW w:w="4927" w:type="dxa"/>
          </w:tcPr>
          <w:p w14:paraId="4DD4BB29" w14:textId="538292FE" w:rsidR="009F1B54" w:rsidRDefault="009F1B54" w:rsidP="009F1B54">
            <w:pPr>
              <w:jc w:val="center"/>
            </w:pPr>
            <w:r w:rsidRPr="00862BEE">
              <w:t xml:space="preserve"> 20,790,712 </w:t>
            </w:r>
          </w:p>
        </w:tc>
      </w:tr>
      <w:tr w:rsidR="009F1B54" w14:paraId="34C1637B" w14:textId="77777777" w:rsidTr="00CB0804">
        <w:trPr>
          <w:jc w:val="center"/>
        </w:trPr>
        <w:tc>
          <w:tcPr>
            <w:tcW w:w="3514" w:type="dxa"/>
          </w:tcPr>
          <w:p w14:paraId="72EA2AAE" w14:textId="77777777" w:rsidR="009F1B54" w:rsidRDefault="009F1B54" w:rsidP="009F1B54">
            <w:pPr>
              <w:jc w:val="center"/>
            </w:pPr>
            <w:r w:rsidRPr="00AB6485">
              <w:t>2029</w:t>
            </w:r>
          </w:p>
        </w:tc>
        <w:tc>
          <w:tcPr>
            <w:tcW w:w="4927" w:type="dxa"/>
          </w:tcPr>
          <w:p w14:paraId="1C744D2C" w14:textId="701C53E5" w:rsidR="009F1B54" w:rsidRDefault="009F1B54" w:rsidP="009F1B54">
            <w:pPr>
              <w:jc w:val="center"/>
            </w:pPr>
            <w:r w:rsidRPr="00862BEE">
              <w:t xml:space="preserve"> 21,665,043 </w:t>
            </w:r>
          </w:p>
        </w:tc>
      </w:tr>
      <w:tr w:rsidR="009F1B54" w14:paraId="261B75ED" w14:textId="77777777" w:rsidTr="00CB0804">
        <w:trPr>
          <w:jc w:val="center"/>
        </w:trPr>
        <w:tc>
          <w:tcPr>
            <w:tcW w:w="3514" w:type="dxa"/>
          </w:tcPr>
          <w:p w14:paraId="7A123EFF" w14:textId="77777777" w:rsidR="009F1B54" w:rsidRDefault="009F1B54" w:rsidP="009F1B54">
            <w:pPr>
              <w:jc w:val="center"/>
            </w:pPr>
            <w:r w:rsidRPr="00AB6485">
              <w:t>2030</w:t>
            </w:r>
          </w:p>
        </w:tc>
        <w:tc>
          <w:tcPr>
            <w:tcW w:w="4927" w:type="dxa"/>
          </w:tcPr>
          <w:p w14:paraId="2907AA42" w14:textId="5C32DF51" w:rsidR="009F1B54" w:rsidRDefault="009F1B54" w:rsidP="009F1B54">
            <w:pPr>
              <w:jc w:val="center"/>
            </w:pPr>
            <w:r w:rsidRPr="00862BEE">
              <w:t xml:space="preserve"> 22,577,544 </w:t>
            </w:r>
          </w:p>
        </w:tc>
      </w:tr>
      <w:tr w:rsidR="009F1B54" w14:paraId="027BA7EC" w14:textId="77777777" w:rsidTr="00CB0804">
        <w:trPr>
          <w:jc w:val="center"/>
        </w:trPr>
        <w:tc>
          <w:tcPr>
            <w:tcW w:w="3514" w:type="dxa"/>
          </w:tcPr>
          <w:p w14:paraId="0687D7AC" w14:textId="77777777" w:rsidR="009F1B54" w:rsidRDefault="009F1B54" w:rsidP="009F1B54">
            <w:pPr>
              <w:jc w:val="center"/>
            </w:pPr>
            <w:r w:rsidRPr="00AB6485">
              <w:t>2031</w:t>
            </w:r>
          </w:p>
        </w:tc>
        <w:tc>
          <w:tcPr>
            <w:tcW w:w="4927" w:type="dxa"/>
          </w:tcPr>
          <w:p w14:paraId="24699B68" w14:textId="013529DD" w:rsidR="009F1B54" w:rsidRDefault="009F1B54" w:rsidP="009F1B54">
            <w:pPr>
              <w:jc w:val="center"/>
            </w:pPr>
            <w:r w:rsidRPr="00862BEE">
              <w:t xml:space="preserve"> 23,529,896 </w:t>
            </w:r>
          </w:p>
        </w:tc>
      </w:tr>
      <w:tr w:rsidR="009F1B54" w14:paraId="393E5645" w14:textId="77777777" w:rsidTr="00CB0804">
        <w:trPr>
          <w:jc w:val="center"/>
        </w:trPr>
        <w:tc>
          <w:tcPr>
            <w:tcW w:w="3514" w:type="dxa"/>
          </w:tcPr>
          <w:p w14:paraId="5CE5B29E" w14:textId="77777777" w:rsidR="009F1B54" w:rsidRDefault="009F1B54" w:rsidP="009F1B54">
            <w:pPr>
              <w:jc w:val="center"/>
            </w:pPr>
            <w:r w:rsidRPr="00AB6485">
              <w:t>2032</w:t>
            </w:r>
          </w:p>
        </w:tc>
        <w:tc>
          <w:tcPr>
            <w:tcW w:w="4927" w:type="dxa"/>
          </w:tcPr>
          <w:p w14:paraId="730245D8" w14:textId="1119458B" w:rsidR="009F1B54" w:rsidRDefault="009F1B54" w:rsidP="009F1B54">
            <w:pPr>
              <w:jc w:val="center"/>
            </w:pPr>
            <w:r w:rsidRPr="00862BEE">
              <w:t xml:space="preserve"> 24,523,856 </w:t>
            </w:r>
          </w:p>
        </w:tc>
      </w:tr>
      <w:tr w:rsidR="009F1B54" w14:paraId="78599538" w14:textId="77777777" w:rsidTr="00CB0804">
        <w:trPr>
          <w:jc w:val="center"/>
        </w:trPr>
        <w:tc>
          <w:tcPr>
            <w:tcW w:w="3514" w:type="dxa"/>
          </w:tcPr>
          <w:p w14:paraId="27807700" w14:textId="77777777" w:rsidR="009F1B54" w:rsidRDefault="009F1B54" w:rsidP="009F1B54">
            <w:pPr>
              <w:jc w:val="center"/>
            </w:pPr>
            <w:r w:rsidRPr="00AB6485">
              <w:t>2033</w:t>
            </w:r>
          </w:p>
        </w:tc>
        <w:tc>
          <w:tcPr>
            <w:tcW w:w="4927" w:type="dxa"/>
          </w:tcPr>
          <w:p w14:paraId="0661FDFD" w14:textId="7F29E606" w:rsidR="009F1B54" w:rsidRDefault="009F1B54" w:rsidP="009F1B54">
            <w:pPr>
              <w:jc w:val="center"/>
            </w:pPr>
            <w:r w:rsidRPr="00862BEE">
              <w:t xml:space="preserve"> 25,561,257 </w:t>
            </w:r>
          </w:p>
        </w:tc>
      </w:tr>
      <w:tr w:rsidR="009F1B54" w14:paraId="15893BAF" w14:textId="77777777" w:rsidTr="00CB0804">
        <w:trPr>
          <w:jc w:val="center"/>
        </w:trPr>
        <w:tc>
          <w:tcPr>
            <w:tcW w:w="3514" w:type="dxa"/>
          </w:tcPr>
          <w:p w14:paraId="1FBE7C08" w14:textId="77777777" w:rsidR="009F1B54" w:rsidRDefault="009F1B54" w:rsidP="009F1B54">
            <w:pPr>
              <w:jc w:val="center"/>
            </w:pPr>
            <w:r w:rsidRPr="00AB6485">
              <w:t>2034</w:t>
            </w:r>
          </w:p>
        </w:tc>
        <w:tc>
          <w:tcPr>
            <w:tcW w:w="4927" w:type="dxa"/>
          </w:tcPr>
          <w:p w14:paraId="69A90DF4" w14:textId="5F41EDE2" w:rsidR="009F1B54" w:rsidRDefault="009F1B54" w:rsidP="009F1B54">
            <w:pPr>
              <w:jc w:val="center"/>
            </w:pPr>
            <w:r w:rsidRPr="00862BEE">
              <w:t xml:space="preserve"> 26,644,009 </w:t>
            </w:r>
          </w:p>
        </w:tc>
      </w:tr>
      <w:tr w:rsidR="009F1B54" w14:paraId="113D3680" w14:textId="77777777" w:rsidTr="00CB0804">
        <w:trPr>
          <w:jc w:val="center"/>
        </w:trPr>
        <w:tc>
          <w:tcPr>
            <w:tcW w:w="3514" w:type="dxa"/>
          </w:tcPr>
          <w:p w14:paraId="4CC36D95" w14:textId="77777777" w:rsidR="009F1B54" w:rsidRDefault="009F1B54" w:rsidP="009F1B54">
            <w:pPr>
              <w:jc w:val="center"/>
            </w:pPr>
            <w:r w:rsidRPr="00AB6485">
              <w:t>2035</w:t>
            </w:r>
          </w:p>
        </w:tc>
        <w:tc>
          <w:tcPr>
            <w:tcW w:w="4927" w:type="dxa"/>
          </w:tcPr>
          <w:p w14:paraId="004FD223" w14:textId="358DCE06" w:rsidR="009F1B54" w:rsidRDefault="009F1B54" w:rsidP="009F1B54">
            <w:pPr>
              <w:jc w:val="center"/>
            </w:pPr>
            <w:r w:rsidRPr="00862BEE">
              <w:t xml:space="preserve"> 27,774,111 </w:t>
            </w:r>
          </w:p>
        </w:tc>
      </w:tr>
      <w:tr w:rsidR="009F1B54" w14:paraId="7348105D" w14:textId="77777777" w:rsidTr="00CB0804">
        <w:trPr>
          <w:jc w:val="center"/>
        </w:trPr>
        <w:tc>
          <w:tcPr>
            <w:tcW w:w="3514" w:type="dxa"/>
          </w:tcPr>
          <w:p w14:paraId="74607F4D" w14:textId="77777777" w:rsidR="009F1B54" w:rsidRDefault="009F1B54" w:rsidP="009F1B54">
            <w:pPr>
              <w:jc w:val="center"/>
            </w:pPr>
            <w:r w:rsidRPr="00AB6485">
              <w:t>2036</w:t>
            </w:r>
          </w:p>
        </w:tc>
        <w:tc>
          <w:tcPr>
            <w:tcW w:w="4927" w:type="dxa"/>
          </w:tcPr>
          <w:p w14:paraId="35009B06" w14:textId="67442325" w:rsidR="009F1B54" w:rsidRDefault="009F1B54" w:rsidP="009F1B54">
            <w:pPr>
              <w:jc w:val="center"/>
            </w:pPr>
            <w:r w:rsidRPr="00862BEE">
              <w:t xml:space="preserve"> 28,953,646 </w:t>
            </w:r>
          </w:p>
        </w:tc>
      </w:tr>
      <w:tr w:rsidR="009F1B54" w14:paraId="3ACE1259" w14:textId="77777777" w:rsidTr="00CB0804">
        <w:trPr>
          <w:jc w:val="center"/>
        </w:trPr>
        <w:tc>
          <w:tcPr>
            <w:tcW w:w="3514" w:type="dxa"/>
          </w:tcPr>
          <w:p w14:paraId="2EA8C229" w14:textId="77777777" w:rsidR="009F1B54" w:rsidRDefault="009F1B54" w:rsidP="009F1B54">
            <w:pPr>
              <w:jc w:val="center"/>
            </w:pPr>
            <w:r w:rsidRPr="00AB6485">
              <w:t>2037</w:t>
            </w:r>
          </w:p>
        </w:tc>
        <w:tc>
          <w:tcPr>
            <w:tcW w:w="4927" w:type="dxa"/>
          </w:tcPr>
          <w:p w14:paraId="1B2D7AD6" w14:textId="2CEC72E1" w:rsidR="009F1B54" w:rsidRDefault="009F1B54" w:rsidP="009F1B54">
            <w:pPr>
              <w:jc w:val="center"/>
            </w:pPr>
            <w:r w:rsidRPr="00862BEE">
              <w:t xml:space="preserve"> 30,184,788 </w:t>
            </w:r>
          </w:p>
        </w:tc>
      </w:tr>
      <w:tr w:rsidR="009F1B54" w14:paraId="6B1F1283" w14:textId="77777777" w:rsidTr="00CB0804">
        <w:trPr>
          <w:jc w:val="center"/>
        </w:trPr>
        <w:tc>
          <w:tcPr>
            <w:tcW w:w="3514" w:type="dxa"/>
          </w:tcPr>
          <w:p w14:paraId="0EA2B96D" w14:textId="77777777" w:rsidR="009F1B54" w:rsidRDefault="009F1B54" w:rsidP="009F1B54">
            <w:pPr>
              <w:jc w:val="center"/>
            </w:pPr>
            <w:r w:rsidRPr="00AB6485">
              <w:t>2038</w:t>
            </w:r>
          </w:p>
        </w:tc>
        <w:tc>
          <w:tcPr>
            <w:tcW w:w="4927" w:type="dxa"/>
          </w:tcPr>
          <w:p w14:paraId="13B03CF4" w14:textId="4601C9DB" w:rsidR="009F1B54" w:rsidRDefault="009F1B54" w:rsidP="009F1B54">
            <w:pPr>
              <w:jc w:val="center"/>
            </w:pPr>
            <w:r w:rsidRPr="00862BEE">
              <w:t xml:space="preserve"> 30,526,104 </w:t>
            </w:r>
          </w:p>
        </w:tc>
      </w:tr>
    </w:tbl>
    <w:p w14:paraId="79427929" w14:textId="1B0E2A60" w:rsidR="002553A0" w:rsidRPr="00A60DD6" w:rsidRDefault="002553A0" w:rsidP="00A60DD6">
      <w:pPr>
        <w:pStyle w:val="ListParagraph"/>
        <w:rPr>
          <w:rFonts w:asciiTheme="minorHAnsi" w:hAnsiTheme="minorHAnsi" w:cstheme="minorBidi"/>
          <w:color w:val="000000" w:themeColor="text1"/>
          <w:kern w:val="12"/>
          <w:sz w:val="20"/>
          <w:szCs w:val="20"/>
          <w:lang w:val="x-none"/>
        </w:rPr>
      </w:pPr>
    </w:p>
    <w:p w14:paraId="490A7425" w14:textId="6A988C12" w:rsidR="003D1D68" w:rsidRPr="00A60DD6" w:rsidRDefault="009F1B54" w:rsidP="00CB0804">
      <w:pPr>
        <w:pStyle w:val="ListParagraph"/>
        <w:numPr>
          <w:ilvl w:val="0"/>
          <w:numId w:val="21"/>
        </w:numPr>
        <w:rPr>
          <w:rFonts w:asciiTheme="minorHAnsi" w:hAnsiTheme="minorHAnsi" w:cstheme="minorBidi"/>
          <w:color w:val="000000" w:themeColor="text1"/>
          <w:kern w:val="12"/>
          <w:sz w:val="20"/>
          <w:szCs w:val="20"/>
          <w:lang w:val="x-none"/>
        </w:rPr>
      </w:pPr>
      <w:r w:rsidRPr="00A60DD6">
        <w:rPr>
          <w:rFonts w:asciiTheme="minorHAnsi" w:hAnsiTheme="minorHAnsi" w:cstheme="minorBidi"/>
          <w:color w:val="000000" w:themeColor="text1"/>
          <w:kern w:val="12"/>
          <w:sz w:val="20"/>
          <w:szCs w:val="20"/>
          <w:lang w:val="x-none"/>
        </w:rPr>
        <w:t>From the first year of intervention (November 2024), the number of crashes affected by the increased fitment was determined for each year over a 37 year period (2 year implementation and 35 years</w:t>
      </w:r>
      <w:r w:rsidR="002553A0" w:rsidRPr="00A60DD6">
        <w:rPr>
          <w:rFonts w:asciiTheme="minorHAnsi" w:hAnsiTheme="minorHAnsi" w:cstheme="minorBidi"/>
          <w:color w:val="000000" w:themeColor="text1"/>
          <w:kern w:val="12"/>
          <w:sz w:val="20"/>
          <w:szCs w:val="20"/>
          <w:lang w:val="x-none"/>
        </w:rPr>
        <w:t xml:space="preserve"> of</w:t>
      </w:r>
      <w:r w:rsidRPr="00A60DD6">
        <w:rPr>
          <w:rFonts w:asciiTheme="minorHAnsi" w:hAnsiTheme="minorHAnsi" w:cstheme="minorBidi"/>
          <w:color w:val="000000" w:themeColor="text1"/>
          <w:kern w:val="12"/>
          <w:sz w:val="20"/>
          <w:szCs w:val="20"/>
          <w:lang w:val="x-none"/>
        </w:rPr>
        <w:t xml:space="preserve"> analysis), for the viable intervention option as shown in the tables below. The crashes affected each year are the product of the likelihood of a crash at the vehicle’s age (from step 3) with the increased fitment at sale (step 5), summed as they infiltrate the fleet over time.</w:t>
      </w:r>
    </w:p>
    <w:p w14:paraId="73178F83" w14:textId="247C4FBD" w:rsidR="005E29AD" w:rsidRDefault="005E29AD" w:rsidP="004551C6">
      <w:pPr>
        <w:rPr>
          <w:lang w:val="x-none"/>
        </w:rPr>
      </w:pPr>
    </w:p>
    <w:p w14:paraId="77CC2B29" w14:textId="77777777" w:rsidR="009F1B54" w:rsidRDefault="009F1B54" w:rsidP="004551C6">
      <w:pPr>
        <w:rPr>
          <w:lang w:val="x-none"/>
        </w:rPr>
        <w:sectPr w:rsidR="009F1B54" w:rsidSect="00D87AD8">
          <w:pgSz w:w="11906" w:h="16838" w:code="9"/>
          <w:pgMar w:top="1021" w:right="1021" w:bottom="1021" w:left="1021" w:header="510" w:footer="567" w:gutter="0"/>
          <w:cols w:space="708"/>
          <w:docGrid w:linePitch="360"/>
        </w:sectPr>
      </w:pPr>
    </w:p>
    <w:tbl>
      <w:tblPr>
        <w:tblStyle w:val="TableGrid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1"/>
        <w:gridCol w:w="417"/>
        <w:gridCol w:w="417"/>
        <w:gridCol w:w="417"/>
        <w:gridCol w:w="417"/>
        <w:gridCol w:w="417"/>
        <w:gridCol w:w="417"/>
        <w:gridCol w:w="417"/>
        <w:gridCol w:w="417"/>
        <w:gridCol w:w="417"/>
        <w:gridCol w:w="417"/>
        <w:gridCol w:w="417"/>
        <w:gridCol w:w="417"/>
        <w:gridCol w:w="417"/>
        <w:gridCol w:w="417"/>
        <w:gridCol w:w="417"/>
        <w:gridCol w:w="417"/>
        <w:gridCol w:w="417"/>
        <w:gridCol w:w="417"/>
        <w:gridCol w:w="417"/>
        <w:gridCol w:w="417"/>
        <w:gridCol w:w="417"/>
        <w:gridCol w:w="417"/>
        <w:gridCol w:w="417"/>
        <w:gridCol w:w="417"/>
        <w:gridCol w:w="417"/>
        <w:gridCol w:w="417"/>
        <w:gridCol w:w="417"/>
        <w:gridCol w:w="417"/>
        <w:gridCol w:w="417"/>
        <w:gridCol w:w="296"/>
        <w:gridCol w:w="296"/>
        <w:gridCol w:w="417"/>
        <w:gridCol w:w="377"/>
        <w:gridCol w:w="750"/>
      </w:tblGrid>
      <w:tr w:rsidR="00F830FB" w:rsidRPr="00F830FB" w14:paraId="2E0DF07D" w14:textId="77777777" w:rsidTr="00F4063A">
        <w:tc>
          <w:tcPr>
            <w:tcW w:w="188" w:type="pct"/>
            <w:tcBorders>
              <w:top w:val="single" w:sz="6" w:space="0" w:color="auto"/>
              <w:left w:val="single" w:sz="6" w:space="0" w:color="auto"/>
              <w:bottom w:val="nil"/>
              <w:right w:val="nil"/>
            </w:tcBorders>
            <w:shd w:val="clear" w:color="auto" w:fill="C6D9F1"/>
          </w:tcPr>
          <w:p w14:paraId="291A3A8D"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4063A">
              <w:rPr>
                <w:b/>
                <w:snapToGrid w:val="0"/>
                <w:kern w:val="0"/>
                <w:sz w:val="14"/>
                <w:szCs w:val="16"/>
              </w:rPr>
              <w:lastRenderedPageBreak/>
              <w:t>Year</w:t>
            </w:r>
          </w:p>
        </w:tc>
        <w:tc>
          <w:tcPr>
            <w:tcW w:w="4558" w:type="pct"/>
            <w:gridSpan w:val="33"/>
            <w:tcBorders>
              <w:top w:val="single" w:sz="6" w:space="0" w:color="auto"/>
              <w:left w:val="nil"/>
              <w:bottom w:val="nil"/>
              <w:right w:val="nil"/>
            </w:tcBorders>
            <w:shd w:val="clear" w:color="auto" w:fill="C6D9F1"/>
          </w:tcPr>
          <w:p w14:paraId="6E450890" w14:textId="77777777" w:rsidR="00620770" w:rsidRPr="00F830FB" w:rsidRDefault="00620770" w:rsidP="00620770">
            <w:pPr>
              <w:keepLines/>
              <w:tabs>
                <w:tab w:val="left" w:pos="720"/>
              </w:tabs>
              <w:suppressAutoHyphens w:val="0"/>
              <w:spacing w:line="264" w:lineRule="auto"/>
              <w:jc w:val="center"/>
              <w:rPr>
                <w:b/>
                <w:snapToGrid w:val="0"/>
                <w:kern w:val="0"/>
                <w:sz w:val="16"/>
                <w:szCs w:val="16"/>
              </w:rPr>
            </w:pPr>
          </w:p>
          <w:p w14:paraId="6966783E" w14:textId="77777777" w:rsidR="00620770" w:rsidRPr="00F830FB" w:rsidRDefault="00620770" w:rsidP="00620770">
            <w:pPr>
              <w:keepLines/>
              <w:tabs>
                <w:tab w:val="left" w:pos="720"/>
              </w:tabs>
              <w:suppressAutoHyphens w:val="0"/>
              <w:spacing w:line="264" w:lineRule="auto"/>
              <w:jc w:val="center"/>
              <w:rPr>
                <w:b/>
                <w:snapToGrid w:val="0"/>
                <w:kern w:val="0"/>
                <w:sz w:val="16"/>
                <w:szCs w:val="16"/>
              </w:rPr>
            </w:pPr>
            <w:r w:rsidRPr="00F830FB">
              <w:rPr>
                <w:b/>
                <w:snapToGrid w:val="0"/>
                <w:kern w:val="0"/>
                <w:sz w:val="16"/>
                <w:szCs w:val="16"/>
              </w:rPr>
              <w:t>Vehicle Age</w:t>
            </w:r>
          </w:p>
        </w:tc>
        <w:tc>
          <w:tcPr>
            <w:tcW w:w="253" w:type="pct"/>
            <w:tcBorders>
              <w:top w:val="single" w:sz="6" w:space="0" w:color="auto"/>
              <w:left w:val="nil"/>
              <w:bottom w:val="nil"/>
              <w:right w:val="single" w:sz="6" w:space="0" w:color="auto"/>
            </w:tcBorders>
            <w:shd w:val="clear" w:color="auto" w:fill="C6D9F1"/>
          </w:tcPr>
          <w:p w14:paraId="1B1FCD26"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Total vehicles</w:t>
            </w:r>
          </w:p>
        </w:tc>
      </w:tr>
      <w:tr w:rsidR="00F830FB" w:rsidRPr="00F830FB" w14:paraId="046CA0E5" w14:textId="77777777" w:rsidTr="00F4063A">
        <w:tc>
          <w:tcPr>
            <w:tcW w:w="188" w:type="pct"/>
            <w:tcBorders>
              <w:top w:val="nil"/>
              <w:left w:val="single" w:sz="6" w:space="0" w:color="auto"/>
              <w:bottom w:val="single" w:sz="6" w:space="0" w:color="auto"/>
              <w:right w:val="nil"/>
            </w:tcBorders>
            <w:shd w:val="clear" w:color="auto" w:fill="C6D9F1"/>
          </w:tcPr>
          <w:p w14:paraId="67CFC266" w14:textId="77777777" w:rsidR="00620770" w:rsidRPr="00F830FB" w:rsidRDefault="00620770" w:rsidP="00620770">
            <w:pPr>
              <w:keepLines/>
              <w:tabs>
                <w:tab w:val="left" w:pos="720"/>
              </w:tabs>
              <w:suppressAutoHyphens w:val="0"/>
              <w:spacing w:line="264" w:lineRule="auto"/>
              <w:rPr>
                <w:b/>
                <w:snapToGrid w:val="0"/>
                <w:kern w:val="0"/>
                <w:sz w:val="16"/>
                <w:szCs w:val="16"/>
              </w:rPr>
            </w:pPr>
          </w:p>
        </w:tc>
        <w:tc>
          <w:tcPr>
            <w:tcW w:w="141" w:type="pct"/>
            <w:tcBorders>
              <w:top w:val="nil"/>
              <w:left w:val="nil"/>
              <w:bottom w:val="single" w:sz="6" w:space="0" w:color="auto"/>
              <w:right w:val="nil"/>
            </w:tcBorders>
            <w:shd w:val="clear" w:color="auto" w:fill="C6D9F1"/>
          </w:tcPr>
          <w:p w14:paraId="2861BED7"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1</w:t>
            </w:r>
          </w:p>
        </w:tc>
        <w:tc>
          <w:tcPr>
            <w:tcW w:w="141" w:type="pct"/>
            <w:tcBorders>
              <w:top w:val="nil"/>
              <w:left w:val="nil"/>
              <w:bottom w:val="single" w:sz="6" w:space="0" w:color="auto"/>
              <w:right w:val="nil"/>
            </w:tcBorders>
            <w:shd w:val="clear" w:color="auto" w:fill="C6D9F1"/>
          </w:tcPr>
          <w:p w14:paraId="48E2F447"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2</w:t>
            </w:r>
          </w:p>
        </w:tc>
        <w:tc>
          <w:tcPr>
            <w:tcW w:w="141" w:type="pct"/>
            <w:tcBorders>
              <w:top w:val="nil"/>
              <w:left w:val="nil"/>
              <w:bottom w:val="single" w:sz="6" w:space="0" w:color="auto"/>
              <w:right w:val="nil"/>
            </w:tcBorders>
            <w:shd w:val="clear" w:color="auto" w:fill="C6D9F1"/>
          </w:tcPr>
          <w:p w14:paraId="45C22E25"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3</w:t>
            </w:r>
          </w:p>
        </w:tc>
        <w:tc>
          <w:tcPr>
            <w:tcW w:w="141" w:type="pct"/>
            <w:tcBorders>
              <w:top w:val="nil"/>
              <w:left w:val="nil"/>
              <w:bottom w:val="single" w:sz="6" w:space="0" w:color="auto"/>
              <w:right w:val="nil"/>
            </w:tcBorders>
            <w:shd w:val="clear" w:color="auto" w:fill="C6D9F1"/>
          </w:tcPr>
          <w:p w14:paraId="45711FED"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4</w:t>
            </w:r>
          </w:p>
        </w:tc>
        <w:tc>
          <w:tcPr>
            <w:tcW w:w="141" w:type="pct"/>
            <w:tcBorders>
              <w:top w:val="nil"/>
              <w:left w:val="nil"/>
              <w:bottom w:val="single" w:sz="6" w:space="0" w:color="auto"/>
              <w:right w:val="nil"/>
            </w:tcBorders>
            <w:shd w:val="clear" w:color="auto" w:fill="C6D9F1"/>
          </w:tcPr>
          <w:p w14:paraId="1FE2A2D0"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5</w:t>
            </w:r>
          </w:p>
        </w:tc>
        <w:tc>
          <w:tcPr>
            <w:tcW w:w="141" w:type="pct"/>
            <w:tcBorders>
              <w:top w:val="nil"/>
              <w:left w:val="nil"/>
              <w:bottom w:val="single" w:sz="6" w:space="0" w:color="auto"/>
              <w:right w:val="nil"/>
            </w:tcBorders>
            <w:shd w:val="clear" w:color="auto" w:fill="C6D9F1"/>
          </w:tcPr>
          <w:p w14:paraId="548CC5A0"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6</w:t>
            </w:r>
          </w:p>
        </w:tc>
        <w:tc>
          <w:tcPr>
            <w:tcW w:w="141" w:type="pct"/>
            <w:tcBorders>
              <w:top w:val="nil"/>
              <w:left w:val="nil"/>
              <w:bottom w:val="single" w:sz="6" w:space="0" w:color="auto"/>
              <w:right w:val="nil"/>
            </w:tcBorders>
            <w:shd w:val="clear" w:color="auto" w:fill="C6D9F1"/>
          </w:tcPr>
          <w:p w14:paraId="37867094"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7</w:t>
            </w:r>
          </w:p>
        </w:tc>
        <w:tc>
          <w:tcPr>
            <w:tcW w:w="141" w:type="pct"/>
            <w:tcBorders>
              <w:top w:val="nil"/>
              <w:left w:val="nil"/>
              <w:bottom w:val="single" w:sz="6" w:space="0" w:color="auto"/>
              <w:right w:val="nil"/>
            </w:tcBorders>
            <w:shd w:val="clear" w:color="auto" w:fill="C6D9F1"/>
          </w:tcPr>
          <w:p w14:paraId="3B99B55B"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8</w:t>
            </w:r>
          </w:p>
        </w:tc>
        <w:tc>
          <w:tcPr>
            <w:tcW w:w="141" w:type="pct"/>
            <w:tcBorders>
              <w:top w:val="nil"/>
              <w:left w:val="nil"/>
              <w:bottom w:val="single" w:sz="6" w:space="0" w:color="auto"/>
              <w:right w:val="nil"/>
            </w:tcBorders>
            <w:shd w:val="clear" w:color="auto" w:fill="C6D9F1"/>
          </w:tcPr>
          <w:p w14:paraId="12CF4ADD"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9</w:t>
            </w:r>
          </w:p>
        </w:tc>
        <w:tc>
          <w:tcPr>
            <w:tcW w:w="141" w:type="pct"/>
            <w:tcBorders>
              <w:top w:val="nil"/>
              <w:left w:val="nil"/>
              <w:bottom w:val="single" w:sz="6" w:space="0" w:color="auto"/>
              <w:right w:val="nil"/>
            </w:tcBorders>
            <w:shd w:val="clear" w:color="auto" w:fill="C6D9F1"/>
          </w:tcPr>
          <w:p w14:paraId="3577BBDB"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10</w:t>
            </w:r>
          </w:p>
        </w:tc>
        <w:tc>
          <w:tcPr>
            <w:tcW w:w="141" w:type="pct"/>
            <w:tcBorders>
              <w:top w:val="nil"/>
              <w:left w:val="nil"/>
              <w:bottom w:val="single" w:sz="6" w:space="0" w:color="auto"/>
              <w:right w:val="nil"/>
            </w:tcBorders>
            <w:shd w:val="clear" w:color="auto" w:fill="C6D9F1"/>
          </w:tcPr>
          <w:p w14:paraId="4D6E838B"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11</w:t>
            </w:r>
          </w:p>
        </w:tc>
        <w:tc>
          <w:tcPr>
            <w:tcW w:w="141" w:type="pct"/>
            <w:tcBorders>
              <w:top w:val="nil"/>
              <w:left w:val="nil"/>
              <w:bottom w:val="single" w:sz="6" w:space="0" w:color="auto"/>
              <w:right w:val="nil"/>
            </w:tcBorders>
            <w:shd w:val="clear" w:color="auto" w:fill="C6D9F1"/>
          </w:tcPr>
          <w:p w14:paraId="23B9542C"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12</w:t>
            </w:r>
          </w:p>
        </w:tc>
        <w:tc>
          <w:tcPr>
            <w:tcW w:w="141" w:type="pct"/>
            <w:tcBorders>
              <w:top w:val="nil"/>
              <w:left w:val="nil"/>
              <w:bottom w:val="single" w:sz="6" w:space="0" w:color="auto"/>
              <w:right w:val="nil"/>
            </w:tcBorders>
            <w:shd w:val="clear" w:color="auto" w:fill="C6D9F1"/>
          </w:tcPr>
          <w:p w14:paraId="17DEEC4F"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13</w:t>
            </w:r>
          </w:p>
        </w:tc>
        <w:tc>
          <w:tcPr>
            <w:tcW w:w="141" w:type="pct"/>
            <w:tcBorders>
              <w:top w:val="nil"/>
              <w:left w:val="nil"/>
              <w:bottom w:val="single" w:sz="6" w:space="0" w:color="auto"/>
              <w:right w:val="nil"/>
            </w:tcBorders>
            <w:shd w:val="clear" w:color="auto" w:fill="C6D9F1"/>
          </w:tcPr>
          <w:p w14:paraId="5E1C61BF"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14</w:t>
            </w:r>
          </w:p>
        </w:tc>
        <w:tc>
          <w:tcPr>
            <w:tcW w:w="141" w:type="pct"/>
            <w:tcBorders>
              <w:top w:val="nil"/>
              <w:left w:val="nil"/>
              <w:bottom w:val="single" w:sz="6" w:space="0" w:color="auto"/>
              <w:right w:val="nil"/>
            </w:tcBorders>
            <w:shd w:val="clear" w:color="auto" w:fill="C6D9F1"/>
          </w:tcPr>
          <w:p w14:paraId="01DECE6F"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15</w:t>
            </w:r>
          </w:p>
        </w:tc>
        <w:tc>
          <w:tcPr>
            <w:tcW w:w="141" w:type="pct"/>
            <w:tcBorders>
              <w:top w:val="nil"/>
              <w:left w:val="nil"/>
              <w:bottom w:val="single" w:sz="6" w:space="0" w:color="auto"/>
              <w:right w:val="nil"/>
            </w:tcBorders>
            <w:shd w:val="clear" w:color="auto" w:fill="C6D9F1"/>
          </w:tcPr>
          <w:p w14:paraId="5BA216F8"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16</w:t>
            </w:r>
          </w:p>
        </w:tc>
        <w:tc>
          <w:tcPr>
            <w:tcW w:w="141" w:type="pct"/>
            <w:tcBorders>
              <w:top w:val="nil"/>
              <w:left w:val="nil"/>
              <w:bottom w:val="single" w:sz="6" w:space="0" w:color="auto"/>
              <w:right w:val="nil"/>
            </w:tcBorders>
            <w:shd w:val="clear" w:color="auto" w:fill="C6D9F1"/>
          </w:tcPr>
          <w:p w14:paraId="74580D19"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17</w:t>
            </w:r>
          </w:p>
        </w:tc>
        <w:tc>
          <w:tcPr>
            <w:tcW w:w="141" w:type="pct"/>
            <w:tcBorders>
              <w:top w:val="nil"/>
              <w:left w:val="nil"/>
              <w:bottom w:val="single" w:sz="6" w:space="0" w:color="auto"/>
              <w:right w:val="nil"/>
            </w:tcBorders>
            <w:shd w:val="clear" w:color="auto" w:fill="C6D9F1"/>
          </w:tcPr>
          <w:p w14:paraId="70FB633A"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18</w:t>
            </w:r>
          </w:p>
        </w:tc>
        <w:tc>
          <w:tcPr>
            <w:tcW w:w="141" w:type="pct"/>
            <w:tcBorders>
              <w:top w:val="nil"/>
              <w:left w:val="nil"/>
              <w:bottom w:val="single" w:sz="6" w:space="0" w:color="auto"/>
              <w:right w:val="nil"/>
            </w:tcBorders>
            <w:shd w:val="clear" w:color="auto" w:fill="C6D9F1"/>
          </w:tcPr>
          <w:p w14:paraId="771A9EAE"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19</w:t>
            </w:r>
          </w:p>
        </w:tc>
        <w:tc>
          <w:tcPr>
            <w:tcW w:w="141" w:type="pct"/>
            <w:tcBorders>
              <w:top w:val="nil"/>
              <w:left w:val="nil"/>
              <w:bottom w:val="single" w:sz="6" w:space="0" w:color="auto"/>
              <w:right w:val="nil"/>
            </w:tcBorders>
            <w:shd w:val="clear" w:color="auto" w:fill="C6D9F1"/>
          </w:tcPr>
          <w:p w14:paraId="534667BB"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20</w:t>
            </w:r>
          </w:p>
        </w:tc>
        <w:tc>
          <w:tcPr>
            <w:tcW w:w="141" w:type="pct"/>
            <w:tcBorders>
              <w:top w:val="nil"/>
              <w:left w:val="nil"/>
              <w:bottom w:val="single" w:sz="6" w:space="0" w:color="auto"/>
              <w:right w:val="nil"/>
            </w:tcBorders>
            <w:shd w:val="clear" w:color="auto" w:fill="C6D9F1"/>
          </w:tcPr>
          <w:p w14:paraId="4F0647C6"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21</w:t>
            </w:r>
          </w:p>
        </w:tc>
        <w:tc>
          <w:tcPr>
            <w:tcW w:w="141" w:type="pct"/>
            <w:tcBorders>
              <w:top w:val="nil"/>
              <w:left w:val="nil"/>
              <w:bottom w:val="single" w:sz="6" w:space="0" w:color="auto"/>
              <w:right w:val="nil"/>
            </w:tcBorders>
            <w:shd w:val="clear" w:color="auto" w:fill="C6D9F1"/>
          </w:tcPr>
          <w:p w14:paraId="3EFC64C6"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22</w:t>
            </w:r>
          </w:p>
        </w:tc>
        <w:tc>
          <w:tcPr>
            <w:tcW w:w="141" w:type="pct"/>
            <w:tcBorders>
              <w:top w:val="nil"/>
              <w:left w:val="nil"/>
              <w:bottom w:val="single" w:sz="6" w:space="0" w:color="auto"/>
              <w:right w:val="nil"/>
            </w:tcBorders>
            <w:shd w:val="clear" w:color="auto" w:fill="C6D9F1"/>
          </w:tcPr>
          <w:p w14:paraId="73B2E4B5"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23</w:t>
            </w:r>
          </w:p>
        </w:tc>
        <w:tc>
          <w:tcPr>
            <w:tcW w:w="141" w:type="pct"/>
            <w:tcBorders>
              <w:top w:val="nil"/>
              <w:left w:val="nil"/>
              <w:bottom w:val="single" w:sz="6" w:space="0" w:color="auto"/>
              <w:right w:val="nil"/>
            </w:tcBorders>
            <w:shd w:val="clear" w:color="auto" w:fill="C6D9F1"/>
          </w:tcPr>
          <w:p w14:paraId="30FCD95C"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24</w:t>
            </w:r>
          </w:p>
        </w:tc>
        <w:tc>
          <w:tcPr>
            <w:tcW w:w="141" w:type="pct"/>
            <w:tcBorders>
              <w:top w:val="nil"/>
              <w:left w:val="nil"/>
              <w:bottom w:val="single" w:sz="6" w:space="0" w:color="auto"/>
              <w:right w:val="nil"/>
            </w:tcBorders>
            <w:shd w:val="clear" w:color="auto" w:fill="C6D9F1"/>
          </w:tcPr>
          <w:p w14:paraId="6F2B5D95"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25</w:t>
            </w:r>
          </w:p>
        </w:tc>
        <w:tc>
          <w:tcPr>
            <w:tcW w:w="141" w:type="pct"/>
            <w:tcBorders>
              <w:top w:val="nil"/>
              <w:left w:val="nil"/>
              <w:bottom w:val="single" w:sz="6" w:space="0" w:color="auto"/>
              <w:right w:val="nil"/>
            </w:tcBorders>
            <w:shd w:val="clear" w:color="auto" w:fill="C6D9F1"/>
          </w:tcPr>
          <w:p w14:paraId="6DB2220D"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26</w:t>
            </w:r>
          </w:p>
        </w:tc>
        <w:tc>
          <w:tcPr>
            <w:tcW w:w="141" w:type="pct"/>
            <w:tcBorders>
              <w:top w:val="nil"/>
              <w:left w:val="nil"/>
              <w:bottom w:val="single" w:sz="6" w:space="0" w:color="auto"/>
              <w:right w:val="nil"/>
            </w:tcBorders>
            <w:shd w:val="clear" w:color="auto" w:fill="C6D9F1"/>
          </w:tcPr>
          <w:p w14:paraId="65D12F8D"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27</w:t>
            </w:r>
          </w:p>
        </w:tc>
        <w:tc>
          <w:tcPr>
            <w:tcW w:w="141" w:type="pct"/>
            <w:tcBorders>
              <w:top w:val="nil"/>
              <w:left w:val="nil"/>
              <w:bottom w:val="single" w:sz="6" w:space="0" w:color="auto"/>
              <w:right w:val="nil"/>
            </w:tcBorders>
            <w:shd w:val="clear" w:color="auto" w:fill="C6D9F1"/>
          </w:tcPr>
          <w:p w14:paraId="251A248B"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28</w:t>
            </w:r>
          </w:p>
        </w:tc>
        <w:tc>
          <w:tcPr>
            <w:tcW w:w="141" w:type="pct"/>
            <w:tcBorders>
              <w:top w:val="nil"/>
              <w:left w:val="nil"/>
              <w:bottom w:val="single" w:sz="6" w:space="0" w:color="auto"/>
              <w:right w:val="nil"/>
            </w:tcBorders>
            <w:shd w:val="clear" w:color="auto" w:fill="C6D9F1"/>
          </w:tcPr>
          <w:p w14:paraId="76F8A6AF"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29</w:t>
            </w:r>
          </w:p>
        </w:tc>
        <w:tc>
          <w:tcPr>
            <w:tcW w:w="100" w:type="pct"/>
            <w:tcBorders>
              <w:top w:val="nil"/>
              <w:left w:val="nil"/>
              <w:bottom w:val="single" w:sz="6" w:space="0" w:color="auto"/>
              <w:right w:val="nil"/>
            </w:tcBorders>
            <w:shd w:val="clear" w:color="auto" w:fill="C6D9F1"/>
          </w:tcPr>
          <w:p w14:paraId="3C1F7EA3"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w:t>
            </w:r>
          </w:p>
        </w:tc>
        <w:tc>
          <w:tcPr>
            <w:tcW w:w="100" w:type="pct"/>
            <w:tcBorders>
              <w:top w:val="nil"/>
              <w:left w:val="nil"/>
              <w:bottom w:val="single" w:sz="6" w:space="0" w:color="auto"/>
              <w:right w:val="nil"/>
            </w:tcBorders>
            <w:shd w:val="clear" w:color="auto" w:fill="C6D9F1"/>
          </w:tcPr>
          <w:p w14:paraId="1F49FED2"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w:t>
            </w:r>
          </w:p>
        </w:tc>
        <w:tc>
          <w:tcPr>
            <w:tcW w:w="141" w:type="pct"/>
            <w:tcBorders>
              <w:top w:val="nil"/>
              <w:left w:val="nil"/>
              <w:bottom w:val="single" w:sz="6" w:space="0" w:color="auto"/>
              <w:right w:val="nil"/>
            </w:tcBorders>
            <w:shd w:val="clear" w:color="auto" w:fill="C6D9F1"/>
          </w:tcPr>
          <w:p w14:paraId="74C17C54"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36</w:t>
            </w:r>
          </w:p>
        </w:tc>
        <w:tc>
          <w:tcPr>
            <w:tcW w:w="129" w:type="pct"/>
            <w:tcBorders>
              <w:top w:val="nil"/>
              <w:left w:val="nil"/>
              <w:bottom w:val="single" w:sz="6" w:space="0" w:color="auto"/>
              <w:right w:val="nil"/>
            </w:tcBorders>
            <w:shd w:val="clear" w:color="auto" w:fill="C6D9F1"/>
          </w:tcPr>
          <w:p w14:paraId="3DCB8BA4" w14:textId="77777777" w:rsidR="00620770" w:rsidRPr="00F830FB" w:rsidRDefault="00620770" w:rsidP="00620770">
            <w:pPr>
              <w:keepLines/>
              <w:tabs>
                <w:tab w:val="left" w:pos="720"/>
              </w:tabs>
              <w:suppressAutoHyphens w:val="0"/>
              <w:spacing w:line="264" w:lineRule="auto"/>
              <w:rPr>
                <w:b/>
                <w:snapToGrid w:val="0"/>
                <w:kern w:val="0"/>
                <w:sz w:val="16"/>
                <w:szCs w:val="16"/>
              </w:rPr>
            </w:pPr>
            <w:r w:rsidRPr="00F830FB">
              <w:rPr>
                <w:b/>
                <w:snapToGrid w:val="0"/>
                <w:kern w:val="0"/>
                <w:sz w:val="16"/>
                <w:szCs w:val="16"/>
              </w:rPr>
              <w:t>37</w:t>
            </w:r>
          </w:p>
        </w:tc>
        <w:tc>
          <w:tcPr>
            <w:tcW w:w="253" w:type="pct"/>
            <w:tcBorders>
              <w:top w:val="nil"/>
              <w:left w:val="nil"/>
              <w:bottom w:val="single" w:sz="6" w:space="0" w:color="auto"/>
              <w:right w:val="single" w:sz="6" w:space="0" w:color="auto"/>
            </w:tcBorders>
            <w:shd w:val="clear" w:color="auto" w:fill="C6D9F1"/>
          </w:tcPr>
          <w:p w14:paraId="44B8E66C" w14:textId="77777777" w:rsidR="00620770" w:rsidRPr="00F830FB" w:rsidRDefault="00620770" w:rsidP="00620770">
            <w:pPr>
              <w:keepLines/>
              <w:tabs>
                <w:tab w:val="left" w:pos="720"/>
              </w:tabs>
              <w:suppressAutoHyphens w:val="0"/>
              <w:spacing w:line="264" w:lineRule="auto"/>
              <w:rPr>
                <w:b/>
                <w:snapToGrid w:val="0"/>
                <w:kern w:val="0"/>
                <w:sz w:val="16"/>
                <w:szCs w:val="16"/>
              </w:rPr>
            </w:pPr>
          </w:p>
        </w:tc>
      </w:tr>
      <w:tr w:rsidR="00F4063A" w:rsidRPr="00F830FB" w14:paraId="38DEFFD2" w14:textId="77777777" w:rsidTr="00F4063A">
        <w:tc>
          <w:tcPr>
            <w:tcW w:w="188" w:type="pct"/>
            <w:tcBorders>
              <w:top w:val="single" w:sz="6" w:space="0" w:color="auto"/>
              <w:left w:val="nil"/>
              <w:bottom w:val="nil"/>
              <w:right w:val="nil"/>
            </w:tcBorders>
          </w:tcPr>
          <w:p w14:paraId="566514A2"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1</w:t>
            </w:r>
          </w:p>
        </w:tc>
        <w:tc>
          <w:tcPr>
            <w:tcW w:w="141" w:type="pct"/>
            <w:tcBorders>
              <w:top w:val="single" w:sz="6" w:space="0" w:color="auto"/>
              <w:left w:val="nil"/>
              <w:bottom w:val="nil"/>
              <w:right w:val="nil"/>
            </w:tcBorders>
            <w:shd w:val="clear" w:color="auto" w:fill="auto"/>
            <w:vAlign w:val="bottom"/>
          </w:tcPr>
          <w:p w14:paraId="7ED56177" w14:textId="505D8F9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25</w:t>
            </w:r>
          </w:p>
        </w:tc>
        <w:tc>
          <w:tcPr>
            <w:tcW w:w="141" w:type="pct"/>
            <w:tcBorders>
              <w:top w:val="single" w:sz="6" w:space="0" w:color="auto"/>
              <w:left w:val="nil"/>
              <w:bottom w:val="nil"/>
              <w:right w:val="nil"/>
            </w:tcBorders>
            <w:shd w:val="clear" w:color="auto" w:fill="auto"/>
            <w:vAlign w:val="bottom"/>
          </w:tcPr>
          <w:p w14:paraId="5B091188" w14:textId="0D124AE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 </w:t>
            </w:r>
          </w:p>
        </w:tc>
        <w:tc>
          <w:tcPr>
            <w:tcW w:w="141" w:type="pct"/>
            <w:tcBorders>
              <w:top w:val="single" w:sz="6" w:space="0" w:color="auto"/>
              <w:left w:val="nil"/>
              <w:bottom w:val="nil"/>
              <w:right w:val="nil"/>
            </w:tcBorders>
            <w:shd w:val="clear" w:color="auto" w:fill="auto"/>
            <w:vAlign w:val="bottom"/>
          </w:tcPr>
          <w:p w14:paraId="05F27FA0" w14:textId="11D1776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 </w:t>
            </w:r>
          </w:p>
        </w:tc>
        <w:tc>
          <w:tcPr>
            <w:tcW w:w="141" w:type="pct"/>
            <w:tcBorders>
              <w:top w:val="single" w:sz="6" w:space="0" w:color="auto"/>
              <w:left w:val="nil"/>
              <w:bottom w:val="nil"/>
              <w:right w:val="nil"/>
            </w:tcBorders>
            <w:shd w:val="clear" w:color="auto" w:fill="auto"/>
            <w:vAlign w:val="bottom"/>
          </w:tcPr>
          <w:p w14:paraId="4316E236" w14:textId="2BDDCC2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 </w:t>
            </w:r>
          </w:p>
        </w:tc>
        <w:tc>
          <w:tcPr>
            <w:tcW w:w="141" w:type="pct"/>
            <w:tcBorders>
              <w:top w:val="single" w:sz="6" w:space="0" w:color="auto"/>
              <w:left w:val="nil"/>
              <w:bottom w:val="nil"/>
              <w:right w:val="nil"/>
            </w:tcBorders>
            <w:shd w:val="clear" w:color="auto" w:fill="auto"/>
            <w:vAlign w:val="bottom"/>
          </w:tcPr>
          <w:p w14:paraId="5FF0F739" w14:textId="76EE076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 </w:t>
            </w:r>
          </w:p>
        </w:tc>
        <w:tc>
          <w:tcPr>
            <w:tcW w:w="141" w:type="pct"/>
            <w:tcBorders>
              <w:top w:val="single" w:sz="6" w:space="0" w:color="auto"/>
              <w:left w:val="nil"/>
              <w:bottom w:val="nil"/>
              <w:right w:val="nil"/>
            </w:tcBorders>
          </w:tcPr>
          <w:p w14:paraId="3A493C1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26933E4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79C8462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1337969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5698EBA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43956CD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567D41A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1E4CA3C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7D3493C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6517701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4F3356C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7F93F96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6AD32B8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423A78F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583EA2B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75F55FA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6162AE2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21C0FCF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03B4886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tcPr>
          <w:p w14:paraId="3FE1FC5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single" w:sz="6" w:space="0" w:color="auto"/>
              <w:left w:val="nil"/>
              <w:bottom w:val="nil"/>
              <w:right w:val="nil"/>
            </w:tcBorders>
            <w:shd w:val="clear" w:color="auto" w:fill="auto"/>
            <w:vAlign w:val="bottom"/>
          </w:tcPr>
          <w:p w14:paraId="5B9A4110" w14:textId="63CF387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 </w:t>
            </w:r>
          </w:p>
        </w:tc>
        <w:tc>
          <w:tcPr>
            <w:tcW w:w="141" w:type="pct"/>
            <w:tcBorders>
              <w:top w:val="single" w:sz="6" w:space="0" w:color="auto"/>
              <w:left w:val="nil"/>
              <w:bottom w:val="nil"/>
              <w:right w:val="nil"/>
            </w:tcBorders>
            <w:shd w:val="clear" w:color="auto" w:fill="auto"/>
            <w:vAlign w:val="bottom"/>
          </w:tcPr>
          <w:p w14:paraId="47BEEA23" w14:textId="1FB5BC4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 </w:t>
            </w:r>
          </w:p>
        </w:tc>
        <w:tc>
          <w:tcPr>
            <w:tcW w:w="141" w:type="pct"/>
            <w:tcBorders>
              <w:top w:val="single" w:sz="6" w:space="0" w:color="auto"/>
              <w:left w:val="nil"/>
              <w:bottom w:val="nil"/>
              <w:right w:val="nil"/>
            </w:tcBorders>
            <w:shd w:val="clear" w:color="auto" w:fill="auto"/>
            <w:vAlign w:val="bottom"/>
          </w:tcPr>
          <w:p w14:paraId="02292D11" w14:textId="1A05504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 </w:t>
            </w:r>
          </w:p>
        </w:tc>
        <w:tc>
          <w:tcPr>
            <w:tcW w:w="141" w:type="pct"/>
            <w:tcBorders>
              <w:top w:val="single" w:sz="6" w:space="0" w:color="auto"/>
              <w:left w:val="nil"/>
              <w:bottom w:val="nil"/>
              <w:right w:val="nil"/>
            </w:tcBorders>
            <w:shd w:val="clear" w:color="auto" w:fill="auto"/>
            <w:vAlign w:val="bottom"/>
          </w:tcPr>
          <w:p w14:paraId="00B28B52" w14:textId="58E5952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 </w:t>
            </w:r>
          </w:p>
        </w:tc>
        <w:tc>
          <w:tcPr>
            <w:tcW w:w="100" w:type="pct"/>
            <w:tcBorders>
              <w:top w:val="single" w:sz="6" w:space="0" w:color="auto"/>
              <w:left w:val="nil"/>
              <w:bottom w:val="nil"/>
              <w:right w:val="nil"/>
            </w:tcBorders>
          </w:tcPr>
          <w:p w14:paraId="5C97675C"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single" w:sz="6" w:space="0" w:color="auto"/>
              <w:left w:val="nil"/>
              <w:bottom w:val="nil"/>
              <w:right w:val="nil"/>
            </w:tcBorders>
          </w:tcPr>
          <w:p w14:paraId="37652974"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single" w:sz="6" w:space="0" w:color="auto"/>
              <w:left w:val="nil"/>
              <w:bottom w:val="nil"/>
              <w:right w:val="nil"/>
            </w:tcBorders>
            <w:shd w:val="clear" w:color="auto" w:fill="auto"/>
            <w:vAlign w:val="bottom"/>
          </w:tcPr>
          <w:p w14:paraId="3EF42999" w14:textId="19DA263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 </w:t>
            </w:r>
          </w:p>
        </w:tc>
        <w:tc>
          <w:tcPr>
            <w:tcW w:w="129" w:type="pct"/>
            <w:tcBorders>
              <w:top w:val="single" w:sz="6" w:space="0" w:color="auto"/>
              <w:left w:val="nil"/>
              <w:bottom w:val="nil"/>
              <w:right w:val="single" w:sz="6" w:space="0" w:color="auto"/>
            </w:tcBorders>
            <w:shd w:val="clear" w:color="auto" w:fill="auto"/>
            <w:vAlign w:val="bottom"/>
          </w:tcPr>
          <w:p w14:paraId="37EC9FFC" w14:textId="60F83DC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 </w:t>
            </w:r>
          </w:p>
        </w:tc>
        <w:tc>
          <w:tcPr>
            <w:tcW w:w="253" w:type="pct"/>
            <w:tcBorders>
              <w:top w:val="single" w:sz="6" w:space="0" w:color="auto"/>
              <w:left w:val="single" w:sz="6" w:space="0" w:color="auto"/>
              <w:bottom w:val="nil"/>
              <w:right w:val="single" w:sz="6" w:space="0" w:color="auto"/>
            </w:tcBorders>
            <w:shd w:val="clear" w:color="auto" w:fill="auto"/>
            <w:vAlign w:val="bottom"/>
          </w:tcPr>
          <w:p w14:paraId="0BC25261" w14:textId="36CF473D"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25</w:t>
            </w:r>
          </w:p>
        </w:tc>
      </w:tr>
      <w:tr w:rsidR="00F4063A" w:rsidRPr="00F830FB" w14:paraId="759F7491" w14:textId="77777777" w:rsidTr="00F4063A">
        <w:tc>
          <w:tcPr>
            <w:tcW w:w="188" w:type="pct"/>
            <w:tcBorders>
              <w:top w:val="nil"/>
              <w:left w:val="nil"/>
              <w:bottom w:val="nil"/>
              <w:right w:val="nil"/>
            </w:tcBorders>
          </w:tcPr>
          <w:p w14:paraId="5E08F80C"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2</w:t>
            </w:r>
          </w:p>
        </w:tc>
        <w:tc>
          <w:tcPr>
            <w:tcW w:w="141" w:type="pct"/>
            <w:tcBorders>
              <w:top w:val="nil"/>
              <w:left w:val="nil"/>
              <w:bottom w:val="nil"/>
              <w:right w:val="nil"/>
            </w:tcBorders>
            <w:shd w:val="clear" w:color="auto" w:fill="auto"/>
            <w:vAlign w:val="bottom"/>
          </w:tcPr>
          <w:p w14:paraId="1920DF9E" w14:textId="305B667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96</w:t>
            </w:r>
          </w:p>
        </w:tc>
        <w:tc>
          <w:tcPr>
            <w:tcW w:w="141" w:type="pct"/>
            <w:tcBorders>
              <w:top w:val="nil"/>
              <w:left w:val="nil"/>
              <w:bottom w:val="nil"/>
              <w:right w:val="nil"/>
            </w:tcBorders>
            <w:shd w:val="clear" w:color="auto" w:fill="auto"/>
            <w:vAlign w:val="bottom"/>
          </w:tcPr>
          <w:p w14:paraId="1D2F8286" w14:textId="3D7669F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59</w:t>
            </w:r>
          </w:p>
        </w:tc>
        <w:tc>
          <w:tcPr>
            <w:tcW w:w="141" w:type="pct"/>
            <w:tcBorders>
              <w:top w:val="nil"/>
              <w:left w:val="nil"/>
              <w:bottom w:val="nil"/>
              <w:right w:val="nil"/>
            </w:tcBorders>
            <w:shd w:val="clear" w:color="auto" w:fill="auto"/>
            <w:vAlign w:val="bottom"/>
          </w:tcPr>
          <w:p w14:paraId="42AF052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F65850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4AD51E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082C0E7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1D34D01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0E20C84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1AB0C45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0A68B79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6E58C77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5EEA153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553D0DA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22410F9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34FEEFF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33498D3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27BC05D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7339218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71C7639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0944C9A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2EF9339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293CB72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194ABC0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631BBA6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39CB9A5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2EC3AD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B9B32E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BFBF8F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C8A248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4AA7DC88"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24C41B8F"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126201B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54E9596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17175834" w14:textId="48ECBA2A"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154</w:t>
            </w:r>
          </w:p>
        </w:tc>
      </w:tr>
      <w:tr w:rsidR="00F4063A" w:rsidRPr="00F830FB" w14:paraId="42E72A30" w14:textId="77777777" w:rsidTr="00F4063A">
        <w:tc>
          <w:tcPr>
            <w:tcW w:w="188" w:type="pct"/>
            <w:tcBorders>
              <w:top w:val="nil"/>
              <w:left w:val="nil"/>
              <w:bottom w:val="nil"/>
              <w:right w:val="nil"/>
            </w:tcBorders>
          </w:tcPr>
          <w:p w14:paraId="0147C8EE"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3</w:t>
            </w:r>
          </w:p>
        </w:tc>
        <w:tc>
          <w:tcPr>
            <w:tcW w:w="141" w:type="pct"/>
            <w:tcBorders>
              <w:top w:val="nil"/>
              <w:left w:val="nil"/>
              <w:bottom w:val="nil"/>
              <w:right w:val="nil"/>
            </w:tcBorders>
            <w:shd w:val="clear" w:color="auto" w:fill="auto"/>
            <w:vAlign w:val="bottom"/>
          </w:tcPr>
          <w:p w14:paraId="39F3F574" w14:textId="02CC5CA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144</w:t>
            </w:r>
          </w:p>
        </w:tc>
        <w:tc>
          <w:tcPr>
            <w:tcW w:w="141" w:type="pct"/>
            <w:tcBorders>
              <w:top w:val="nil"/>
              <w:left w:val="nil"/>
              <w:bottom w:val="nil"/>
              <w:right w:val="nil"/>
            </w:tcBorders>
            <w:shd w:val="clear" w:color="auto" w:fill="auto"/>
            <w:vAlign w:val="bottom"/>
          </w:tcPr>
          <w:p w14:paraId="5F1C3650" w14:textId="750A914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226</w:t>
            </w:r>
          </w:p>
        </w:tc>
        <w:tc>
          <w:tcPr>
            <w:tcW w:w="141" w:type="pct"/>
            <w:tcBorders>
              <w:top w:val="nil"/>
              <w:left w:val="nil"/>
              <w:bottom w:val="nil"/>
              <w:right w:val="nil"/>
            </w:tcBorders>
            <w:shd w:val="clear" w:color="auto" w:fill="auto"/>
            <w:vAlign w:val="bottom"/>
          </w:tcPr>
          <w:p w14:paraId="585C71D4" w14:textId="31738C1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81</w:t>
            </w:r>
          </w:p>
        </w:tc>
        <w:tc>
          <w:tcPr>
            <w:tcW w:w="141" w:type="pct"/>
            <w:tcBorders>
              <w:top w:val="nil"/>
              <w:left w:val="nil"/>
              <w:bottom w:val="nil"/>
              <w:right w:val="nil"/>
            </w:tcBorders>
            <w:shd w:val="clear" w:color="auto" w:fill="auto"/>
            <w:vAlign w:val="bottom"/>
          </w:tcPr>
          <w:p w14:paraId="6D87B8E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ACCEBB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727C23C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1F76322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146F1BD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058C1C3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6B232F4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3FDA046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29E780B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3141C72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4381A80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60185A0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21439D6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39FB76B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7F05A6E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16E047F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35352E4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543D8DC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5874A3F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0DC24B8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71D8B1B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2125B4D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E98229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D736C9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01AD5F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08F6C9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3945294F"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2D4E7EC3"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3761C81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3D47197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6BA8B9A7" w14:textId="3CAEB047"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451</w:t>
            </w:r>
          </w:p>
        </w:tc>
      </w:tr>
      <w:tr w:rsidR="00F4063A" w:rsidRPr="00F830FB" w14:paraId="64FB99ED" w14:textId="77777777" w:rsidTr="00F4063A">
        <w:tc>
          <w:tcPr>
            <w:tcW w:w="188" w:type="pct"/>
            <w:tcBorders>
              <w:top w:val="nil"/>
              <w:left w:val="nil"/>
              <w:bottom w:val="nil"/>
              <w:right w:val="nil"/>
            </w:tcBorders>
          </w:tcPr>
          <w:p w14:paraId="394A4A48"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4</w:t>
            </w:r>
          </w:p>
        </w:tc>
        <w:tc>
          <w:tcPr>
            <w:tcW w:w="141" w:type="pct"/>
            <w:tcBorders>
              <w:top w:val="nil"/>
              <w:left w:val="nil"/>
              <w:bottom w:val="nil"/>
              <w:right w:val="nil"/>
            </w:tcBorders>
            <w:shd w:val="clear" w:color="auto" w:fill="auto"/>
            <w:vAlign w:val="bottom"/>
          </w:tcPr>
          <w:p w14:paraId="721073A3" w14:textId="38D2032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157</w:t>
            </w:r>
          </w:p>
        </w:tc>
        <w:tc>
          <w:tcPr>
            <w:tcW w:w="141" w:type="pct"/>
            <w:tcBorders>
              <w:top w:val="nil"/>
              <w:left w:val="nil"/>
              <w:bottom w:val="nil"/>
              <w:right w:val="nil"/>
            </w:tcBorders>
            <w:shd w:val="clear" w:color="auto" w:fill="auto"/>
            <w:vAlign w:val="bottom"/>
          </w:tcPr>
          <w:p w14:paraId="7C3118FD" w14:textId="6BD0D7B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340</w:t>
            </w:r>
          </w:p>
        </w:tc>
        <w:tc>
          <w:tcPr>
            <w:tcW w:w="141" w:type="pct"/>
            <w:tcBorders>
              <w:top w:val="nil"/>
              <w:left w:val="nil"/>
              <w:bottom w:val="nil"/>
              <w:right w:val="nil"/>
            </w:tcBorders>
            <w:shd w:val="clear" w:color="auto" w:fill="auto"/>
            <w:vAlign w:val="bottom"/>
          </w:tcPr>
          <w:p w14:paraId="0298ADF5" w14:textId="45F0B02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312</w:t>
            </w:r>
          </w:p>
        </w:tc>
        <w:tc>
          <w:tcPr>
            <w:tcW w:w="141" w:type="pct"/>
            <w:tcBorders>
              <w:top w:val="nil"/>
              <w:left w:val="nil"/>
              <w:bottom w:val="nil"/>
              <w:right w:val="nil"/>
            </w:tcBorders>
            <w:shd w:val="clear" w:color="auto" w:fill="auto"/>
            <w:vAlign w:val="bottom"/>
          </w:tcPr>
          <w:p w14:paraId="36562FD9" w14:textId="3DA2507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78</w:t>
            </w:r>
          </w:p>
        </w:tc>
        <w:tc>
          <w:tcPr>
            <w:tcW w:w="141" w:type="pct"/>
            <w:tcBorders>
              <w:top w:val="nil"/>
              <w:left w:val="nil"/>
              <w:bottom w:val="nil"/>
              <w:right w:val="nil"/>
            </w:tcBorders>
            <w:shd w:val="clear" w:color="auto" w:fill="auto"/>
            <w:vAlign w:val="bottom"/>
          </w:tcPr>
          <w:p w14:paraId="2376793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13160F1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504E082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5C9C74D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793C76A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1FA02D1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5EEDEE1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68D2FCE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013D3E5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258DD60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4D5830B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4B50E87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79F28CB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690E56B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6621E13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3CCA6F1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3D14E3A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656F5CA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7C41853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789FC0E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tcPr>
          <w:p w14:paraId="23B853E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178AE9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DCEF4F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79818A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0F744C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1915FB95"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7B613793"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5B9E084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58B13C3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22605723" w14:textId="14AD7787"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886</w:t>
            </w:r>
          </w:p>
        </w:tc>
      </w:tr>
      <w:tr w:rsidR="00F830FB" w:rsidRPr="00F830FB" w14:paraId="39E81FBC" w14:textId="77777777" w:rsidTr="00F4063A">
        <w:tc>
          <w:tcPr>
            <w:tcW w:w="188" w:type="pct"/>
            <w:tcBorders>
              <w:top w:val="nil"/>
              <w:left w:val="nil"/>
              <w:bottom w:val="nil"/>
              <w:right w:val="nil"/>
            </w:tcBorders>
          </w:tcPr>
          <w:p w14:paraId="234D0C7D"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5</w:t>
            </w:r>
          </w:p>
        </w:tc>
        <w:tc>
          <w:tcPr>
            <w:tcW w:w="141" w:type="pct"/>
            <w:tcBorders>
              <w:top w:val="nil"/>
              <w:left w:val="nil"/>
              <w:bottom w:val="nil"/>
              <w:right w:val="nil"/>
            </w:tcBorders>
            <w:shd w:val="clear" w:color="auto" w:fill="auto"/>
            <w:vAlign w:val="bottom"/>
          </w:tcPr>
          <w:p w14:paraId="5DE4E6C2" w14:textId="16F6851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174</w:t>
            </w:r>
          </w:p>
        </w:tc>
        <w:tc>
          <w:tcPr>
            <w:tcW w:w="141" w:type="pct"/>
            <w:tcBorders>
              <w:top w:val="nil"/>
              <w:left w:val="nil"/>
              <w:bottom w:val="nil"/>
              <w:right w:val="nil"/>
            </w:tcBorders>
            <w:shd w:val="clear" w:color="auto" w:fill="auto"/>
            <w:vAlign w:val="bottom"/>
          </w:tcPr>
          <w:p w14:paraId="31758807" w14:textId="0A5D316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370</w:t>
            </w:r>
          </w:p>
        </w:tc>
        <w:tc>
          <w:tcPr>
            <w:tcW w:w="141" w:type="pct"/>
            <w:tcBorders>
              <w:top w:val="nil"/>
              <w:left w:val="nil"/>
              <w:bottom w:val="nil"/>
              <w:right w:val="nil"/>
            </w:tcBorders>
            <w:shd w:val="clear" w:color="auto" w:fill="auto"/>
            <w:vAlign w:val="bottom"/>
          </w:tcPr>
          <w:p w14:paraId="04F04F6F" w14:textId="343D190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468</w:t>
            </w:r>
          </w:p>
        </w:tc>
        <w:tc>
          <w:tcPr>
            <w:tcW w:w="141" w:type="pct"/>
            <w:tcBorders>
              <w:top w:val="nil"/>
              <w:left w:val="nil"/>
              <w:bottom w:val="nil"/>
              <w:right w:val="nil"/>
            </w:tcBorders>
            <w:shd w:val="clear" w:color="auto" w:fill="auto"/>
            <w:vAlign w:val="bottom"/>
          </w:tcPr>
          <w:p w14:paraId="12241577" w14:textId="26F60ED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300</w:t>
            </w:r>
          </w:p>
        </w:tc>
        <w:tc>
          <w:tcPr>
            <w:tcW w:w="141" w:type="pct"/>
            <w:tcBorders>
              <w:top w:val="nil"/>
              <w:left w:val="nil"/>
              <w:bottom w:val="nil"/>
              <w:right w:val="nil"/>
            </w:tcBorders>
            <w:shd w:val="clear" w:color="auto" w:fill="auto"/>
            <w:vAlign w:val="bottom"/>
          </w:tcPr>
          <w:p w14:paraId="0D583C4B" w14:textId="48A50EA6" w:rsidR="00F830FB" w:rsidRPr="00F830FB" w:rsidRDefault="00F830FB" w:rsidP="00F830FB">
            <w:pPr>
              <w:keepLines/>
              <w:tabs>
                <w:tab w:val="left" w:pos="720"/>
              </w:tabs>
              <w:suppressAutoHyphens w:val="0"/>
              <w:spacing w:line="264" w:lineRule="auto"/>
              <w:rPr>
                <w:rFonts w:ascii="Arial" w:hAnsi="Arial" w:cs="Arial"/>
                <w:sz w:val="12"/>
                <w:szCs w:val="16"/>
              </w:rPr>
            </w:pPr>
            <w:r w:rsidRPr="00F830FB">
              <w:rPr>
                <w:rFonts w:ascii="Arial" w:hAnsi="Arial" w:cs="Arial"/>
                <w:sz w:val="12"/>
                <w:szCs w:val="16"/>
              </w:rPr>
              <w:t>72</w:t>
            </w:r>
          </w:p>
        </w:tc>
        <w:tc>
          <w:tcPr>
            <w:tcW w:w="141" w:type="pct"/>
            <w:tcBorders>
              <w:top w:val="nil"/>
              <w:left w:val="nil"/>
              <w:bottom w:val="nil"/>
              <w:right w:val="nil"/>
            </w:tcBorders>
            <w:shd w:val="clear" w:color="auto" w:fill="auto"/>
            <w:vAlign w:val="bottom"/>
          </w:tcPr>
          <w:p w14:paraId="0D0DB65B"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621981DF"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0798266D"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7306D1FA"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67B24E5E"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3E755161"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35BFB8ED"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172628E7"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2DFBE05D"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32DB1D56"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1B014602"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1AE7856F"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3EF6AA79"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17F6B1CF"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6E102179"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7BE0FF89"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01B83039"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121E9B27"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3B32F399"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2CB8098D"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2B533F50"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33B0B8C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DAD868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50ED9E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45C9A212"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635B66C0"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4481C84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41EC9D7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2D629483" w14:textId="5DCF2073"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1383</w:t>
            </w:r>
          </w:p>
        </w:tc>
      </w:tr>
      <w:tr w:rsidR="00F4063A" w:rsidRPr="00F830FB" w14:paraId="7F204F30" w14:textId="77777777" w:rsidTr="00F4063A">
        <w:tc>
          <w:tcPr>
            <w:tcW w:w="188" w:type="pct"/>
            <w:tcBorders>
              <w:top w:val="nil"/>
              <w:left w:val="nil"/>
              <w:bottom w:val="nil"/>
              <w:right w:val="nil"/>
            </w:tcBorders>
          </w:tcPr>
          <w:p w14:paraId="19164757"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6</w:t>
            </w:r>
          </w:p>
        </w:tc>
        <w:tc>
          <w:tcPr>
            <w:tcW w:w="141" w:type="pct"/>
            <w:tcBorders>
              <w:top w:val="nil"/>
              <w:left w:val="nil"/>
              <w:bottom w:val="nil"/>
              <w:right w:val="nil"/>
            </w:tcBorders>
            <w:shd w:val="clear" w:color="auto" w:fill="auto"/>
            <w:vAlign w:val="bottom"/>
          </w:tcPr>
          <w:p w14:paraId="06BB987F" w14:textId="7F2FD26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191</w:t>
            </w:r>
          </w:p>
        </w:tc>
        <w:tc>
          <w:tcPr>
            <w:tcW w:w="141" w:type="pct"/>
            <w:tcBorders>
              <w:top w:val="nil"/>
              <w:left w:val="nil"/>
              <w:bottom w:val="nil"/>
              <w:right w:val="nil"/>
            </w:tcBorders>
            <w:shd w:val="clear" w:color="auto" w:fill="auto"/>
            <w:vAlign w:val="bottom"/>
          </w:tcPr>
          <w:p w14:paraId="65D5E2FA" w14:textId="68A7293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409</w:t>
            </w:r>
          </w:p>
        </w:tc>
        <w:tc>
          <w:tcPr>
            <w:tcW w:w="141" w:type="pct"/>
            <w:tcBorders>
              <w:top w:val="nil"/>
              <w:left w:val="nil"/>
              <w:bottom w:val="nil"/>
              <w:right w:val="nil"/>
            </w:tcBorders>
            <w:shd w:val="clear" w:color="auto" w:fill="auto"/>
            <w:vAlign w:val="bottom"/>
          </w:tcPr>
          <w:p w14:paraId="59717C6B" w14:textId="6FE5B3A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510</w:t>
            </w:r>
          </w:p>
        </w:tc>
        <w:tc>
          <w:tcPr>
            <w:tcW w:w="141" w:type="pct"/>
            <w:tcBorders>
              <w:top w:val="nil"/>
              <w:left w:val="nil"/>
              <w:bottom w:val="nil"/>
              <w:right w:val="nil"/>
            </w:tcBorders>
            <w:shd w:val="clear" w:color="auto" w:fill="auto"/>
            <w:vAlign w:val="bottom"/>
          </w:tcPr>
          <w:p w14:paraId="71BEE86A" w14:textId="5A299A6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450</w:t>
            </w:r>
          </w:p>
        </w:tc>
        <w:tc>
          <w:tcPr>
            <w:tcW w:w="141" w:type="pct"/>
            <w:tcBorders>
              <w:top w:val="nil"/>
              <w:left w:val="nil"/>
              <w:bottom w:val="nil"/>
              <w:right w:val="nil"/>
            </w:tcBorders>
            <w:shd w:val="clear" w:color="auto" w:fill="auto"/>
            <w:vAlign w:val="bottom"/>
          </w:tcPr>
          <w:p w14:paraId="43E718A7" w14:textId="09155D21" w:rsidR="00F830FB" w:rsidRPr="00F830FB" w:rsidRDefault="00F830FB" w:rsidP="00F830FB">
            <w:pPr>
              <w:keepLines/>
              <w:tabs>
                <w:tab w:val="left" w:pos="720"/>
              </w:tabs>
              <w:suppressAutoHyphens w:val="0"/>
              <w:spacing w:line="264" w:lineRule="auto"/>
              <w:rPr>
                <w:rFonts w:ascii="Arial" w:hAnsi="Arial" w:cs="Arial"/>
                <w:sz w:val="12"/>
                <w:szCs w:val="16"/>
              </w:rPr>
            </w:pPr>
            <w:r w:rsidRPr="00F830FB">
              <w:rPr>
                <w:rFonts w:ascii="Arial" w:hAnsi="Arial" w:cs="Arial"/>
                <w:sz w:val="12"/>
                <w:szCs w:val="16"/>
              </w:rPr>
              <w:t>277</w:t>
            </w:r>
          </w:p>
        </w:tc>
        <w:tc>
          <w:tcPr>
            <w:tcW w:w="141" w:type="pct"/>
            <w:tcBorders>
              <w:top w:val="nil"/>
              <w:left w:val="nil"/>
              <w:bottom w:val="nil"/>
              <w:right w:val="nil"/>
            </w:tcBorders>
            <w:shd w:val="clear" w:color="auto" w:fill="auto"/>
            <w:vAlign w:val="bottom"/>
          </w:tcPr>
          <w:p w14:paraId="13A9991C" w14:textId="1A18F21C" w:rsidR="00F830FB" w:rsidRPr="00F830FB" w:rsidRDefault="00F830FB" w:rsidP="00F830FB">
            <w:pPr>
              <w:keepLines/>
              <w:tabs>
                <w:tab w:val="left" w:pos="720"/>
              </w:tabs>
              <w:suppressAutoHyphens w:val="0"/>
              <w:spacing w:line="264" w:lineRule="auto"/>
              <w:rPr>
                <w:rFonts w:ascii="Arial" w:hAnsi="Arial" w:cs="Arial"/>
                <w:sz w:val="12"/>
                <w:szCs w:val="16"/>
              </w:rPr>
            </w:pPr>
            <w:r w:rsidRPr="00F830FB">
              <w:rPr>
                <w:rFonts w:ascii="Arial" w:hAnsi="Arial" w:cs="Arial"/>
                <w:sz w:val="12"/>
                <w:szCs w:val="16"/>
              </w:rPr>
              <w:t>75</w:t>
            </w:r>
          </w:p>
        </w:tc>
        <w:tc>
          <w:tcPr>
            <w:tcW w:w="141" w:type="pct"/>
            <w:tcBorders>
              <w:top w:val="nil"/>
              <w:left w:val="nil"/>
              <w:bottom w:val="nil"/>
              <w:right w:val="nil"/>
            </w:tcBorders>
            <w:shd w:val="clear" w:color="auto" w:fill="auto"/>
            <w:vAlign w:val="bottom"/>
          </w:tcPr>
          <w:p w14:paraId="6C6383DD" w14:textId="4A0CD591"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40C69412" w14:textId="6969FAC2"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1D2B47D7" w14:textId="21C5D193"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206FB9A8" w14:textId="3D05B9DD"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79321E7F" w14:textId="1FB81560"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12C8DE62" w14:textId="7418BF4A"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3F080CF9" w14:textId="746F7BA8"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32E68F37" w14:textId="73E7CCF2"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5210F3E4" w14:textId="1EAE55EE"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6F695388" w14:textId="2123423C"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36B68337" w14:textId="60B0C92B"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12D4A3BC" w14:textId="79225A7F"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029A131B" w14:textId="35F6BF36"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6BDBA1F0" w14:textId="561244DF"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63E057B1" w14:textId="15E8F914"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30911A9C" w14:textId="25A8347B"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49B6AF6F" w14:textId="40F21FB6"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00750A39" w14:textId="23B75878"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2515D878" w14:textId="4BC9B4C8"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521E2A11" w14:textId="77777777" w:rsidR="00F830FB" w:rsidRPr="00F830FB" w:rsidRDefault="00F830FB" w:rsidP="00F830FB">
            <w:pPr>
              <w:keepLines/>
              <w:tabs>
                <w:tab w:val="left" w:pos="720"/>
              </w:tabs>
              <w:suppressAutoHyphens w:val="0"/>
              <w:spacing w:line="264" w:lineRule="auto"/>
              <w:rPr>
                <w:rFonts w:ascii="Arial" w:hAnsi="Arial" w:cs="Arial"/>
                <w:sz w:val="12"/>
                <w:szCs w:val="16"/>
              </w:rPr>
            </w:pPr>
          </w:p>
        </w:tc>
        <w:tc>
          <w:tcPr>
            <w:tcW w:w="141" w:type="pct"/>
            <w:tcBorders>
              <w:top w:val="nil"/>
              <w:left w:val="nil"/>
              <w:bottom w:val="nil"/>
              <w:right w:val="nil"/>
            </w:tcBorders>
            <w:shd w:val="clear" w:color="auto" w:fill="auto"/>
            <w:vAlign w:val="bottom"/>
          </w:tcPr>
          <w:p w14:paraId="6A40B58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F814BB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E43A55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742AFB54"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2FF8C7F8"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761C31B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32ABEAE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0860A82C" w14:textId="6E1CD4A2"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1911</w:t>
            </w:r>
          </w:p>
        </w:tc>
      </w:tr>
      <w:tr w:rsidR="00F4063A" w:rsidRPr="00F830FB" w14:paraId="274686DE" w14:textId="77777777" w:rsidTr="00F4063A">
        <w:tc>
          <w:tcPr>
            <w:tcW w:w="188" w:type="pct"/>
            <w:tcBorders>
              <w:top w:val="nil"/>
              <w:left w:val="nil"/>
              <w:bottom w:val="nil"/>
              <w:right w:val="nil"/>
            </w:tcBorders>
          </w:tcPr>
          <w:p w14:paraId="158ACEEA"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7</w:t>
            </w:r>
          </w:p>
        </w:tc>
        <w:tc>
          <w:tcPr>
            <w:tcW w:w="141" w:type="pct"/>
            <w:tcBorders>
              <w:top w:val="nil"/>
              <w:left w:val="nil"/>
              <w:bottom w:val="nil"/>
              <w:right w:val="nil"/>
            </w:tcBorders>
            <w:shd w:val="clear" w:color="auto" w:fill="auto"/>
            <w:vAlign w:val="bottom"/>
          </w:tcPr>
          <w:p w14:paraId="09309ED5" w14:textId="13A26A3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174</w:t>
            </w:r>
          </w:p>
        </w:tc>
        <w:tc>
          <w:tcPr>
            <w:tcW w:w="141" w:type="pct"/>
            <w:tcBorders>
              <w:top w:val="nil"/>
              <w:left w:val="nil"/>
              <w:bottom w:val="nil"/>
              <w:right w:val="nil"/>
            </w:tcBorders>
            <w:shd w:val="clear" w:color="auto" w:fill="auto"/>
            <w:vAlign w:val="bottom"/>
          </w:tcPr>
          <w:p w14:paraId="294A1138" w14:textId="58D0C44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450</w:t>
            </w:r>
          </w:p>
        </w:tc>
        <w:tc>
          <w:tcPr>
            <w:tcW w:w="141" w:type="pct"/>
            <w:tcBorders>
              <w:top w:val="nil"/>
              <w:left w:val="nil"/>
              <w:bottom w:val="nil"/>
              <w:right w:val="nil"/>
            </w:tcBorders>
            <w:shd w:val="clear" w:color="auto" w:fill="auto"/>
            <w:vAlign w:val="bottom"/>
          </w:tcPr>
          <w:p w14:paraId="198361E5" w14:textId="5C068F8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564</w:t>
            </w:r>
          </w:p>
        </w:tc>
        <w:tc>
          <w:tcPr>
            <w:tcW w:w="141" w:type="pct"/>
            <w:tcBorders>
              <w:top w:val="nil"/>
              <w:left w:val="nil"/>
              <w:bottom w:val="nil"/>
              <w:right w:val="nil"/>
            </w:tcBorders>
            <w:shd w:val="clear" w:color="auto" w:fill="auto"/>
            <w:vAlign w:val="bottom"/>
          </w:tcPr>
          <w:p w14:paraId="604F4BC8" w14:textId="02BD805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490</w:t>
            </w:r>
          </w:p>
        </w:tc>
        <w:tc>
          <w:tcPr>
            <w:tcW w:w="141" w:type="pct"/>
            <w:tcBorders>
              <w:top w:val="nil"/>
              <w:left w:val="nil"/>
              <w:bottom w:val="nil"/>
              <w:right w:val="nil"/>
            </w:tcBorders>
            <w:shd w:val="clear" w:color="auto" w:fill="auto"/>
            <w:vAlign w:val="bottom"/>
          </w:tcPr>
          <w:p w14:paraId="5D1B1D55" w14:textId="3AF26AD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415</w:t>
            </w:r>
          </w:p>
        </w:tc>
        <w:tc>
          <w:tcPr>
            <w:tcW w:w="141" w:type="pct"/>
            <w:tcBorders>
              <w:top w:val="nil"/>
              <w:left w:val="nil"/>
              <w:bottom w:val="nil"/>
              <w:right w:val="nil"/>
            </w:tcBorders>
            <w:shd w:val="clear" w:color="auto" w:fill="auto"/>
            <w:vAlign w:val="bottom"/>
          </w:tcPr>
          <w:p w14:paraId="7441325F" w14:textId="754AB95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288</w:t>
            </w:r>
          </w:p>
        </w:tc>
        <w:tc>
          <w:tcPr>
            <w:tcW w:w="141" w:type="pct"/>
            <w:tcBorders>
              <w:top w:val="nil"/>
              <w:left w:val="nil"/>
              <w:bottom w:val="nil"/>
              <w:right w:val="nil"/>
            </w:tcBorders>
            <w:shd w:val="clear" w:color="auto" w:fill="auto"/>
            <w:vAlign w:val="bottom"/>
          </w:tcPr>
          <w:p w14:paraId="04366751" w14:textId="4EB5F3A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78</w:t>
            </w:r>
          </w:p>
        </w:tc>
        <w:tc>
          <w:tcPr>
            <w:tcW w:w="141" w:type="pct"/>
            <w:tcBorders>
              <w:top w:val="nil"/>
              <w:left w:val="nil"/>
              <w:bottom w:val="nil"/>
              <w:right w:val="nil"/>
            </w:tcBorders>
            <w:shd w:val="clear" w:color="auto" w:fill="auto"/>
            <w:vAlign w:val="bottom"/>
          </w:tcPr>
          <w:p w14:paraId="36264B3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61F7C8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0FA20B0"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6C4D65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85F3EE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8FD6E2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D778B2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E227830"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B69B09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0A9558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B42AB0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7A811F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5C63C8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10D9E7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28488A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17B579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3DB3AE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C6F98F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04C3A70"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76A941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EBFC8B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E83DB3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037D9271"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0367BB24"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3D830F7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67F6568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706329C6" w14:textId="63164A87"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2459</w:t>
            </w:r>
          </w:p>
        </w:tc>
      </w:tr>
      <w:tr w:rsidR="00F4063A" w:rsidRPr="00F830FB" w14:paraId="16F03B96" w14:textId="77777777" w:rsidTr="00F4063A">
        <w:tc>
          <w:tcPr>
            <w:tcW w:w="188" w:type="pct"/>
            <w:tcBorders>
              <w:top w:val="nil"/>
              <w:left w:val="nil"/>
              <w:bottom w:val="nil"/>
              <w:right w:val="nil"/>
            </w:tcBorders>
          </w:tcPr>
          <w:p w14:paraId="57B0C8E4"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8</w:t>
            </w:r>
          </w:p>
        </w:tc>
        <w:tc>
          <w:tcPr>
            <w:tcW w:w="141" w:type="pct"/>
            <w:tcBorders>
              <w:top w:val="nil"/>
              <w:left w:val="nil"/>
              <w:bottom w:val="nil"/>
              <w:right w:val="nil"/>
            </w:tcBorders>
            <w:shd w:val="clear" w:color="auto" w:fill="auto"/>
            <w:vAlign w:val="bottom"/>
          </w:tcPr>
          <w:p w14:paraId="3417AF4A" w14:textId="00F8B78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148</w:t>
            </w:r>
          </w:p>
        </w:tc>
        <w:tc>
          <w:tcPr>
            <w:tcW w:w="141" w:type="pct"/>
            <w:tcBorders>
              <w:top w:val="nil"/>
              <w:left w:val="nil"/>
              <w:bottom w:val="nil"/>
              <w:right w:val="nil"/>
            </w:tcBorders>
            <w:shd w:val="clear" w:color="auto" w:fill="auto"/>
            <w:vAlign w:val="bottom"/>
          </w:tcPr>
          <w:p w14:paraId="0BAC8945" w14:textId="60A4D01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411</w:t>
            </w:r>
          </w:p>
        </w:tc>
        <w:tc>
          <w:tcPr>
            <w:tcW w:w="141" w:type="pct"/>
            <w:tcBorders>
              <w:top w:val="nil"/>
              <w:left w:val="nil"/>
              <w:bottom w:val="nil"/>
              <w:right w:val="nil"/>
            </w:tcBorders>
            <w:shd w:val="clear" w:color="auto" w:fill="auto"/>
            <w:vAlign w:val="bottom"/>
          </w:tcPr>
          <w:p w14:paraId="751AD84E" w14:textId="2DCEEDD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620</w:t>
            </w:r>
          </w:p>
        </w:tc>
        <w:tc>
          <w:tcPr>
            <w:tcW w:w="141" w:type="pct"/>
            <w:tcBorders>
              <w:top w:val="nil"/>
              <w:left w:val="nil"/>
              <w:bottom w:val="nil"/>
              <w:right w:val="nil"/>
            </w:tcBorders>
            <w:shd w:val="clear" w:color="auto" w:fill="auto"/>
            <w:vAlign w:val="bottom"/>
          </w:tcPr>
          <w:p w14:paraId="21E92A0A" w14:textId="768782A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542</w:t>
            </w:r>
          </w:p>
        </w:tc>
        <w:tc>
          <w:tcPr>
            <w:tcW w:w="141" w:type="pct"/>
            <w:tcBorders>
              <w:top w:val="nil"/>
              <w:left w:val="nil"/>
              <w:bottom w:val="nil"/>
              <w:right w:val="nil"/>
            </w:tcBorders>
            <w:shd w:val="clear" w:color="auto" w:fill="auto"/>
            <w:vAlign w:val="bottom"/>
          </w:tcPr>
          <w:p w14:paraId="08FE854C" w14:textId="47AD602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452</w:t>
            </w:r>
          </w:p>
        </w:tc>
        <w:tc>
          <w:tcPr>
            <w:tcW w:w="141" w:type="pct"/>
            <w:tcBorders>
              <w:top w:val="nil"/>
              <w:left w:val="nil"/>
              <w:bottom w:val="nil"/>
              <w:right w:val="nil"/>
            </w:tcBorders>
            <w:shd w:val="clear" w:color="auto" w:fill="auto"/>
            <w:vAlign w:val="bottom"/>
          </w:tcPr>
          <w:p w14:paraId="274C68E9" w14:textId="355264C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433</w:t>
            </w:r>
          </w:p>
        </w:tc>
        <w:tc>
          <w:tcPr>
            <w:tcW w:w="141" w:type="pct"/>
            <w:tcBorders>
              <w:top w:val="nil"/>
              <w:left w:val="nil"/>
              <w:bottom w:val="nil"/>
              <w:right w:val="nil"/>
            </w:tcBorders>
            <w:shd w:val="clear" w:color="auto" w:fill="auto"/>
            <w:vAlign w:val="bottom"/>
          </w:tcPr>
          <w:p w14:paraId="3961843E" w14:textId="34F0145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300</w:t>
            </w:r>
          </w:p>
        </w:tc>
        <w:tc>
          <w:tcPr>
            <w:tcW w:w="141" w:type="pct"/>
            <w:tcBorders>
              <w:top w:val="nil"/>
              <w:left w:val="nil"/>
              <w:bottom w:val="nil"/>
              <w:right w:val="nil"/>
            </w:tcBorders>
            <w:shd w:val="clear" w:color="auto" w:fill="auto"/>
            <w:vAlign w:val="bottom"/>
          </w:tcPr>
          <w:p w14:paraId="6D1B10F1" w14:textId="7948E10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81</w:t>
            </w:r>
          </w:p>
        </w:tc>
        <w:tc>
          <w:tcPr>
            <w:tcW w:w="141" w:type="pct"/>
            <w:tcBorders>
              <w:top w:val="nil"/>
              <w:left w:val="nil"/>
              <w:bottom w:val="nil"/>
              <w:right w:val="nil"/>
            </w:tcBorders>
            <w:shd w:val="clear" w:color="auto" w:fill="auto"/>
            <w:vAlign w:val="bottom"/>
          </w:tcPr>
          <w:p w14:paraId="4265E64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A3F63C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CE4393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A73BDF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54C3F9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92F816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E8443A0"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32350F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CE575F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9EC1A1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1B2B52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FDCAB9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FAF23C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CFB9EE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C0B93B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32F2CE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3DB383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C08980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0BE4E8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FD6FA5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54EB40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075D160C"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19238D9C"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03FC613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042969E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43CFD376" w14:textId="69360AA9"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2987</w:t>
            </w:r>
          </w:p>
        </w:tc>
      </w:tr>
      <w:tr w:rsidR="00F4063A" w:rsidRPr="00F830FB" w14:paraId="51CC9D63" w14:textId="77777777" w:rsidTr="00F4063A">
        <w:tc>
          <w:tcPr>
            <w:tcW w:w="188" w:type="pct"/>
            <w:tcBorders>
              <w:top w:val="nil"/>
              <w:left w:val="nil"/>
              <w:bottom w:val="nil"/>
              <w:right w:val="nil"/>
            </w:tcBorders>
          </w:tcPr>
          <w:p w14:paraId="192A9FE5"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9</w:t>
            </w:r>
          </w:p>
        </w:tc>
        <w:tc>
          <w:tcPr>
            <w:tcW w:w="141" w:type="pct"/>
            <w:tcBorders>
              <w:top w:val="nil"/>
              <w:left w:val="nil"/>
              <w:bottom w:val="nil"/>
              <w:right w:val="nil"/>
            </w:tcBorders>
            <w:shd w:val="clear" w:color="auto" w:fill="auto"/>
            <w:vAlign w:val="bottom"/>
          </w:tcPr>
          <w:p w14:paraId="1344C2BA" w14:textId="614E4CE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133</w:t>
            </w:r>
          </w:p>
        </w:tc>
        <w:tc>
          <w:tcPr>
            <w:tcW w:w="141" w:type="pct"/>
            <w:tcBorders>
              <w:top w:val="nil"/>
              <w:left w:val="nil"/>
              <w:bottom w:val="nil"/>
              <w:right w:val="nil"/>
            </w:tcBorders>
            <w:shd w:val="clear" w:color="auto" w:fill="auto"/>
            <w:vAlign w:val="bottom"/>
          </w:tcPr>
          <w:p w14:paraId="4FEF0554" w14:textId="13E9DFA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348</w:t>
            </w:r>
          </w:p>
        </w:tc>
        <w:tc>
          <w:tcPr>
            <w:tcW w:w="141" w:type="pct"/>
            <w:tcBorders>
              <w:top w:val="nil"/>
              <w:left w:val="nil"/>
              <w:bottom w:val="nil"/>
              <w:right w:val="nil"/>
            </w:tcBorders>
            <w:shd w:val="clear" w:color="auto" w:fill="auto"/>
            <w:vAlign w:val="bottom"/>
          </w:tcPr>
          <w:p w14:paraId="1FAC445B" w14:textId="0E354B4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567</w:t>
            </w:r>
          </w:p>
        </w:tc>
        <w:tc>
          <w:tcPr>
            <w:tcW w:w="141" w:type="pct"/>
            <w:tcBorders>
              <w:top w:val="nil"/>
              <w:left w:val="nil"/>
              <w:bottom w:val="nil"/>
              <w:right w:val="nil"/>
            </w:tcBorders>
            <w:shd w:val="clear" w:color="auto" w:fill="auto"/>
            <w:vAlign w:val="bottom"/>
          </w:tcPr>
          <w:p w14:paraId="2EC70C8F" w14:textId="2D94CAB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596</w:t>
            </w:r>
          </w:p>
        </w:tc>
        <w:tc>
          <w:tcPr>
            <w:tcW w:w="141" w:type="pct"/>
            <w:tcBorders>
              <w:top w:val="nil"/>
              <w:left w:val="nil"/>
              <w:bottom w:val="nil"/>
              <w:right w:val="nil"/>
            </w:tcBorders>
            <w:shd w:val="clear" w:color="auto" w:fill="auto"/>
            <w:vAlign w:val="bottom"/>
          </w:tcPr>
          <w:p w14:paraId="253997F4" w14:textId="4030A61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500</w:t>
            </w:r>
          </w:p>
        </w:tc>
        <w:tc>
          <w:tcPr>
            <w:tcW w:w="141" w:type="pct"/>
            <w:tcBorders>
              <w:top w:val="nil"/>
              <w:left w:val="nil"/>
              <w:bottom w:val="nil"/>
              <w:right w:val="nil"/>
            </w:tcBorders>
            <w:shd w:val="clear" w:color="auto" w:fill="auto"/>
            <w:vAlign w:val="bottom"/>
          </w:tcPr>
          <w:p w14:paraId="2D87227D" w14:textId="7BED0BA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471</w:t>
            </w:r>
          </w:p>
        </w:tc>
        <w:tc>
          <w:tcPr>
            <w:tcW w:w="141" w:type="pct"/>
            <w:tcBorders>
              <w:top w:val="nil"/>
              <w:left w:val="nil"/>
              <w:bottom w:val="nil"/>
              <w:right w:val="nil"/>
            </w:tcBorders>
            <w:shd w:val="clear" w:color="auto" w:fill="auto"/>
            <w:vAlign w:val="bottom"/>
          </w:tcPr>
          <w:p w14:paraId="3442EDC0" w14:textId="4FE4DE4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451</w:t>
            </w:r>
          </w:p>
        </w:tc>
        <w:tc>
          <w:tcPr>
            <w:tcW w:w="141" w:type="pct"/>
            <w:tcBorders>
              <w:top w:val="nil"/>
              <w:left w:val="nil"/>
              <w:bottom w:val="nil"/>
              <w:right w:val="nil"/>
            </w:tcBorders>
            <w:shd w:val="clear" w:color="auto" w:fill="auto"/>
            <w:vAlign w:val="bottom"/>
          </w:tcPr>
          <w:p w14:paraId="06A7BE83" w14:textId="1A31520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313</w:t>
            </w:r>
          </w:p>
        </w:tc>
        <w:tc>
          <w:tcPr>
            <w:tcW w:w="141" w:type="pct"/>
            <w:tcBorders>
              <w:top w:val="nil"/>
              <w:left w:val="nil"/>
              <w:bottom w:val="nil"/>
              <w:right w:val="nil"/>
            </w:tcBorders>
            <w:shd w:val="clear" w:color="auto" w:fill="auto"/>
            <w:vAlign w:val="bottom"/>
          </w:tcPr>
          <w:p w14:paraId="6C44604F" w14:textId="7125459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84</w:t>
            </w:r>
          </w:p>
        </w:tc>
        <w:tc>
          <w:tcPr>
            <w:tcW w:w="141" w:type="pct"/>
            <w:tcBorders>
              <w:top w:val="nil"/>
              <w:left w:val="nil"/>
              <w:bottom w:val="nil"/>
              <w:right w:val="nil"/>
            </w:tcBorders>
            <w:shd w:val="clear" w:color="auto" w:fill="auto"/>
            <w:vAlign w:val="bottom"/>
          </w:tcPr>
          <w:p w14:paraId="162FA3C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CAB8E9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C89392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761626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E090B3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BFF47B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B6F2D6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32E37F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F25CD4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8401E3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ED4EC1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97217B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9043D3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2AD455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C49023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7E64D3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92C5BF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5D0122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A5547B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4AC563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5274AB89"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60E59703"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62DF2BA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269B60A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31D84B46" w14:textId="5943EBA1"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3463</w:t>
            </w:r>
          </w:p>
        </w:tc>
      </w:tr>
      <w:tr w:rsidR="00F4063A" w:rsidRPr="00F830FB" w14:paraId="553D1F5C" w14:textId="77777777" w:rsidTr="00F4063A">
        <w:tc>
          <w:tcPr>
            <w:tcW w:w="188" w:type="pct"/>
            <w:tcBorders>
              <w:top w:val="nil"/>
              <w:left w:val="nil"/>
              <w:bottom w:val="nil"/>
              <w:right w:val="nil"/>
            </w:tcBorders>
          </w:tcPr>
          <w:p w14:paraId="31BEBA74"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10</w:t>
            </w:r>
          </w:p>
        </w:tc>
        <w:tc>
          <w:tcPr>
            <w:tcW w:w="141" w:type="pct"/>
            <w:tcBorders>
              <w:top w:val="nil"/>
              <w:left w:val="nil"/>
              <w:bottom w:val="nil"/>
              <w:right w:val="nil"/>
            </w:tcBorders>
            <w:shd w:val="clear" w:color="auto" w:fill="auto"/>
            <w:vAlign w:val="bottom"/>
          </w:tcPr>
          <w:p w14:paraId="7D03C5A9" w14:textId="2561A11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118</w:t>
            </w:r>
          </w:p>
        </w:tc>
        <w:tc>
          <w:tcPr>
            <w:tcW w:w="141" w:type="pct"/>
            <w:tcBorders>
              <w:top w:val="nil"/>
              <w:left w:val="nil"/>
              <w:bottom w:val="nil"/>
              <w:right w:val="nil"/>
            </w:tcBorders>
            <w:shd w:val="clear" w:color="auto" w:fill="auto"/>
            <w:vAlign w:val="bottom"/>
          </w:tcPr>
          <w:p w14:paraId="14C2D637" w14:textId="2D6EDC0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312</w:t>
            </w:r>
          </w:p>
        </w:tc>
        <w:tc>
          <w:tcPr>
            <w:tcW w:w="141" w:type="pct"/>
            <w:tcBorders>
              <w:top w:val="nil"/>
              <w:left w:val="nil"/>
              <w:bottom w:val="nil"/>
              <w:right w:val="nil"/>
            </w:tcBorders>
            <w:shd w:val="clear" w:color="auto" w:fill="auto"/>
            <w:vAlign w:val="bottom"/>
          </w:tcPr>
          <w:p w14:paraId="11A0AC2A" w14:textId="10FBFA7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480</w:t>
            </w:r>
          </w:p>
        </w:tc>
        <w:tc>
          <w:tcPr>
            <w:tcW w:w="141" w:type="pct"/>
            <w:tcBorders>
              <w:top w:val="nil"/>
              <w:left w:val="nil"/>
              <w:bottom w:val="nil"/>
              <w:right w:val="nil"/>
            </w:tcBorders>
            <w:shd w:val="clear" w:color="auto" w:fill="auto"/>
            <w:vAlign w:val="bottom"/>
          </w:tcPr>
          <w:p w14:paraId="5BF972DD" w14:textId="2DC4A61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545</w:t>
            </w:r>
          </w:p>
        </w:tc>
        <w:tc>
          <w:tcPr>
            <w:tcW w:w="141" w:type="pct"/>
            <w:tcBorders>
              <w:top w:val="nil"/>
              <w:left w:val="nil"/>
              <w:bottom w:val="nil"/>
              <w:right w:val="nil"/>
            </w:tcBorders>
            <w:shd w:val="clear" w:color="auto" w:fill="auto"/>
            <w:vAlign w:val="bottom"/>
          </w:tcPr>
          <w:p w14:paraId="0BB87D8D" w14:textId="6C24615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550</w:t>
            </w:r>
          </w:p>
        </w:tc>
        <w:tc>
          <w:tcPr>
            <w:tcW w:w="141" w:type="pct"/>
            <w:tcBorders>
              <w:top w:val="nil"/>
              <w:left w:val="nil"/>
              <w:bottom w:val="nil"/>
              <w:right w:val="nil"/>
            </w:tcBorders>
            <w:shd w:val="clear" w:color="auto" w:fill="auto"/>
            <w:vAlign w:val="bottom"/>
          </w:tcPr>
          <w:p w14:paraId="3FB547F7" w14:textId="3DEA8FC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521</w:t>
            </w:r>
          </w:p>
        </w:tc>
        <w:tc>
          <w:tcPr>
            <w:tcW w:w="141" w:type="pct"/>
            <w:tcBorders>
              <w:top w:val="nil"/>
              <w:left w:val="nil"/>
              <w:bottom w:val="nil"/>
              <w:right w:val="nil"/>
            </w:tcBorders>
            <w:shd w:val="clear" w:color="auto" w:fill="auto"/>
            <w:vAlign w:val="bottom"/>
          </w:tcPr>
          <w:p w14:paraId="28969BFC" w14:textId="6A9AF03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491</w:t>
            </w:r>
          </w:p>
        </w:tc>
        <w:tc>
          <w:tcPr>
            <w:tcW w:w="141" w:type="pct"/>
            <w:tcBorders>
              <w:top w:val="nil"/>
              <w:left w:val="nil"/>
              <w:bottom w:val="nil"/>
              <w:right w:val="nil"/>
            </w:tcBorders>
            <w:shd w:val="clear" w:color="auto" w:fill="auto"/>
            <w:vAlign w:val="bottom"/>
          </w:tcPr>
          <w:p w14:paraId="34EAD070" w14:textId="54FDE11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470</w:t>
            </w:r>
          </w:p>
        </w:tc>
        <w:tc>
          <w:tcPr>
            <w:tcW w:w="141" w:type="pct"/>
            <w:tcBorders>
              <w:top w:val="nil"/>
              <w:left w:val="nil"/>
              <w:bottom w:val="nil"/>
              <w:right w:val="nil"/>
            </w:tcBorders>
            <w:shd w:val="clear" w:color="auto" w:fill="auto"/>
            <w:vAlign w:val="bottom"/>
          </w:tcPr>
          <w:p w14:paraId="2F4B33E0" w14:textId="2AB1264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326</w:t>
            </w:r>
          </w:p>
        </w:tc>
        <w:tc>
          <w:tcPr>
            <w:tcW w:w="141" w:type="pct"/>
            <w:tcBorders>
              <w:top w:val="nil"/>
              <w:left w:val="nil"/>
              <w:bottom w:val="nil"/>
              <w:right w:val="nil"/>
            </w:tcBorders>
            <w:shd w:val="clear" w:color="auto" w:fill="auto"/>
            <w:vAlign w:val="bottom"/>
          </w:tcPr>
          <w:p w14:paraId="7311F462" w14:textId="6915E2A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88</w:t>
            </w:r>
          </w:p>
        </w:tc>
        <w:tc>
          <w:tcPr>
            <w:tcW w:w="141" w:type="pct"/>
            <w:tcBorders>
              <w:top w:val="nil"/>
              <w:left w:val="nil"/>
              <w:bottom w:val="nil"/>
              <w:right w:val="nil"/>
            </w:tcBorders>
            <w:shd w:val="clear" w:color="auto" w:fill="auto"/>
            <w:vAlign w:val="bottom"/>
          </w:tcPr>
          <w:p w14:paraId="12D955E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6C153F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1BEE46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34DFE3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21D7A6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FEDFB7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7D4F59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FDEC19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FB614A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744019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6FF036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032940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F65DC4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1C0AD2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7BF2900"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B94C68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592227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240B96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81632A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06A3443C"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407D7190"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277A6AE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1E6394E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6D544738" w14:textId="1DB37175"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3902</w:t>
            </w:r>
          </w:p>
        </w:tc>
      </w:tr>
      <w:tr w:rsidR="00F4063A" w:rsidRPr="00F830FB" w14:paraId="6EF88265" w14:textId="77777777" w:rsidTr="00F4063A">
        <w:tc>
          <w:tcPr>
            <w:tcW w:w="188" w:type="pct"/>
            <w:tcBorders>
              <w:top w:val="nil"/>
              <w:left w:val="nil"/>
              <w:bottom w:val="nil"/>
              <w:right w:val="nil"/>
            </w:tcBorders>
          </w:tcPr>
          <w:p w14:paraId="24E8FB8B"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11</w:t>
            </w:r>
          </w:p>
        </w:tc>
        <w:tc>
          <w:tcPr>
            <w:tcW w:w="141" w:type="pct"/>
            <w:tcBorders>
              <w:top w:val="nil"/>
              <w:left w:val="nil"/>
              <w:bottom w:val="nil"/>
              <w:right w:val="nil"/>
            </w:tcBorders>
            <w:shd w:val="clear" w:color="auto" w:fill="auto"/>
            <w:vAlign w:val="bottom"/>
          </w:tcPr>
          <w:p w14:paraId="1906C549" w14:textId="4AB683F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108</w:t>
            </w:r>
          </w:p>
        </w:tc>
        <w:tc>
          <w:tcPr>
            <w:tcW w:w="141" w:type="pct"/>
            <w:tcBorders>
              <w:top w:val="nil"/>
              <w:left w:val="nil"/>
              <w:bottom w:val="nil"/>
              <w:right w:val="nil"/>
            </w:tcBorders>
            <w:shd w:val="clear" w:color="auto" w:fill="auto"/>
            <w:vAlign w:val="bottom"/>
          </w:tcPr>
          <w:p w14:paraId="33CB476E" w14:textId="56F2953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278</w:t>
            </w:r>
          </w:p>
        </w:tc>
        <w:tc>
          <w:tcPr>
            <w:tcW w:w="141" w:type="pct"/>
            <w:tcBorders>
              <w:top w:val="nil"/>
              <w:left w:val="nil"/>
              <w:bottom w:val="nil"/>
              <w:right w:val="nil"/>
            </w:tcBorders>
            <w:shd w:val="clear" w:color="auto" w:fill="auto"/>
            <w:vAlign w:val="bottom"/>
          </w:tcPr>
          <w:p w14:paraId="18800C7F" w14:textId="3352648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431</w:t>
            </w:r>
          </w:p>
        </w:tc>
        <w:tc>
          <w:tcPr>
            <w:tcW w:w="141" w:type="pct"/>
            <w:tcBorders>
              <w:top w:val="nil"/>
              <w:left w:val="nil"/>
              <w:bottom w:val="nil"/>
              <w:right w:val="nil"/>
            </w:tcBorders>
            <w:shd w:val="clear" w:color="auto" w:fill="auto"/>
            <w:vAlign w:val="bottom"/>
          </w:tcPr>
          <w:p w14:paraId="036C2D32" w14:textId="7AE8305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461</w:t>
            </w:r>
          </w:p>
        </w:tc>
        <w:tc>
          <w:tcPr>
            <w:tcW w:w="141" w:type="pct"/>
            <w:tcBorders>
              <w:top w:val="nil"/>
              <w:left w:val="nil"/>
              <w:bottom w:val="nil"/>
              <w:right w:val="nil"/>
            </w:tcBorders>
            <w:shd w:val="clear" w:color="auto" w:fill="auto"/>
            <w:vAlign w:val="bottom"/>
          </w:tcPr>
          <w:p w14:paraId="680E8E76" w14:textId="38935F8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503</w:t>
            </w:r>
          </w:p>
        </w:tc>
        <w:tc>
          <w:tcPr>
            <w:tcW w:w="141" w:type="pct"/>
            <w:tcBorders>
              <w:top w:val="nil"/>
              <w:left w:val="nil"/>
              <w:bottom w:val="nil"/>
              <w:right w:val="nil"/>
            </w:tcBorders>
            <w:shd w:val="clear" w:color="auto" w:fill="auto"/>
            <w:vAlign w:val="bottom"/>
          </w:tcPr>
          <w:p w14:paraId="117C20A8" w14:textId="1429378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573</w:t>
            </w:r>
          </w:p>
        </w:tc>
        <w:tc>
          <w:tcPr>
            <w:tcW w:w="141" w:type="pct"/>
            <w:tcBorders>
              <w:top w:val="nil"/>
              <w:left w:val="nil"/>
              <w:bottom w:val="nil"/>
              <w:right w:val="nil"/>
            </w:tcBorders>
            <w:shd w:val="clear" w:color="auto" w:fill="auto"/>
            <w:vAlign w:val="bottom"/>
          </w:tcPr>
          <w:p w14:paraId="61FD9410" w14:textId="66B1083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543</w:t>
            </w:r>
          </w:p>
        </w:tc>
        <w:tc>
          <w:tcPr>
            <w:tcW w:w="141" w:type="pct"/>
            <w:tcBorders>
              <w:top w:val="nil"/>
              <w:left w:val="nil"/>
              <w:bottom w:val="nil"/>
              <w:right w:val="nil"/>
            </w:tcBorders>
            <w:shd w:val="clear" w:color="auto" w:fill="auto"/>
            <w:vAlign w:val="bottom"/>
          </w:tcPr>
          <w:p w14:paraId="58260B25" w14:textId="309659B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512</w:t>
            </w:r>
          </w:p>
        </w:tc>
        <w:tc>
          <w:tcPr>
            <w:tcW w:w="141" w:type="pct"/>
            <w:tcBorders>
              <w:top w:val="nil"/>
              <w:left w:val="nil"/>
              <w:bottom w:val="nil"/>
              <w:right w:val="nil"/>
            </w:tcBorders>
            <w:shd w:val="clear" w:color="auto" w:fill="auto"/>
            <w:vAlign w:val="bottom"/>
          </w:tcPr>
          <w:p w14:paraId="46866268" w14:textId="12FB97F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490</w:t>
            </w:r>
          </w:p>
        </w:tc>
        <w:tc>
          <w:tcPr>
            <w:tcW w:w="141" w:type="pct"/>
            <w:tcBorders>
              <w:top w:val="nil"/>
              <w:left w:val="nil"/>
              <w:bottom w:val="nil"/>
              <w:right w:val="nil"/>
            </w:tcBorders>
            <w:shd w:val="clear" w:color="auto" w:fill="auto"/>
            <w:vAlign w:val="bottom"/>
          </w:tcPr>
          <w:p w14:paraId="2C7A1310" w14:textId="5902CA0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340</w:t>
            </w:r>
          </w:p>
        </w:tc>
        <w:tc>
          <w:tcPr>
            <w:tcW w:w="141" w:type="pct"/>
            <w:tcBorders>
              <w:top w:val="nil"/>
              <w:left w:val="nil"/>
              <w:bottom w:val="nil"/>
              <w:right w:val="nil"/>
            </w:tcBorders>
            <w:shd w:val="clear" w:color="auto" w:fill="auto"/>
            <w:vAlign w:val="bottom"/>
          </w:tcPr>
          <w:p w14:paraId="623A1A23" w14:textId="5B0E72A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92</w:t>
            </w:r>
          </w:p>
        </w:tc>
        <w:tc>
          <w:tcPr>
            <w:tcW w:w="141" w:type="pct"/>
            <w:tcBorders>
              <w:top w:val="nil"/>
              <w:left w:val="nil"/>
              <w:bottom w:val="nil"/>
              <w:right w:val="nil"/>
            </w:tcBorders>
            <w:shd w:val="clear" w:color="auto" w:fill="auto"/>
            <w:vAlign w:val="bottom"/>
          </w:tcPr>
          <w:p w14:paraId="6A099BE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DB01D4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85F2300"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4CE8F6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360BC3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12224C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5E9141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9B4D2F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90DCCC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174FA7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FB9152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A6E1B7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D1F8B7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E35ACF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C39790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3E5516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F70649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5CFA09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695183DE"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773CDDDF"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7518A85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4E00482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7BDD2C46" w14:textId="0814538C"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4331</w:t>
            </w:r>
          </w:p>
        </w:tc>
      </w:tr>
      <w:tr w:rsidR="00F4063A" w:rsidRPr="00F830FB" w14:paraId="065255AE" w14:textId="77777777" w:rsidTr="00F4063A">
        <w:tc>
          <w:tcPr>
            <w:tcW w:w="188" w:type="pct"/>
            <w:tcBorders>
              <w:top w:val="nil"/>
              <w:left w:val="nil"/>
              <w:bottom w:val="nil"/>
              <w:right w:val="nil"/>
            </w:tcBorders>
          </w:tcPr>
          <w:p w14:paraId="4EAF5E64"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12</w:t>
            </w:r>
          </w:p>
        </w:tc>
        <w:tc>
          <w:tcPr>
            <w:tcW w:w="141" w:type="pct"/>
            <w:tcBorders>
              <w:top w:val="nil"/>
              <w:left w:val="nil"/>
              <w:bottom w:val="nil"/>
              <w:right w:val="nil"/>
            </w:tcBorders>
            <w:shd w:val="clear" w:color="auto" w:fill="auto"/>
            <w:vAlign w:val="bottom"/>
          </w:tcPr>
          <w:p w14:paraId="38C50C5A" w14:textId="08C3D94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75</w:t>
            </w:r>
          </w:p>
        </w:tc>
        <w:tc>
          <w:tcPr>
            <w:tcW w:w="141" w:type="pct"/>
            <w:tcBorders>
              <w:top w:val="nil"/>
              <w:left w:val="nil"/>
              <w:bottom w:val="nil"/>
              <w:right w:val="nil"/>
            </w:tcBorders>
            <w:shd w:val="clear" w:color="auto" w:fill="auto"/>
            <w:vAlign w:val="bottom"/>
          </w:tcPr>
          <w:p w14:paraId="7A77B35B" w14:textId="5C72D3C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254</w:t>
            </w:r>
          </w:p>
        </w:tc>
        <w:tc>
          <w:tcPr>
            <w:tcW w:w="141" w:type="pct"/>
            <w:tcBorders>
              <w:top w:val="nil"/>
              <w:left w:val="nil"/>
              <w:bottom w:val="nil"/>
              <w:right w:val="nil"/>
            </w:tcBorders>
            <w:shd w:val="clear" w:color="auto" w:fill="auto"/>
            <w:vAlign w:val="bottom"/>
          </w:tcPr>
          <w:p w14:paraId="5D28A204" w14:textId="3C335D7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384</w:t>
            </w:r>
          </w:p>
        </w:tc>
        <w:tc>
          <w:tcPr>
            <w:tcW w:w="141" w:type="pct"/>
            <w:tcBorders>
              <w:top w:val="nil"/>
              <w:left w:val="nil"/>
              <w:bottom w:val="nil"/>
              <w:right w:val="nil"/>
            </w:tcBorders>
            <w:shd w:val="clear" w:color="auto" w:fill="auto"/>
            <w:vAlign w:val="bottom"/>
          </w:tcPr>
          <w:p w14:paraId="7ADC6C4F" w14:textId="1995BF2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414</w:t>
            </w:r>
          </w:p>
        </w:tc>
        <w:tc>
          <w:tcPr>
            <w:tcW w:w="141" w:type="pct"/>
            <w:tcBorders>
              <w:top w:val="nil"/>
              <w:left w:val="nil"/>
              <w:bottom w:val="nil"/>
              <w:right w:val="nil"/>
            </w:tcBorders>
            <w:shd w:val="clear" w:color="auto" w:fill="auto"/>
            <w:vAlign w:val="bottom"/>
          </w:tcPr>
          <w:p w14:paraId="75341260" w14:textId="20D4017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425</w:t>
            </w:r>
          </w:p>
        </w:tc>
        <w:tc>
          <w:tcPr>
            <w:tcW w:w="141" w:type="pct"/>
            <w:tcBorders>
              <w:top w:val="nil"/>
              <w:left w:val="nil"/>
              <w:bottom w:val="nil"/>
              <w:right w:val="nil"/>
            </w:tcBorders>
            <w:shd w:val="clear" w:color="auto" w:fill="auto"/>
            <w:vAlign w:val="bottom"/>
          </w:tcPr>
          <w:p w14:paraId="69B1DA7E" w14:textId="0C44B60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524</w:t>
            </w:r>
          </w:p>
        </w:tc>
        <w:tc>
          <w:tcPr>
            <w:tcW w:w="141" w:type="pct"/>
            <w:tcBorders>
              <w:top w:val="nil"/>
              <w:left w:val="nil"/>
              <w:bottom w:val="nil"/>
              <w:right w:val="nil"/>
            </w:tcBorders>
            <w:shd w:val="clear" w:color="auto" w:fill="auto"/>
            <w:vAlign w:val="bottom"/>
          </w:tcPr>
          <w:p w14:paraId="67180A15" w14:textId="4306E40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598</w:t>
            </w:r>
          </w:p>
        </w:tc>
        <w:tc>
          <w:tcPr>
            <w:tcW w:w="141" w:type="pct"/>
            <w:tcBorders>
              <w:top w:val="nil"/>
              <w:left w:val="nil"/>
              <w:bottom w:val="nil"/>
              <w:right w:val="nil"/>
            </w:tcBorders>
            <w:shd w:val="clear" w:color="auto" w:fill="auto"/>
            <w:vAlign w:val="bottom"/>
          </w:tcPr>
          <w:p w14:paraId="2047C091" w14:textId="087D6CB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566</w:t>
            </w:r>
          </w:p>
        </w:tc>
        <w:tc>
          <w:tcPr>
            <w:tcW w:w="141" w:type="pct"/>
            <w:tcBorders>
              <w:top w:val="nil"/>
              <w:left w:val="nil"/>
              <w:bottom w:val="nil"/>
              <w:right w:val="nil"/>
            </w:tcBorders>
            <w:shd w:val="clear" w:color="auto" w:fill="auto"/>
            <w:vAlign w:val="bottom"/>
          </w:tcPr>
          <w:p w14:paraId="7BB33498" w14:textId="4EC0FCA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534</w:t>
            </w:r>
          </w:p>
        </w:tc>
        <w:tc>
          <w:tcPr>
            <w:tcW w:w="141" w:type="pct"/>
            <w:tcBorders>
              <w:top w:val="nil"/>
              <w:left w:val="nil"/>
              <w:bottom w:val="nil"/>
              <w:right w:val="nil"/>
            </w:tcBorders>
            <w:shd w:val="clear" w:color="auto" w:fill="auto"/>
            <w:vAlign w:val="bottom"/>
          </w:tcPr>
          <w:p w14:paraId="24F594B8" w14:textId="5CAA624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511</w:t>
            </w:r>
          </w:p>
        </w:tc>
        <w:tc>
          <w:tcPr>
            <w:tcW w:w="141" w:type="pct"/>
            <w:tcBorders>
              <w:top w:val="nil"/>
              <w:left w:val="nil"/>
              <w:bottom w:val="nil"/>
              <w:right w:val="nil"/>
            </w:tcBorders>
            <w:shd w:val="clear" w:color="auto" w:fill="auto"/>
            <w:vAlign w:val="bottom"/>
          </w:tcPr>
          <w:p w14:paraId="7C572717" w14:textId="0F88E0B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354</w:t>
            </w:r>
          </w:p>
        </w:tc>
        <w:tc>
          <w:tcPr>
            <w:tcW w:w="141" w:type="pct"/>
            <w:tcBorders>
              <w:top w:val="nil"/>
              <w:left w:val="nil"/>
              <w:bottom w:val="nil"/>
              <w:right w:val="nil"/>
            </w:tcBorders>
            <w:shd w:val="clear" w:color="auto" w:fill="auto"/>
            <w:vAlign w:val="bottom"/>
          </w:tcPr>
          <w:p w14:paraId="36838BCD" w14:textId="1121725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96</w:t>
            </w:r>
          </w:p>
        </w:tc>
        <w:tc>
          <w:tcPr>
            <w:tcW w:w="141" w:type="pct"/>
            <w:tcBorders>
              <w:top w:val="nil"/>
              <w:left w:val="nil"/>
              <w:bottom w:val="nil"/>
              <w:right w:val="nil"/>
            </w:tcBorders>
            <w:shd w:val="clear" w:color="auto" w:fill="auto"/>
            <w:vAlign w:val="bottom"/>
          </w:tcPr>
          <w:p w14:paraId="6F97076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0048CC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99A9B4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B43772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63E681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32BDCD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4C3536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463A4E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DBB2AB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06333E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8CB1B4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2E358E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6D57400"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5CFE9A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444B59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AF6511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691E24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25A1BE0B"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49046B16"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498D029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41A8F4E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09C93065" w14:textId="0ED5E4A0"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4734</w:t>
            </w:r>
          </w:p>
        </w:tc>
      </w:tr>
      <w:tr w:rsidR="00F4063A" w:rsidRPr="00F830FB" w14:paraId="5AE795F2" w14:textId="77777777" w:rsidTr="00F4063A">
        <w:tc>
          <w:tcPr>
            <w:tcW w:w="188" w:type="pct"/>
            <w:tcBorders>
              <w:top w:val="nil"/>
              <w:left w:val="nil"/>
              <w:bottom w:val="nil"/>
              <w:right w:val="nil"/>
            </w:tcBorders>
          </w:tcPr>
          <w:p w14:paraId="1FADB686"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13</w:t>
            </w:r>
          </w:p>
        </w:tc>
        <w:tc>
          <w:tcPr>
            <w:tcW w:w="141" w:type="pct"/>
            <w:tcBorders>
              <w:top w:val="nil"/>
              <w:left w:val="nil"/>
              <w:bottom w:val="nil"/>
              <w:right w:val="nil"/>
            </w:tcBorders>
            <w:shd w:val="clear" w:color="auto" w:fill="auto"/>
            <w:vAlign w:val="bottom"/>
          </w:tcPr>
          <w:p w14:paraId="66400300" w14:textId="0049A74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54</w:t>
            </w:r>
          </w:p>
        </w:tc>
        <w:tc>
          <w:tcPr>
            <w:tcW w:w="141" w:type="pct"/>
            <w:tcBorders>
              <w:top w:val="nil"/>
              <w:left w:val="nil"/>
              <w:bottom w:val="nil"/>
              <w:right w:val="nil"/>
            </w:tcBorders>
            <w:shd w:val="clear" w:color="auto" w:fill="auto"/>
            <w:vAlign w:val="bottom"/>
          </w:tcPr>
          <w:p w14:paraId="40C00C6A" w14:textId="24A1F46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178</w:t>
            </w:r>
          </w:p>
        </w:tc>
        <w:tc>
          <w:tcPr>
            <w:tcW w:w="141" w:type="pct"/>
            <w:tcBorders>
              <w:top w:val="nil"/>
              <w:left w:val="nil"/>
              <w:bottom w:val="nil"/>
              <w:right w:val="nil"/>
            </w:tcBorders>
            <w:shd w:val="clear" w:color="auto" w:fill="auto"/>
            <w:vAlign w:val="bottom"/>
          </w:tcPr>
          <w:p w14:paraId="22A90A30" w14:textId="7428F49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350</w:t>
            </w:r>
          </w:p>
        </w:tc>
        <w:tc>
          <w:tcPr>
            <w:tcW w:w="141" w:type="pct"/>
            <w:tcBorders>
              <w:top w:val="nil"/>
              <w:left w:val="nil"/>
              <w:bottom w:val="nil"/>
              <w:right w:val="nil"/>
            </w:tcBorders>
            <w:shd w:val="clear" w:color="auto" w:fill="auto"/>
            <w:vAlign w:val="bottom"/>
          </w:tcPr>
          <w:p w14:paraId="49F89872" w14:textId="623B6A4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369</w:t>
            </w:r>
          </w:p>
        </w:tc>
        <w:tc>
          <w:tcPr>
            <w:tcW w:w="141" w:type="pct"/>
            <w:tcBorders>
              <w:top w:val="nil"/>
              <w:left w:val="nil"/>
              <w:bottom w:val="nil"/>
              <w:right w:val="nil"/>
            </w:tcBorders>
            <w:shd w:val="clear" w:color="auto" w:fill="auto"/>
            <w:vAlign w:val="bottom"/>
          </w:tcPr>
          <w:p w14:paraId="60FD326A" w14:textId="1C689BD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382</w:t>
            </w:r>
          </w:p>
        </w:tc>
        <w:tc>
          <w:tcPr>
            <w:tcW w:w="141" w:type="pct"/>
            <w:tcBorders>
              <w:top w:val="nil"/>
              <w:left w:val="nil"/>
              <w:bottom w:val="nil"/>
              <w:right w:val="nil"/>
            </w:tcBorders>
            <w:shd w:val="clear" w:color="auto" w:fill="auto"/>
            <w:vAlign w:val="bottom"/>
          </w:tcPr>
          <w:p w14:paraId="6C840703" w14:textId="7A67E6E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443</w:t>
            </w:r>
          </w:p>
        </w:tc>
        <w:tc>
          <w:tcPr>
            <w:tcW w:w="141" w:type="pct"/>
            <w:tcBorders>
              <w:top w:val="nil"/>
              <w:left w:val="nil"/>
              <w:bottom w:val="nil"/>
              <w:right w:val="nil"/>
            </w:tcBorders>
            <w:shd w:val="clear" w:color="auto" w:fill="auto"/>
            <w:vAlign w:val="bottom"/>
          </w:tcPr>
          <w:p w14:paraId="200DFD9F" w14:textId="7F12AC8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546</w:t>
            </w:r>
          </w:p>
        </w:tc>
        <w:tc>
          <w:tcPr>
            <w:tcW w:w="141" w:type="pct"/>
            <w:tcBorders>
              <w:top w:val="nil"/>
              <w:left w:val="nil"/>
              <w:bottom w:val="nil"/>
              <w:right w:val="nil"/>
            </w:tcBorders>
            <w:shd w:val="clear" w:color="auto" w:fill="auto"/>
            <w:vAlign w:val="bottom"/>
          </w:tcPr>
          <w:p w14:paraId="53C7763B" w14:textId="0A72555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623</w:t>
            </w:r>
          </w:p>
        </w:tc>
        <w:tc>
          <w:tcPr>
            <w:tcW w:w="141" w:type="pct"/>
            <w:tcBorders>
              <w:top w:val="nil"/>
              <w:left w:val="nil"/>
              <w:bottom w:val="nil"/>
              <w:right w:val="nil"/>
            </w:tcBorders>
            <w:shd w:val="clear" w:color="auto" w:fill="auto"/>
            <w:vAlign w:val="bottom"/>
          </w:tcPr>
          <w:p w14:paraId="260F9B7D" w14:textId="51F03B8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590</w:t>
            </w:r>
          </w:p>
        </w:tc>
        <w:tc>
          <w:tcPr>
            <w:tcW w:w="141" w:type="pct"/>
            <w:tcBorders>
              <w:top w:val="nil"/>
              <w:left w:val="nil"/>
              <w:bottom w:val="nil"/>
              <w:right w:val="nil"/>
            </w:tcBorders>
            <w:shd w:val="clear" w:color="auto" w:fill="auto"/>
            <w:vAlign w:val="bottom"/>
          </w:tcPr>
          <w:p w14:paraId="3FCCCD06" w14:textId="0829C5E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556</w:t>
            </w:r>
          </w:p>
        </w:tc>
        <w:tc>
          <w:tcPr>
            <w:tcW w:w="141" w:type="pct"/>
            <w:tcBorders>
              <w:top w:val="nil"/>
              <w:left w:val="nil"/>
              <w:bottom w:val="nil"/>
              <w:right w:val="nil"/>
            </w:tcBorders>
            <w:shd w:val="clear" w:color="auto" w:fill="auto"/>
            <w:vAlign w:val="bottom"/>
          </w:tcPr>
          <w:p w14:paraId="2EE22504" w14:textId="459ADAE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532</w:t>
            </w:r>
          </w:p>
        </w:tc>
        <w:tc>
          <w:tcPr>
            <w:tcW w:w="141" w:type="pct"/>
            <w:tcBorders>
              <w:top w:val="nil"/>
              <w:left w:val="nil"/>
              <w:bottom w:val="nil"/>
              <w:right w:val="nil"/>
            </w:tcBorders>
            <w:shd w:val="clear" w:color="auto" w:fill="auto"/>
            <w:vAlign w:val="bottom"/>
          </w:tcPr>
          <w:p w14:paraId="34B2C905" w14:textId="60CDC16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369</w:t>
            </w:r>
          </w:p>
        </w:tc>
        <w:tc>
          <w:tcPr>
            <w:tcW w:w="141" w:type="pct"/>
            <w:tcBorders>
              <w:top w:val="nil"/>
              <w:left w:val="nil"/>
              <w:bottom w:val="nil"/>
              <w:right w:val="nil"/>
            </w:tcBorders>
            <w:shd w:val="clear" w:color="auto" w:fill="auto"/>
            <w:vAlign w:val="bottom"/>
          </w:tcPr>
          <w:p w14:paraId="49D691FE" w14:textId="5080E68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100</w:t>
            </w:r>
          </w:p>
        </w:tc>
        <w:tc>
          <w:tcPr>
            <w:tcW w:w="141" w:type="pct"/>
            <w:tcBorders>
              <w:top w:val="nil"/>
              <w:left w:val="nil"/>
              <w:bottom w:val="nil"/>
              <w:right w:val="nil"/>
            </w:tcBorders>
            <w:shd w:val="clear" w:color="auto" w:fill="auto"/>
            <w:vAlign w:val="bottom"/>
          </w:tcPr>
          <w:p w14:paraId="47AB9A8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D553F4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A68A29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B33407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83E0B5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F462C8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227E12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EF6983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53B905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91E13B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1E6CB0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E071E2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21BFBB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694242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C3C888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94E3CA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697A4A9A"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138CF806"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2213BE3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6A7635F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54018F69" w14:textId="3EB07B88"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5092</w:t>
            </w:r>
          </w:p>
        </w:tc>
      </w:tr>
      <w:tr w:rsidR="00F4063A" w:rsidRPr="00F830FB" w14:paraId="4C796E2E" w14:textId="77777777" w:rsidTr="00F4063A">
        <w:tc>
          <w:tcPr>
            <w:tcW w:w="188" w:type="pct"/>
            <w:tcBorders>
              <w:top w:val="nil"/>
              <w:left w:val="nil"/>
              <w:bottom w:val="nil"/>
              <w:right w:val="nil"/>
            </w:tcBorders>
          </w:tcPr>
          <w:p w14:paraId="017046D9"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14</w:t>
            </w:r>
          </w:p>
        </w:tc>
        <w:tc>
          <w:tcPr>
            <w:tcW w:w="141" w:type="pct"/>
            <w:tcBorders>
              <w:top w:val="nil"/>
              <w:left w:val="nil"/>
              <w:bottom w:val="nil"/>
              <w:right w:val="nil"/>
            </w:tcBorders>
            <w:shd w:val="clear" w:color="auto" w:fill="auto"/>
            <w:vAlign w:val="bottom"/>
          </w:tcPr>
          <w:p w14:paraId="4B5AB5D1" w14:textId="742EE7C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52</w:t>
            </w:r>
          </w:p>
        </w:tc>
        <w:tc>
          <w:tcPr>
            <w:tcW w:w="141" w:type="pct"/>
            <w:tcBorders>
              <w:top w:val="nil"/>
              <w:left w:val="nil"/>
              <w:bottom w:val="nil"/>
              <w:right w:val="nil"/>
            </w:tcBorders>
            <w:shd w:val="clear" w:color="auto" w:fill="auto"/>
            <w:vAlign w:val="bottom"/>
          </w:tcPr>
          <w:p w14:paraId="71FDFB99" w14:textId="467EE6B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128</w:t>
            </w:r>
          </w:p>
        </w:tc>
        <w:tc>
          <w:tcPr>
            <w:tcW w:w="141" w:type="pct"/>
            <w:tcBorders>
              <w:top w:val="nil"/>
              <w:left w:val="nil"/>
              <w:bottom w:val="nil"/>
              <w:right w:val="nil"/>
            </w:tcBorders>
            <w:shd w:val="clear" w:color="auto" w:fill="auto"/>
            <w:vAlign w:val="bottom"/>
          </w:tcPr>
          <w:p w14:paraId="37AA1EBC" w14:textId="0D657BC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245</w:t>
            </w:r>
          </w:p>
        </w:tc>
        <w:tc>
          <w:tcPr>
            <w:tcW w:w="141" w:type="pct"/>
            <w:tcBorders>
              <w:top w:val="nil"/>
              <w:left w:val="nil"/>
              <w:bottom w:val="nil"/>
              <w:right w:val="nil"/>
            </w:tcBorders>
            <w:shd w:val="clear" w:color="auto" w:fill="auto"/>
            <w:vAlign w:val="bottom"/>
          </w:tcPr>
          <w:p w14:paraId="1469D968" w14:textId="0949785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336</w:t>
            </w:r>
          </w:p>
        </w:tc>
        <w:tc>
          <w:tcPr>
            <w:tcW w:w="141" w:type="pct"/>
            <w:tcBorders>
              <w:top w:val="nil"/>
              <w:left w:val="nil"/>
              <w:bottom w:val="nil"/>
              <w:right w:val="nil"/>
            </w:tcBorders>
            <w:shd w:val="clear" w:color="auto" w:fill="auto"/>
            <w:vAlign w:val="bottom"/>
          </w:tcPr>
          <w:p w14:paraId="3BC62CB8" w14:textId="6299E07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340</w:t>
            </w:r>
          </w:p>
        </w:tc>
        <w:tc>
          <w:tcPr>
            <w:tcW w:w="141" w:type="pct"/>
            <w:tcBorders>
              <w:top w:val="nil"/>
              <w:left w:val="nil"/>
              <w:bottom w:val="nil"/>
              <w:right w:val="nil"/>
            </w:tcBorders>
            <w:shd w:val="clear" w:color="auto" w:fill="auto"/>
            <w:vAlign w:val="bottom"/>
          </w:tcPr>
          <w:p w14:paraId="3CAE62B0" w14:textId="5F40ECC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398</w:t>
            </w:r>
          </w:p>
        </w:tc>
        <w:tc>
          <w:tcPr>
            <w:tcW w:w="141" w:type="pct"/>
            <w:tcBorders>
              <w:top w:val="nil"/>
              <w:left w:val="nil"/>
              <w:bottom w:val="nil"/>
              <w:right w:val="nil"/>
            </w:tcBorders>
            <w:shd w:val="clear" w:color="auto" w:fill="auto"/>
            <w:vAlign w:val="bottom"/>
          </w:tcPr>
          <w:p w14:paraId="090CDD99" w14:textId="58C7958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462</w:t>
            </w:r>
          </w:p>
        </w:tc>
        <w:tc>
          <w:tcPr>
            <w:tcW w:w="141" w:type="pct"/>
            <w:tcBorders>
              <w:top w:val="nil"/>
              <w:left w:val="nil"/>
              <w:bottom w:val="nil"/>
              <w:right w:val="nil"/>
            </w:tcBorders>
            <w:shd w:val="clear" w:color="auto" w:fill="auto"/>
            <w:vAlign w:val="bottom"/>
          </w:tcPr>
          <w:p w14:paraId="4D9DDA06" w14:textId="7BBF7D8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569</w:t>
            </w:r>
          </w:p>
        </w:tc>
        <w:tc>
          <w:tcPr>
            <w:tcW w:w="141" w:type="pct"/>
            <w:tcBorders>
              <w:top w:val="nil"/>
              <w:left w:val="nil"/>
              <w:bottom w:val="nil"/>
              <w:right w:val="nil"/>
            </w:tcBorders>
            <w:shd w:val="clear" w:color="auto" w:fill="auto"/>
            <w:vAlign w:val="bottom"/>
          </w:tcPr>
          <w:p w14:paraId="3BC1EECC" w14:textId="7C40AEE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649</w:t>
            </w:r>
          </w:p>
        </w:tc>
        <w:tc>
          <w:tcPr>
            <w:tcW w:w="141" w:type="pct"/>
            <w:tcBorders>
              <w:top w:val="nil"/>
              <w:left w:val="nil"/>
              <w:bottom w:val="nil"/>
              <w:right w:val="nil"/>
            </w:tcBorders>
            <w:shd w:val="clear" w:color="auto" w:fill="auto"/>
            <w:vAlign w:val="bottom"/>
          </w:tcPr>
          <w:p w14:paraId="19F2E10D" w14:textId="7E087C9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615</w:t>
            </w:r>
          </w:p>
        </w:tc>
        <w:tc>
          <w:tcPr>
            <w:tcW w:w="141" w:type="pct"/>
            <w:tcBorders>
              <w:top w:val="nil"/>
              <w:left w:val="nil"/>
              <w:bottom w:val="nil"/>
              <w:right w:val="nil"/>
            </w:tcBorders>
            <w:shd w:val="clear" w:color="auto" w:fill="auto"/>
            <w:vAlign w:val="bottom"/>
          </w:tcPr>
          <w:p w14:paraId="15B07A81" w14:textId="26A1DD5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580</w:t>
            </w:r>
          </w:p>
        </w:tc>
        <w:tc>
          <w:tcPr>
            <w:tcW w:w="141" w:type="pct"/>
            <w:tcBorders>
              <w:top w:val="nil"/>
              <w:left w:val="nil"/>
              <w:bottom w:val="nil"/>
              <w:right w:val="nil"/>
            </w:tcBorders>
            <w:shd w:val="clear" w:color="auto" w:fill="auto"/>
            <w:vAlign w:val="bottom"/>
          </w:tcPr>
          <w:p w14:paraId="2E5864FB" w14:textId="2AB53CE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555</w:t>
            </w:r>
          </w:p>
        </w:tc>
        <w:tc>
          <w:tcPr>
            <w:tcW w:w="141" w:type="pct"/>
            <w:tcBorders>
              <w:top w:val="nil"/>
              <w:left w:val="nil"/>
              <w:bottom w:val="nil"/>
              <w:right w:val="nil"/>
            </w:tcBorders>
            <w:shd w:val="clear" w:color="auto" w:fill="auto"/>
            <w:vAlign w:val="bottom"/>
          </w:tcPr>
          <w:p w14:paraId="1026BAEB" w14:textId="05EF46A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385</w:t>
            </w:r>
          </w:p>
        </w:tc>
        <w:tc>
          <w:tcPr>
            <w:tcW w:w="141" w:type="pct"/>
            <w:tcBorders>
              <w:top w:val="nil"/>
              <w:left w:val="nil"/>
              <w:bottom w:val="nil"/>
              <w:right w:val="nil"/>
            </w:tcBorders>
            <w:shd w:val="clear" w:color="auto" w:fill="auto"/>
            <w:vAlign w:val="bottom"/>
          </w:tcPr>
          <w:p w14:paraId="38DD72A8" w14:textId="47759C5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104</w:t>
            </w:r>
          </w:p>
        </w:tc>
        <w:tc>
          <w:tcPr>
            <w:tcW w:w="141" w:type="pct"/>
            <w:tcBorders>
              <w:top w:val="nil"/>
              <w:left w:val="nil"/>
              <w:bottom w:val="nil"/>
              <w:right w:val="nil"/>
            </w:tcBorders>
            <w:shd w:val="clear" w:color="auto" w:fill="auto"/>
            <w:vAlign w:val="bottom"/>
          </w:tcPr>
          <w:p w14:paraId="2284741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E66871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E5A984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49020A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8425AA0"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49B746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ACE84A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FC44C6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8B381F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98E320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F21369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837293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73553A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3D7603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8933ED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13DF0A5D"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6E9D4B1A"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235722E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60E3A8F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18D55DBA" w14:textId="137FED18"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5417</w:t>
            </w:r>
          </w:p>
        </w:tc>
      </w:tr>
      <w:tr w:rsidR="00F4063A" w:rsidRPr="00F830FB" w14:paraId="46892013" w14:textId="77777777" w:rsidTr="00F4063A">
        <w:tc>
          <w:tcPr>
            <w:tcW w:w="188" w:type="pct"/>
            <w:tcBorders>
              <w:top w:val="nil"/>
              <w:left w:val="nil"/>
              <w:bottom w:val="nil"/>
              <w:right w:val="nil"/>
            </w:tcBorders>
          </w:tcPr>
          <w:p w14:paraId="6984AABB"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15</w:t>
            </w:r>
          </w:p>
        </w:tc>
        <w:tc>
          <w:tcPr>
            <w:tcW w:w="141" w:type="pct"/>
            <w:tcBorders>
              <w:top w:val="nil"/>
              <w:left w:val="nil"/>
              <w:bottom w:val="nil"/>
              <w:right w:val="nil"/>
            </w:tcBorders>
            <w:shd w:val="clear" w:color="auto" w:fill="auto"/>
            <w:vAlign w:val="bottom"/>
          </w:tcPr>
          <w:p w14:paraId="2196C7D7" w14:textId="4446218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46</w:t>
            </w:r>
          </w:p>
        </w:tc>
        <w:tc>
          <w:tcPr>
            <w:tcW w:w="141" w:type="pct"/>
            <w:tcBorders>
              <w:top w:val="nil"/>
              <w:left w:val="nil"/>
              <w:bottom w:val="nil"/>
              <w:right w:val="nil"/>
            </w:tcBorders>
            <w:shd w:val="clear" w:color="auto" w:fill="auto"/>
            <w:vAlign w:val="bottom"/>
          </w:tcPr>
          <w:p w14:paraId="307D38E8" w14:textId="51813D7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122</w:t>
            </w:r>
          </w:p>
        </w:tc>
        <w:tc>
          <w:tcPr>
            <w:tcW w:w="141" w:type="pct"/>
            <w:tcBorders>
              <w:top w:val="nil"/>
              <w:left w:val="nil"/>
              <w:bottom w:val="nil"/>
              <w:right w:val="nil"/>
            </w:tcBorders>
            <w:shd w:val="clear" w:color="auto" w:fill="auto"/>
            <w:vAlign w:val="bottom"/>
          </w:tcPr>
          <w:p w14:paraId="4EFCDFCB" w14:textId="6620D18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176</w:t>
            </w:r>
          </w:p>
        </w:tc>
        <w:tc>
          <w:tcPr>
            <w:tcW w:w="141" w:type="pct"/>
            <w:tcBorders>
              <w:top w:val="nil"/>
              <w:left w:val="nil"/>
              <w:bottom w:val="nil"/>
              <w:right w:val="nil"/>
            </w:tcBorders>
            <w:shd w:val="clear" w:color="auto" w:fill="auto"/>
            <w:vAlign w:val="bottom"/>
          </w:tcPr>
          <w:p w14:paraId="56223B79" w14:textId="14122DB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236</w:t>
            </w:r>
          </w:p>
        </w:tc>
        <w:tc>
          <w:tcPr>
            <w:tcW w:w="141" w:type="pct"/>
            <w:tcBorders>
              <w:top w:val="nil"/>
              <w:left w:val="nil"/>
              <w:bottom w:val="nil"/>
              <w:right w:val="nil"/>
            </w:tcBorders>
            <w:shd w:val="clear" w:color="auto" w:fill="auto"/>
            <w:vAlign w:val="bottom"/>
          </w:tcPr>
          <w:p w14:paraId="7A506ACB" w14:textId="186F7B0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310</w:t>
            </w:r>
          </w:p>
        </w:tc>
        <w:tc>
          <w:tcPr>
            <w:tcW w:w="141" w:type="pct"/>
            <w:tcBorders>
              <w:top w:val="nil"/>
              <w:left w:val="nil"/>
              <w:bottom w:val="nil"/>
              <w:right w:val="nil"/>
            </w:tcBorders>
            <w:shd w:val="clear" w:color="auto" w:fill="auto"/>
            <w:vAlign w:val="bottom"/>
          </w:tcPr>
          <w:p w14:paraId="7A1DE5C7" w14:textId="58832A7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355</w:t>
            </w:r>
          </w:p>
        </w:tc>
        <w:tc>
          <w:tcPr>
            <w:tcW w:w="141" w:type="pct"/>
            <w:tcBorders>
              <w:top w:val="nil"/>
              <w:left w:val="nil"/>
              <w:bottom w:val="nil"/>
              <w:right w:val="nil"/>
            </w:tcBorders>
            <w:shd w:val="clear" w:color="auto" w:fill="auto"/>
            <w:vAlign w:val="bottom"/>
          </w:tcPr>
          <w:p w14:paraId="68050332" w14:textId="3AFFE60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415</w:t>
            </w:r>
          </w:p>
        </w:tc>
        <w:tc>
          <w:tcPr>
            <w:tcW w:w="141" w:type="pct"/>
            <w:tcBorders>
              <w:top w:val="nil"/>
              <w:left w:val="nil"/>
              <w:bottom w:val="nil"/>
              <w:right w:val="nil"/>
            </w:tcBorders>
            <w:shd w:val="clear" w:color="auto" w:fill="auto"/>
            <w:vAlign w:val="bottom"/>
          </w:tcPr>
          <w:p w14:paraId="23587167" w14:textId="06285E2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481</w:t>
            </w:r>
          </w:p>
        </w:tc>
        <w:tc>
          <w:tcPr>
            <w:tcW w:w="141" w:type="pct"/>
            <w:tcBorders>
              <w:top w:val="nil"/>
              <w:left w:val="nil"/>
              <w:bottom w:val="nil"/>
              <w:right w:val="nil"/>
            </w:tcBorders>
            <w:shd w:val="clear" w:color="auto" w:fill="auto"/>
            <w:vAlign w:val="bottom"/>
          </w:tcPr>
          <w:p w14:paraId="130346E6" w14:textId="55AFEBA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593</w:t>
            </w:r>
          </w:p>
        </w:tc>
        <w:tc>
          <w:tcPr>
            <w:tcW w:w="141" w:type="pct"/>
            <w:tcBorders>
              <w:top w:val="nil"/>
              <w:left w:val="nil"/>
              <w:bottom w:val="nil"/>
              <w:right w:val="nil"/>
            </w:tcBorders>
            <w:shd w:val="clear" w:color="auto" w:fill="auto"/>
            <w:vAlign w:val="bottom"/>
          </w:tcPr>
          <w:p w14:paraId="7FC3AE28" w14:textId="58F16E4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677</w:t>
            </w:r>
          </w:p>
        </w:tc>
        <w:tc>
          <w:tcPr>
            <w:tcW w:w="141" w:type="pct"/>
            <w:tcBorders>
              <w:top w:val="nil"/>
              <w:left w:val="nil"/>
              <w:bottom w:val="nil"/>
              <w:right w:val="nil"/>
            </w:tcBorders>
            <w:shd w:val="clear" w:color="auto" w:fill="auto"/>
            <w:vAlign w:val="bottom"/>
          </w:tcPr>
          <w:p w14:paraId="10FD351D" w14:textId="58F363A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641</w:t>
            </w:r>
          </w:p>
        </w:tc>
        <w:tc>
          <w:tcPr>
            <w:tcW w:w="141" w:type="pct"/>
            <w:tcBorders>
              <w:top w:val="nil"/>
              <w:left w:val="nil"/>
              <w:bottom w:val="nil"/>
              <w:right w:val="nil"/>
            </w:tcBorders>
            <w:shd w:val="clear" w:color="auto" w:fill="auto"/>
            <w:vAlign w:val="bottom"/>
          </w:tcPr>
          <w:p w14:paraId="5CEB4152" w14:textId="0C4270E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604</w:t>
            </w:r>
          </w:p>
        </w:tc>
        <w:tc>
          <w:tcPr>
            <w:tcW w:w="141" w:type="pct"/>
            <w:tcBorders>
              <w:top w:val="nil"/>
              <w:left w:val="nil"/>
              <w:bottom w:val="nil"/>
              <w:right w:val="nil"/>
            </w:tcBorders>
            <w:shd w:val="clear" w:color="auto" w:fill="auto"/>
            <w:vAlign w:val="bottom"/>
          </w:tcPr>
          <w:p w14:paraId="4835D1F0" w14:textId="6BF338F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578</w:t>
            </w:r>
          </w:p>
        </w:tc>
        <w:tc>
          <w:tcPr>
            <w:tcW w:w="141" w:type="pct"/>
            <w:tcBorders>
              <w:top w:val="nil"/>
              <w:left w:val="nil"/>
              <w:bottom w:val="nil"/>
              <w:right w:val="nil"/>
            </w:tcBorders>
            <w:shd w:val="clear" w:color="auto" w:fill="auto"/>
            <w:vAlign w:val="bottom"/>
          </w:tcPr>
          <w:p w14:paraId="53C3B449" w14:textId="6CDC77A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401</w:t>
            </w:r>
          </w:p>
        </w:tc>
        <w:tc>
          <w:tcPr>
            <w:tcW w:w="141" w:type="pct"/>
            <w:tcBorders>
              <w:top w:val="nil"/>
              <w:left w:val="nil"/>
              <w:bottom w:val="nil"/>
              <w:right w:val="nil"/>
            </w:tcBorders>
            <w:shd w:val="clear" w:color="auto" w:fill="auto"/>
            <w:vAlign w:val="bottom"/>
          </w:tcPr>
          <w:p w14:paraId="15E83508" w14:textId="60E61B8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105</w:t>
            </w:r>
          </w:p>
        </w:tc>
        <w:tc>
          <w:tcPr>
            <w:tcW w:w="141" w:type="pct"/>
            <w:tcBorders>
              <w:top w:val="nil"/>
              <w:left w:val="nil"/>
              <w:bottom w:val="nil"/>
              <w:right w:val="nil"/>
            </w:tcBorders>
            <w:shd w:val="clear" w:color="auto" w:fill="auto"/>
            <w:vAlign w:val="bottom"/>
          </w:tcPr>
          <w:p w14:paraId="0847259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C79AF6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349E57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4F40BA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16FB2D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52D1CF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EBD7D1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675704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261ADE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859941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F94200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09DCAA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073D97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76A3C3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4194D43C"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059EE77A"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3C22F97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24C8B19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42515DD2" w14:textId="2DB77FA5"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5740</w:t>
            </w:r>
          </w:p>
        </w:tc>
      </w:tr>
      <w:tr w:rsidR="00F4063A" w:rsidRPr="00F830FB" w14:paraId="3B96CA61" w14:textId="77777777" w:rsidTr="00F4063A">
        <w:tc>
          <w:tcPr>
            <w:tcW w:w="188" w:type="pct"/>
            <w:tcBorders>
              <w:top w:val="nil"/>
              <w:left w:val="nil"/>
              <w:bottom w:val="nil"/>
              <w:right w:val="nil"/>
            </w:tcBorders>
          </w:tcPr>
          <w:p w14:paraId="15A04A21"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16</w:t>
            </w:r>
          </w:p>
        </w:tc>
        <w:tc>
          <w:tcPr>
            <w:tcW w:w="141" w:type="pct"/>
            <w:tcBorders>
              <w:top w:val="nil"/>
              <w:left w:val="nil"/>
              <w:bottom w:val="nil"/>
              <w:right w:val="nil"/>
            </w:tcBorders>
            <w:shd w:val="clear" w:color="auto" w:fill="auto"/>
            <w:vAlign w:val="bottom"/>
          </w:tcPr>
          <w:p w14:paraId="41488391" w14:textId="07CF76F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38</w:t>
            </w:r>
          </w:p>
        </w:tc>
        <w:tc>
          <w:tcPr>
            <w:tcW w:w="141" w:type="pct"/>
            <w:tcBorders>
              <w:top w:val="nil"/>
              <w:left w:val="nil"/>
              <w:bottom w:val="nil"/>
              <w:right w:val="nil"/>
            </w:tcBorders>
            <w:shd w:val="clear" w:color="auto" w:fill="auto"/>
            <w:vAlign w:val="bottom"/>
          </w:tcPr>
          <w:p w14:paraId="15EC38A1" w14:textId="3D1396C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107</w:t>
            </w:r>
          </w:p>
        </w:tc>
        <w:tc>
          <w:tcPr>
            <w:tcW w:w="141" w:type="pct"/>
            <w:tcBorders>
              <w:top w:val="nil"/>
              <w:left w:val="nil"/>
              <w:bottom w:val="nil"/>
              <w:right w:val="nil"/>
            </w:tcBorders>
            <w:shd w:val="clear" w:color="auto" w:fill="auto"/>
            <w:vAlign w:val="bottom"/>
          </w:tcPr>
          <w:p w14:paraId="224541FF" w14:textId="338C413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168</w:t>
            </w:r>
          </w:p>
        </w:tc>
        <w:tc>
          <w:tcPr>
            <w:tcW w:w="141" w:type="pct"/>
            <w:tcBorders>
              <w:top w:val="nil"/>
              <w:left w:val="nil"/>
              <w:bottom w:val="nil"/>
              <w:right w:val="nil"/>
            </w:tcBorders>
            <w:shd w:val="clear" w:color="auto" w:fill="auto"/>
            <w:vAlign w:val="bottom"/>
          </w:tcPr>
          <w:p w14:paraId="56018E61" w14:textId="26AE843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169</w:t>
            </w:r>
          </w:p>
        </w:tc>
        <w:tc>
          <w:tcPr>
            <w:tcW w:w="141" w:type="pct"/>
            <w:tcBorders>
              <w:top w:val="nil"/>
              <w:left w:val="nil"/>
              <w:bottom w:val="nil"/>
              <w:right w:val="nil"/>
            </w:tcBorders>
            <w:shd w:val="clear" w:color="auto" w:fill="auto"/>
            <w:vAlign w:val="bottom"/>
          </w:tcPr>
          <w:p w14:paraId="14C008AA" w14:textId="101221E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217</w:t>
            </w:r>
          </w:p>
        </w:tc>
        <w:tc>
          <w:tcPr>
            <w:tcW w:w="141" w:type="pct"/>
            <w:tcBorders>
              <w:top w:val="nil"/>
              <w:left w:val="nil"/>
              <w:bottom w:val="nil"/>
              <w:right w:val="nil"/>
            </w:tcBorders>
            <w:shd w:val="clear" w:color="auto" w:fill="auto"/>
            <w:vAlign w:val="bottom"/>
          </w:tcPr>
          <w:p w14:paraId="26192B0A" w14:textId="4121054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323</w:t>
            </w:r>
          </w:p>
        </w:tc>
        <w:tc>
          <w:tcPr>
            <w:tcW w:w="141" w:type="pct"/>
            <w:tcBorders>
              <w:top w:val="nil"/>
              <w:left w:val="nil"/>
              <w:bottom w:val="nil"/>
              <w:right w:val="nil"/>
            </w:tcBorders>
            <w:shd w:val="clear" w:color="auto" w:fill="auto"/>
            <w:vAlign w:val="bottom"/>
          </w:tcPr>
          <w:p w14:paraId="2E94EAD6" w14:textId="2AD4E41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370</w:t>
            </w:r>
          </w:p>
        </w:tc>
        <w:tc>
          <w:tcPr>
            <w:tcW w:w="141" w:type="pct"/>
            <w:tcBorders>
              <w:top w:val="nil"/>
              <w:left w:val="nil"/>
              <w:bottom w:val="nil"/>
              <w:right w:val="nil"/>
            </w:tcBorders>
            <w:shd w:val="clear" w:color="auto" w:fill="auto"/>
            <w:vAlign w:val="bottom"/>
          </w:tcPr>
          <w:p w14:paraId="2201E32B" w14:textId="44400C8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432</w:t>
            </w:r>
          </w:p>
        </w:tc>
        <w:tc>
          <w:tcPr>
            <w:tcW w:w="141" w:type="pct"/>
            <w:tcBorders>
              <w:top w:val="nil"/>
              <w:left w:val="nil"/>
              <w:bottom w:val="nil"/>
              <w:right w:val="nil"/>
            </w:tcBorders>
            <w:shd w:val="clear" w:color="auto" w:fill="auto"/>
            <w:vAlign w:val="bottom"/>
          </w:tcPr>
          <w:p w14:paraId="3D74B0C7" w14:textId="682D17F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502</w:t>
            </w:r>
          </w:p>
        </w:tc>
        <w:tc>
          <w:tcPr>
            <w:tcW w:w="141" w:type="pct"/>
            <w:tcBorders>
              <w:top w:val="nil"/>
              <w:left w:val="nil"/>
              <w:bottom w:val="nil"/>
              <w:right w:val="nil"/>
            </w:tcBorders>
            <w:shd w:val="clear" w:color="auto" w:fill="auto"/>
            <w:vAlign w:val="bottom"/>
          </w:tcPr>
          <w:p w14:paraId="40AE990F" w14:textId="24FC594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618</w:t>
            </w:r>
          </w:p>
        </w:tc>
        <w:tc>
          <w:tcPr>
            <w:tcW w:w="141" w:type="pct"/>
            <w:tcBorders>
              <w:top w:val="nil"/>
              <w:left w:val="nil"/>
              <w:bottom w:val="nil"/>
              <w:right w:val="nil"/>
            </w:tcBorders>
            <w:shd w:val="clear" w:color="auto" w:fill="auto"/>
            <w:vAlign w:val="bottom"/>
          </w:tcPr>
          <w:p w14:paraId="0532BB54" w14:textId="7FFA0C1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705</w:t>
            </w:r>
          </w:p>
        </w:tc>
        <w:tc>
          <w:tcPr>
            <w:tcW w:w="141" w:type="pct"/>
            <w:tcBorders>
              <w:top w:val="nil"/>
              <w:left w:val="nil"/>
              <w:bottom w:val="nil"/>
              <w:right w:val="nil"/>
            </w:tcBorders>
            <w:shd w:val="clear" w:color="auto" w:fill="auto"/>
            <w:vAlign w:val="bottom"/>
          </w:tcPr>
          <w:p w14:paraId="0649480E" w14:textId="7D1A5E6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668</w:t>
            </w:r>
          </w:p>
        </w:tc>
        <w:tc>
          <w:tcPr>
            <w:tcW w:w="141" w:type="pct"/>
            <w:tcBorders>
              <w:top w:val="nil"/>
              <w:left w:val="nil"/>
              <w:bottom w:val="nil"/>
              <w:right w:val="nil"/>
            </w:tcBorders>
            <w:shd w:val="clear" w:color="auto" w:fill="auto"/>
            <w:vAlign w:val="bottom"/>
          </w:tcPr>
          <w:p w14:paraId="445DFFF3" w14:textId="77A536F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630</w:t>
            </w:r>
          </w:p>
        </w:tc>
        <w:tc>
          <w:tcPr>
            <w:tcW w:w="141" w:type="pct"/>
            <w:tcBorders>
              <w:top w:val="nil"/>
              <w:left w:val="nil"/>
              <w:bottom w:val="nil"/>
              <w:right w:val="nil"/>
            </w:tcBorders>
            <w:shd w:val="clear" w:color="auto" w:fill="auto"/>
            <w:vAlign w:val="bottom"/>
          </w:tcPr>
          <w:p w14:paraId="6530F653" w14:textId="18398FF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603</w:t>
            </w:r>
          </w:p>
        </w:tc>
        <w:tc>
          <w:tcPr>
            <w:tcW w:w="141" w:type="pct"/>
            <w:tcBorders>
              <w:top w:val="nil"/>
              <w:left w:val="nil"/>
              <w:bottom w:val="nil"/>
              <w:right w:val="nil"/>
            </w:tcBorders>
            <w:shd w:val="clear" w:color="auto" w:fill="auto"/>
            <w:vAlign w:val="bottom"/>
          </w:tcPr>
          <w:p w14:paraId="2266C152" w14:textId="7355F86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406</w:t>
            </w:r>
          </w:p>
        </w:tc>
        <w:tc>
          <w:tcPr>
            <w:tcW w:w="141" w:type="pct"/>
            <w:tcBorders>
              <w:top w:val="nil"/>
              <w:left w:val="nil"/>
              <w:bottom w:val="nil"/>
              <w:right w:val="nil"/>
            </w:tcBorders>
            <w:shd w:val="clear" w:color="auto" w:fill="auto"/>
            <w:vAlign w:val="bottom"/>
          </w:tcPr>
          <w:p w14:paraId="5B13213B" w14:textId="4426C42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103</w:t>
            </w:r>
          </w:p>
        </w:tc>
        <w:tc>
          <w:tcPr>
            <w:tcW w:w="141" w:type="pct"/>
            <w:tcBorders>
              <w:top w:val="nil"/>
              <w:left w:val="nil"/>
              <w:bottom w:val="nil"/>
              <w:right w:val="nil"/>
            </w:tcBorders>
            <w:shd w:val="clear" w:color="auto" w:fill="auto"/>
            <w:vAlign w:val="bottom"/>
          </w:tcPr>
          <w:p w14:paraId="07EEC85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E88D81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2D701C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D6C599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0B6642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02C112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59A730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13BFBC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5361300"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683B27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561E29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73F45A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160D0D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6A39B860"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43633203"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4F826F9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59FFA6C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3FAF1A75" w14:textId="73A8B32E"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6059</w:t>
            </w:r>
          </w:p>
        </w:tc>
      </w:tr>
      <w:tr w:rsidR="00F4063A" w:rsidRPr="00F830FB" w14:paraId="404F9F1E" w14:textId="77777777" w:rsidTr="00F4063A">
        <w:tc>
          <w:tcPr>
            <w:tcW w:w="188" w:type="pct"/>
            <w:tcBorders>
              <w:top w:val="nil"/>
              <w:left w:val="nil"/>
              <w:bottom w:val="nil"/>
              <w:right w:val="nil"/>
            </w:tcBorders>
          </w:tcPr>
          <w:p w14:paraId="22DEB6D8"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17</w:t>
            </w:r>
          </w:p>
        </w:tc>
        <w:tc>
          <w:tcPr>
            <w:tcW w:w="141" w:type="pct"/>
            <w:tcBorders>
              <w:top w:val="nil"/>
              <w:left w:val="nil"/>
              <w:bottom w:val="nil"/>
              <w:right w:val="nil"/>
            </w:tcBorders>
            <w:shd w:val="clear" w:color="auto" w:fill="auto"/>
            <w:vAlign w:val="bottom"/>
          </w:tcPr>
          <w:p w14:paraId="55193A82" w14:textId="22AB1CB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28</w:t>
            </w:r>
          </w:p>
        </w:tc>
        <w:tc>
          <w:tcPr>
            <w:tcW w:w="141" w:type="pct"/>
            <w:tcBorders>
              <w:top w:val="nil"/>
              <w:left w:val="nil"/>
              <w:bottom w:val="nil"/>
              <w:right w:val="nil"/>
            </w:tcBorders>
            <w:shd w:val="clear" w:color="auto" w:fill="auto"/>
            <w:vAlign w:val="bottom"/>
          </w:tcPr>
          <w:p w14:paraId="43E6765A" w14:textId="1979801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89</w:t>
            </w:r>
          </w:p>
        </w:tc>
        <w:tc>
          <w:tcPr>
            <w:tcW w:w="141" w:type="pct"/>
            <w:tcBorders>
              <w:top w:val="nil"/>
              <w:left w:val="nil"/>
              <w:bottom w:val="nil"/>
              <w:right w:val="nil"/>
            </w:tcBorders>
            <w:shd w:val="clear" w:color="auto" w:fill="auto"/>
            <w:vAlign w:val="bottom"/>
          </w:tcPr>
          <w:p w14:paraId="7B572E76" w14:textId="65346DA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148</w:t>
            </w:r>
          </w:p>
        </w:tc>
        <w:tc>
          <w:tcPr>
            <w:tcW w:w="141" w:type="pct"/>
            <w:tcBorders>
              <w:top w:val="nil"/>
              <w:left w:val="nil"/>
              <w:bottom w:val="nil"/>
              <w:right w:val="nil"/>
            </w:tcBorders>
            <w:shd w:val="clear" w:color="auto" w:fill="auto"/>
            <w:vAlign w:val="bottom"/>
          </w:tcPr>
          <w:p w14:paraId="5A9E67EA" w14:textId="275FF52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161</w:t>
            </w:r>
          </w:p>
        </w:tc>
        <w:tc>
          <w:tcPr>
            <w:tcW w:w="141" w:type="pct"/>
            <w:tcBorders>
              <w:top w:val="nil"/>
              <w:left w:val="nil"/>
              <w:bottom w:val="nil"/>
              <w:right w:val="nil"/>
            </w:tcBorders>
            <w:shd w:val="clear" w:color="auto" w:fill="auto"/>
            <w:vAlign w:val="bottom"/>
          </w:tcPr>
          <w:p w14:paraId="0A057060" w14:textId="274C2C8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156</w:t>
            </w:r>
          </w:p>
        </w:tc>
        <w:tc>
          <w:tcPr>
            <w:tcW w:w="141" w:type="pct"/>
            <w:tcBorders>
              <w:top w:val="nil"/>
              <w:left w:val="nil"/>
              <w:bottom w:val="nil"/>
              <w:right w:val="nil"/>
            </w:tcBorders>
            <w:shd w:val="clear" w:color="auto" w:fill="auto"/>
            <w:vAlign w:val="bottom"/>
          </w:tcPr>
          <w:p w14:paraId="0DB4C9BA" w14:textId="36AF1F5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226</w:t>
            </w:r>
          </w:p>
        </w:tc>
        <w:tc>
          <w:tcPr>
            <w:tcW w:w="141" w:type="pct"/>
            <w:tcBorders>
              <w:top w:val="nil"/>
              <w:left w:val="nil"/>
              <w:bottom w:val="nil"/>
              <w:right w:val="nil"/>
            </w:tcBorders>
            <w:shd w:val="clear" w:color="auto" w:fill="auto"/>
            <w:vAlign w:val="bottom"/>
          </w:tcPr>
          <w:p w14:paraId="6BAB968C" w14:textId="7751CA4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337</w:t>
            </w:r>
          </w:p>
        </w:tc>
        <w:tc>
          <w:tcPr>
            <w:tcW w:w="141" w:type="pct"/>
            <w:tcBorders>
              <w:top w:val="nil"/>
              <w:left w:val="nil"/>
              <w:bottom w:val="nil"/>
              <w:right w:val="nil"/>
            </w:tcBorders>
            <w:shd w:val="clear" w:color="auto" w:fill="auto"/>
            <w:vAlign w:val="bottom"/>
          </w:tcPr>
          <w:p w14:paraId="30BB589E" w14:textId="17CA142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385</w:t>
            </w:r>
          </w:p>
        </w:tc>
        <w:tc>
          <w:tcPr>
            <w:tcW w:w="141" w:type="pct"/>
            <w:tcBorders>
              <w:top w:val="nil"/>
              <w:left w:val="nil"/>
              <w:bottom w:val="nil"/>
              <w:right w:val="nil"/>
            </w:tcBorders>
            <w:shd w:val="clear" w:color="auto" w:fill="auto"/>
            <w:vAlign w:val="bottom"/>
          </w:tcPr>
          <w:p w14:paraId="1E4384A2" w14:textId="3E7420D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451</w:t>
            </w:r>
          </w:p>
        </w:tc>
        <w:tc>
          <w:tcPr>
            <w:tcW w:w="141" w:type="pct"/>
            <w:tcBorders>
              <w:top w:val="nil"/>
              <w:left w:val="nil"/>
              <w:bottom w:val="nil"/>
              <w:right w:val="nil"/>
            </w:tcBorders>
            <w:shd w:val="clear" w:color="auto" w:fill="auto"/>
            <w:vAlign w:val="bottom"/>
          </w:tcPr>
          <w:p w14:paraId="1F440F86" w14:textId="081DB26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523</w:t>
            </w:r>
          </w:p>
        </w:tc>
        <w:tc>
          <w:tcPr>
            <w:tcW w:w="141" w:type="pct"/>
            <w:tcBorders>
              <w:top w:val="nil"/>
              <w:left w:val="nil"/>
              <w:bottom w:val="nil"/>
              <w:right w:val="nil"/>
            </w:tcBorders>
            <w:shd w:val="clear" w:color="auto" w:fill="auto"/>
            <w:vAlign w:val="bottom"/>
          </w:tcPr>
          <w:p w14:paraId="111444E6" w14:textId="7652C7E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644</w:t>
            </w:r>
          </w:p>
        </w:tc>
        <w:tc>
          <w:tcPr>
            <w:tcW w:w="141" w:type="pct"/>
            <w:tcBorders>
              <w:top w:val="nil"/>
              <w:left w:val="nil"/>
              <w:bottom w:val="nil"/>
              <w:right w:val="nil"/>
            </w:tcBorders>
            <w:shd w:val="clear" w:color="auto" w:fill="auto"/>
            <w:vAlign w:val="bottom"/>
          </w:tcPr>
          <w:p w14:paraId="51A3EE64" w14:textId="60CBCD9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735</w:t>
            </w:r>
          </w:p>
        </w:tc>
        <w:tc>
          <w:tcPr>
            <w:tcW w:w="141" w:type="pct"/>
            <w:tcBorders>
              <w:top w:val="nil"/>
              <w:left w:val="nil"/>
              <w:bottom w:val="nil"/>
              <w:right w:val="nil"/>
            </w:tcBorders>
            <w:shd w:val="clear" w:color="auto" w:fill="auto"/>
            <w:vAlign w:val="bottom"/>
          </w:tcPr>
          <w:p w14:paraId="18FD4D12" w14:textId="5E9A721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697</w:t>
            </w:r>
          </w:p>
        </w:tc>
        <w:tc>
          <w:tcPr>
            <w:tcW w:w="141" w:type="pct"/>
            <w:tcBorders>
              <w:top w:val="nil"/>
              <w:left w:val="nil"/>
              <w:bottom w:val="nil"/>
              <w:right w:val="nil"/>
            </w:tcBorders>
            <w:shd w:val="clear" w:color="auto" w:fill="auto"/>
            <w:vAlign w:val="bottom"/>
          </w:tcPr>
          <w:p w14:paraId="48825DBE" w14:textId="66181F7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657</w:t>
            </w:r>
          </w:p>
        </w:tc>
        <w:tc>
          <w:tcPr>
            <w:tcW w:w="141" w:type="pct"/>
            <w:tcBorders>
              <w:top w:val="nil"/>
              <w:left w:val="nil"/>
              <w:bottom w:val="nil"/>
              <w:right w:val="nil"/>
            </w:tcBorders>
            <w:shd w:val="clear" w:color="auto" w:fill="auto"/>
            <w:vAlign w:val="bottom"/>
          </w:tcPr>
          <w:p w14:paraId="4C531053" w14:textId="467C182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610</w:t>
            </w:r>
          </w:p>
        </w:tc>
        <w:tc>
          <w:tcPr>
            <w:tcW w:w="141" w:type="pct"/>
            <w:tcBorders>
              <w:top w:val="nil"/>
              <w:left w:val="nil"/>
              <w:bottom w:val="nil"/>
              <w:right w:val="nil"/>
            </w:tcBorders>
            <w:shd w:val="clear" w:color="auto" w:fill="auto"/>
            <w:vAlign w:val="bottom"/>
          </w:tcPr>
          <w:p w14:paraId="29A612E0" w14:textId="21B6AC8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396</w:t>
            </w:r>
          </w:p>
        </w:tc>
        <w:tc>
          <w:tcPr>
            <w:tcW w:w="141" w:type="pct"/>
            <w:tcBorders>
              <w:top w:val="nil"/>
              <w:left w:val="nil"/>
              <w:bottom w:val="nil"/>
              <w:right w:val="nil"/>
            </w:tcBorders>
            <w:shd w:val="clear" w:color="auto" w:fill="auto"/>
            <w:vAlign w:val="bottom"/>
          </w:tcPr>
          <w:p w14:paraId="632EE33B" w14:textId="7805077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100</w:t>
            </w:r>
          </w:p>
        </w:tc>
        <w:tc>
          <w:tcPr>
            <w:tcW w:w="141" w:type="pct"/>
            <w:tcBorders>
              <w:top w:val="nil"/>
              <w:left w:val="nil"/>
              <w:bottom w:val="nil"/>
              <w:right w:val="nil"/>
            </w:tcBorders>
            <w:shd w:val="clear" w:color="auto" w:fill="auto"/>
            <w:vAlign w:val="bottom"/>
          </w:tcPr>
          <w:p w14:paraId="18D02FB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5C26A4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E74CD0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1E9B90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E6CA360"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8C4858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644267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F83D46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F78705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A79F23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34D647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B14368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217D625E"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62336AE4"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69989640"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1DC904E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43CD9165" w14:textId="29EEEE8A"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6343</w:t>
            </w:r>
          </w:p>
        </w:tc>
      </w:tr>
      <w:tr w:rsidR="00F4063A" w:rsidRPr="00F830FB" w14:paraId="025FD533" w14:textId="77777777" w:rsidTr="00F4063A">
        <w:tc>
          <w:tcPr>
            <w:tcW w:w="188" w:type="pct"/>
            <w:tcBorders>
              <w:top w:val="nil"/>
              <w:left w:val="nil"/>
              <w:bottom w:val="nil"/>
              <w:right w:val="nil"/>
            </w:tcBorders>
          </w:tcPr>
          <w:p w14:paraId="49980A0E"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18</w:t>
            </w:r>
          </w:p>
        </w:tc>
        <w:tc>
          <w:tcPr>
            <w:tcW w:w="141" w:type="pct"/>
            <w:tcBorders>
              <w:top w:val="nil"/>
              <w:left w:val="nil"/>
              <w:bottom w:val="nil"/>
              <w:right w:val="nil"/>
            </w:tcBorders>
            <w:shd w:val="clear" w:color="auto" w:fill="auto"/>
            <w:vAlign w:val="bottom"/>
          </w:tcPr>
          <w:p w14:paraId="68C691DA" w14:textId="30546D8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28</w:t>
            </w:r>
          </w:p>
        </w:tc>
        <w:tc>
          <w:tcPr>
            <w:tcW w:w="141" w:type="pct"/>
            <w:tcBorders>
              <w:top w:val="nil"/>
              <w:left w:val="nil"/>
              <w:bottom w:val="nil"/>
              <w:right w:val="nil"/>
            </w:tcBorders>
            <w:shd w:val="clear" w:color="auto" w:fill="auto"/>
            <w:vAlign w:val="bottom"/>
          </w:tcPr>
          <w:p w14:paraId="24D63F13" w14:textId="31FB19B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67</w:t>
            </w:r>
          </w:p>
        </w:tc>
        <w:tc>
          <w:tcPr>
            <w:tcW w:w="141" w:type="pct"/>
            <w:tcBorders>
              <w:top w:val="nil"/>
              <w:left w:val="nil"/>
              <w:bottom w:val="nil"/>
              <w:right w:val="nil"/>
            </w:tcBorders>
            <w:shd w:val="clear" w:color="auto" w:fill="auto"/>
            <w:vAlign w:val="bottom"/>
          </w:tcPr>
          <w:p w14:paraId="4A3E7E70" w14:textId="0915EEA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123</w:t>
            </w:r>
          </w:p>
        </w:tc>
        <w:tc>
          <w:tcPr>
            <w:tcW w:w="141" w:type="pct"/>
            <w:tcBorders>
              <w:top w:val="nil"/>
              <w:left w:val="nil"/>
              <w:bottom w:val="nil"/>
              <w:right w:val="nil"/>
            </w:tcBorders>
            <w:shd w:val="clear" w:color="auto" w:fill="auto"/>
            <w:vAlign w:val="bottom"/>
          </w:tcPr>
          <w:p w14:paraId="5A8573EA" w14:textId="297225F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142</w:t>
            </w:r>
          </w:p>
        </w:tc>
        <w:tc>
          <w:tcPr>
            <w:tcW w:w="141" w:type="pct"/>
            <w:tcBorders>
              <w:top w:val="nil"/>
              <w:left w:val="nil"/>
              <w:bottom w:val="nil"/>
              <w:right w:val="nil"/>
            </w:tcBorders>
            <w:shd w:val="clear" w:color="auto" w:fill="auto"/>
            <w:vAlign w:val="bottom"/>
          </w:tcPr>
          <w:p w14:paraId="4CBCC10F" w14:textId="1B2804C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149</w:t>
            </w:r>
          </w:p>
        </w:tc>
        <w:tc>
          <w:tcPr>
            <w:tcW w:w="141" w:type="pct"/>
            <w:tcBorders>
              <w:top w:val="nil"/>
              <w:left w:val="nil"/>
              <w:bottom w:val="nil"/>
              <w:right w:val="nil"/>
            </w:tcBorders>
            <w:shd w:val="clear" w:color="auto" w:fill="auto"/>
            <w:vAlign w:val="bottom"/>
          </w:tcPr>
          <w:p w14:paraId="00472941" w14:textId="059C2B6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163</w:t>
            </w:r>
          </w:p>
        </w:tc>
        <w:tc>
          <w:tcPr>
            <w:tcW w:w="141" w:type="pct"/>
            <w:tcBorders>
              <w:top w:val="nil"/>
              <w:left w:val="nil"/>
              <w:bottom w:val="nil"/>
              <w:right w:val="nil"/>
            </w:tcBorders>
            <w:shd w:val="clear" w:color="auto" w:fill="auto"/>
            <w:vAlign w:val="bottom"/>
          </w:tcPr>
          <w:p w14:paraId="45065D0F" w14:textId="5339AB5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236</w:t>
            </w:r>
          </w:p>
        </w:tc>
        <w:tc>
          <w:tcPr>
            <w:tcW w:w="141" w:type="pct"/>
            <w:tcBorders>
              <w:top w:val="nil"/>
              <w:left w:val="nil"/>
              <w:bottom w:val="nil"/>
              <w:right w:val="nil"/>
            </w:tcBorders>
            <w:shd w:val="clear" w:color="auto" w:fill="auto"/>
            <w:vAlign w:val="bottom"/>
          </w:tcPr>
          <w:p w14:paraId="202CD601" w14:textId="666F06C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351</w:t>
            </w:r>
          </w:p>
        </w:tc>
        <w:tc>
          <w:tcPr>
            <w:tcW w:w="141" w:type="pct"/>
            <w:tcBorders>
              <w:top w:val="nil"/>
              <w:left w:val="nil"/>
              <w:bottom w:val="nil"/>
              <w:right w:val="nil"/>
            </w:tcBorders>
            <w:shd w:val="clear" w:color="auto" w:fill="auto"/>
            <w:vAlign w:val="bottom"/>
          </w:tcPr>
          <w:p w14:paraId="731AA626" w14:textId="4C64599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402</w:t>
            </w:r>
          </w:p>
        </w:tc>
        <w:tc>
          <w:tcPr>
            <w:tcW w:w="141" w:type="pct"/>
            <w:tcBorders>
              <w:top w:val="nil"/>
              <w:left w:val="nil"/>
              <w:bottom w:val="nil"/>
              <w:right w:val="nil"/>
            </w:tcBorders>
            <w:shd w:val="clear" w:color="auto" w:fill="auto"/>
            <w:vAlign w:val="bottom"/>
          </w:tcPr>
          <w:p w14:paraId="6064EC13" w14:textId="40CDA00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470</w:t>
            </w:r>
          </w:p>
        </w:tc>
        <w:tc>
          <w:tcPr>
            <w:tcW w:w="141" w:type="pct"/>
            <w:tcBorders>
              <w:top w:val="nil"/>
              <w:left w:val="nil"/>
              <w:bottom w:val="nil"/>
              <w:right w:val="nil"/>
            </w:tcBorders>
            <w:shd w:val="clear" w:color="auto" w:fill="auto"/>
            <w:vAlign w:val="bottom"/>
          </w:tcPr>
          <w:p w14:paraId="1AC180E0" w14:textId="2B81839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545</w:t>
            </w:r>
          </w:p>
        </w:tc>
        <w:tc>
          <w:tcPr>
            <w:tcW w:w="141" w:type="pct"/>
            <w:tcBorders>
              <w:top w:val="nil"/>
              <w:left w:val="nil"/>
              <w:bottom w:val="nil"/>
              <w:right w:val="nil"/>
            </w:tcBorders>
            <w:shd w:val="clear" w:color="auto" w:fill="auto"/>
            <w:vAlign w:val="bottom"/>
          </w:tcPr>
          <w:p w14:paraId="0C79E167" w14:textId="22A1F72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672</w:t>
            </w:r>
          </w:p>
        </w:tc>
        <w:tc>
          <w:tcPr>
            <w:tcW w:w="141" w:type="pct"/>
            <w:tcBorders>
              <w:top w:val="nil"/>
              <w:left w:val="nil"/>
              <w:bottom w:val="nil"/>
              <w:right w:val="nil"/>
            </w:tcBorders>
            <w:shd w:val="clear" w:color="auto" w:fill="auto"/>
            <w:vAlign w:val="bottom"/>
          </w:tcPr>
          <w:p w14:paraId="3AC8DF98" w14:textId="3A94191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766</w:t>
            </w:r>
          </w:p>
        </w:tc>
        <w:tc>
          <w:tcPr>
            <w:tcW w:w="141" w:type="pct"/>
            <w:tcBorders>
              <w:top w:val="nil"/>
              <w:left w:val="nil"/>
              <w:bottom w:val="nil"/>
              <w:right w:val="nil"/>
            </w:tcBorders>
            <w:shd w:val="clear" w:color="auto" w:fill="auto"/>
            <w:vAlign w:val="bottom"/>
          </w:tcPr>
          <w:p w14:paraId="4736A661" w14:textId="6280234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726</w:t>
            </w:r>
          </w:p>
        </w:tc>
        <w:tc>
          <w:tcPr>
            <w:tcW w:w="141" w:type="pct"/>
            <w:tcBorders>
              <w:top w:val="nil"/>
              <w:left w:val="nil"/>
              <w:bottom w:val="nil"/>
              <w:right w:val="nil"/>
            </w:tcBorders>
            <w:shd w:val="clear" w:color="auto" w:fill="auto"/>
            <w:vAlign w:val="bottom"/>
          </w:tcPr>
          <w:p w14:paraId="1699C11D" w14:textId="68D6453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664</w:t>
            </w:r>
          </w:p>
        </w:tc>
        <w:tc>
          <w:tcPr>
            <w:tcW w:w="141" w:type="pct"/>
            <w:tcBorders>
              <w:top w:val="nil"/>
              <w:left w:val="nil"/>
              <w:bottom w:val="nil"/>
              <w:right w:val="nil"/>
            </w:tcBorders>
            <w:shd w:val="clear" w:color="auto" w:fill="auto"/>
            <w:vAlign w:val="bottom"/>
          </w:tcPr>
          <w:p w14:paraId="23924244" w14:textId="7F293FF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595</w:t>
            </w:r>
          </w:p>
        </w:tc>
        <w:tc>
          <w:tcPr>
            <w:tcW w:w="141" w:type="pct"/>
            <w:tcBorders>
              <w:top w:val="nil"/>
              <w:left w:val="nil"/>
              <w:bottom w:val="nil"/>
              <w:right w:val="nil"/>
            </w:tcBorders>
            <w:shd w:val="clear" w:color="auto" w:fill="auto"/>
            <w:vAlign w:val="bottom"/>
          </w:tcPr>
          <w:p w14:paraId="3D04DE2E" w14:textId="6C86E3E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386</w:t>
            </w:r>
          </w:p>
        </w:tc>
        <w:tc>
          <w:tcPr>
            <w:tcW w:w="141" w:type="pct"/>
            <w:tcBorders>
              <w:top w:val="nil"/>
              <w:left w:val="nil"/>
              <w:bottom w:val="nil"/>
              <w:right w:val="nil"/>
            </w:tcBorders>
            <w:shd w:val="clear" w:color="auto" w:fill="auto"/>
            <w:vAlign w:val="bottom"/>
          </w:tcPr>
          <w:p w14:paraId="7ECC5C61" w14:textId="0DE20FB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97</w:t>
            </w:r>
          </w:p>
        </w:tc>
        <w:tc>
          <w:tcPr>
            <w:tcW w:w="141" w:type="pct"/>
            <w:tcBorders>
              <w:top w:val="nil"/>
              <w:left w:val="nil"/>
              <w:bottom w:val="nil"/>
              <w:right w:val="nil"/>
            </w:tcBorders>
            <w:shd w:val="clear" w:color="auto" w:fill="auto"/>
            <w:vAlign w:val="bottom"/>
          </w:tcPr>
          <w:p w14:paraId="0100F4F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CC3829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375142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D91E2F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0BDA71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6BFEEC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C37A96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E6A047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43A50B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C36CC7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D4E476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6F16C66F"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57C7862F"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1C73AEA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1CFF7CD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1064B426" w14:textId="4E41DD4D"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6582</w:t>
            </w:r>
          </w:p>
        </w:tc>
      </w:tr>
      <w:tr w:rsidR="00F4063A" w:rsidRPr="00F830FB" w14:paraId="1E14D0FC" w14:textId="77777777" w:rsidTr="00F4063A">
        <w:tc>
          <w:tcPr>
            <w:tcW w:w="188" w:type="pct"/>
            <w:tcBorders>
              <w:top w:val="nil"/>
              <w:left w:val="nil"/>
              <w:bottom w:val="nil"/>
              <w:right w:val="nil"/>
            </w:tcBorders>
          </w:tcPr>
          <w:p w14:paraId="3182AC44"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19</w:t>
            </w:r>
          </w:p>
        </w:tc>
        <w:tc>
          <w:tcPr>
            <w:tcW w:w="141" w:type="pct"/>
            <w:tcBorders>
              <w:top w:val="nil"/>
              <w:left w:val="nil"/>
              <w:bottom w:val="nil"/>
              <w:right w:val="nil"/>
            </w:tcBorders>
            <w:shd w:val="clear" w:color="auto" w:fill="auto"/>
            <w:vAlign w:val="bottom"/>
          </w:tcPr>
          <w:p w14:paraId="7D178305" w14:textId="694CCE3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27</w:t>
            </w:r>
          </w:p>
        </w:tc>
        <w:tc>
          <w:tcPr>
            <w:tcW w:w="141" w:type="pct"/>
            <w:tcBorders>
              <w:top w:val="nil"/>
              <w:left w:val="nil"/>
              <w:bottom w:val="nil"/>
              <w:right w:val="nil"/>
            </w:tcBorders>
            <w:shd w:val="clear" w:color="auto" w:fill="auto"/>
            <w:vAlign w:val="bottom"/>
          </w:tcPr>
          <w:p w14:paraId="0A0A5141" w14:textId="428EFD9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67</w:t>
            </w:r>
          </w:p>
        </w:tc>
        <w:tc>
          <w:tcPr>
            <w:tcW w:w="141" w:type="pct"/>
            <w:tcBorders>
              <w:top w:val="nil"/>
              <w:left w:val="nil"/>
              <w:bottom w:val="nil"/>
              <w:right w:val="nil"/>
            </w:tcBorders>
            <w:shd w:val="clear" w:color="auto" w:fill="auto"/>
            <w:vAlign w:val="bottom"/>
          </w:tcPr>
          <w:p w14:paraId="48DBD699" w14:textId="02A3C19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92</w:t>
            </w:r>
          </w:p>
        </w:tc>
        <w:tc>
          <w:tcPr>
            <w:tcW w:w="141" w:type="pct"/>
            <w:tcBorders>
              <w:top w:val="nil"/>
              <w:left w:val="nil"/>
              <w:bottom w:val="nil"/>
              <w:right w:val="nil"/>
            </w:tcBorders>
            <w:shd w:val="clear" w:color="auto" w:fill="auto"/>
            <w:vAlign w:val="bottom"/>
          </w:tcPr>
          <w:p w14:paraId="34C476F6" w14:textId="5F46334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118</w:t>
            </w:r>
          </w:p>
        </w:tc>
        <w:tc>
          <w:tcPr>
            <w:tcW w:w="141" w:type="pct"/>
            <w:tcBorders>
              <w:top w:val="nil"/>
              <w:left w:val="nil"/>
              <w:bottom w:val="nil"/>
              <w:right w:val="nil"/>
            </w:tcBorders>
            <w:shd w:val="clear" w:color="auto" w:fill="auto"/>
            <w:vAlign w:val="bottom"/>
          </w:tcPr>
          <w:p w14:paraId="70148ADD" w14:textId="232A86A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131</w:t>
            </w:r>
          </w:p>
        </w:tc>
        <w:tc>
          <w:tcPr>
            <w:tcW w:w="141" w:type="pct"/>
            <w:tcBorders>
              <w:top w:val="nil"/>
              <w:left w:val="nil"/>
              <w:bottom w:val="nil"/>
              <w:right w:val="nil"/>
            </w:tcBorders>
            <w:shd w:val="clear" w:color="auto" w:fill="auto"/>
            <w:vAlign w:val="bottom"/>
          </w:tcPr>
          <w:p w14:paraId="5F2035C5" w14:textId="5E946E5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155</w:t>
            </w:r>
          </w:p>
        </w:tc>
        <w:tc>
          <w:tcPr>
            <w:tcW w:w="141" w:type="pct"/>
            <w:tcBorders>
              <w:top w:val="nil"/>
              <w:left w:val="nil"/>
              <w:bottom w:val="nil"/>
              <w:right w:val="nil"/>
            </w:tcBorders>
            <w:shd w:val="clear" w:color="auto" w:fill="auto"/>
            <w:vAlign w:val="bottom"/>
          </w:tcPr>
          <w:p w14:paraId="71BBBF93" w14:textId="7F59BC4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169</w:t>
            </w:r>
          </w:p>
        </w:tc>
        <w:tc>
          <w:tcPr>
            <w:tcW w:w="141" w:type="pct"/>
            <w:tcBorders>
              <w:top w:val="nil"/>
              <w:left w:val="nil"/>
              <w:bottom w:val="nil"/>
              <w:right w:val="nil"/>
            </w:tcBorders>
            <w:shd w:val="clear" w:color="auto" w:fill="auto"/>
            <w:vAlign w:val="bottom"/>
          </w:tcPr>
          <w:p w14:paraId="4AB151A7" w14:textId="30998E6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246</w:t>
            </w:r>
          </w:p>
        </w:tc>
        <w:tc>
          <w:tcPr>
            <w:tcW w:w="141" w:type="pct"/>
            <w:tcBorders>
              <w:top w:val="nil"/>
              <w:left w:val="nil"/>
              <w:bottom w:val="nil"/>
              <w:right w:val="nil"/>
            </w:tcBorders>
            <w:shd w:val="clear" w:color="auto" w:fill="auto"/>
            <w:vAlign w:val="bottom"/>
          </w:tcPr>
          <w:p w14:paraId="0F965933" w14:textId="0DF889F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366</w:t>
            </w:r>
          </w:p>
        </w:tc>
        <w:tc>
          <w:tcPr>
            <w:tcW w:w="141" w:type="pct"/>
            <w:tcBorders>
              <w:top w:val="nil"/>
              <w:left w:val="nil"/>
              <w:bottom w:val="nil"/>
              <w:right w:val="nil"/>
            </w:tcBorders>
            <w:shd w:val="clear" w:color="auto" w:fill="auto"/>
            <w:vAlign w:val="bottom"/>
          </w:tcPr>
          <w:p w14:paraId="15E8B1BA" w14:textId="12D28BD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419</w:t>
            </w:r>
          </w:p>
        </w:tc>
        <w:tc>
          <w:tcPr>
            <w:tcW w:w="141" w:type="pct"/>
            <w:tcBorders>
              <w:top w:val="nil"/>
              <w:left w:val="nil"/>
              <w:bottom w:val="nil"/>
              <w:right w:val="nil"/>
            </w:tcBorders>
            <w:shd w:val="clear" w:color="auto" w:fill="auto"/>
            <w:vAlign w:val="bottom"/>
          </w:tcPr>
          <w:p w14:paraId="1AF6E8E4" w14:textId="324ADA1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490</w:t>
            </w:r>
          </w:p>
        </w:tc>
        <w:tc>
          <w:tcPr>
            <w:tcW w:w="141" w:type="pct"/>
            <w:tcBorders>
              <w:top w:val="nil"/>
              <w:left w:val="nil"/>
              <w:bottom w:val="nil"/>
              <w:right w:val="nil"/>
            </w:tcBorders>
            <w:shd w:val="clear" w:color="auto" w:fill="auto"/>
            <w:vAlign w:val="bottom"/>
          </w:tcPr>
          <w:p w14:paraId="0D512EC6" w14:textId="7C9EA12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568</w:t>
            </w:r>
          </w:p>
        </w:tc>
        <w:tc>
          <w:tcPr>
            <w:tcW w:w="141" w:type="pct"/>
            <w:tcBorders>
              <w:top w:val="nil"/>
              <w:left w:val="nil"/>
              <w:bottom w:val="nil"/>
              <w:right w:val="nil"/>
            </w:tcBorders>
            <w:shd w:val="clear" w:color="auto" w:fill="auto"/>
            <w:vAlign w:val="bottom"/>
          </w:tcPr>
          <w:p w14:paraId="7E7C2164" w14:textId="6C98BFA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700</w:t>
            </w:r>
          </w:p>
        </w:tc>
        <w:tc>
          <w:tcPr>
            <w:tcW w:w="141" w:type="pct"/>
            <w:tcBorders>
              <w:top w:val="nil"/>
              <w:left w:val="nil"/>
              <w:bottom w:val="nil"/>
              <w:right w:val="nil"/>
            </w:tcBorders>
            <w:shd w:val="clear" w:color="auto" w:fill="auto"/>
            <w:vAlign w:val="bottom"/>
          </w:tcPr>
          <w:p w14:paraId="7B19F3C2" w14:textId="3AFDB1A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799</w:t>
            </w:r>
          </w:p>
        </w:tc>
        <w:tc>
          <w:tcPr>
            <w:tcW w:w="141" w:type="pct"/>
            <w:tcBorders>
              <w:top w:val="nil"/>
              <w:left w:val="nil"/>
              <w:bottom w:val="nil"/>
              <w:right w:val="nil"/>
            </w:tcBorders>
            <w:shd w:val="clear" w:color="auto" w:fill="auto"/>
            <w:vAlign w:val="bottom"/>
          </w:tcPr>
          <w:p w14:paraId="2DA95230" w14:textId="50DEB9A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734</w:t>
            </w:r>
          </w:p>
        </w:tc>
        <w:tc>
          <w:tcPr>
            <w:tcW w:w="141" w:type="pct"/>
            <w:tcBorders>
              <w:top w:val="nil"/>
              <w:left w:val="nil"/>
              <w:bottom w:val="nil"/>
              <w:right w:val="nil"/>
            </w:tcBorders>
            <w:shd w:val="clear" w:color="auto" w:fill="auto"/>
            <w:vAlign w:val="bottom"/>
          </w:tcPr>
          <w:p w14:paraId="53C2C6E4" w14:textId="0B85C51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648</w:t>
            </w:r>
          </w:p>
        </w:tc>
        <w:tc>
          <w:tcPr>
            <w:tcW w:w="141" w:type="pct"/>
            <w:tcBorders>
              <w:top w:val="nil"/>
              <w:left w:val="nil"/>
              <w:bottom w:val="nil"/>
              <w:right w:val="nil"/>
            </w:tcBorders>
            <w:shd w:val="clear" w:color="auto" w:fill="auto"/>
            <w:vAlign w:val="bottom"/>
          </w:tcPr>
          <w:p w14:paraId="7254EF4B" w14:textId="25E5DEE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580</w:t>
            </w:r>
          </w:p>
        </w:tc>
        <w:tc>
          <w:tcPr>
            <w:tcW w:w="141" w:type="pct"/>
            <w:tcBorders>
              <w:top w:val="nil"/>
              <w:left w:val="nil"/>
              <w:bottom w:val="nil"/>
              <w:right w:val="nil"/>
            </w:tcBorders>
            <w:shd w:val="clear" w:color="auto" w:fill="auto"/>
            <w:vAlign w:val="bottom"/>
          </w:tcPr>
          <w:p w14:paraId="3F6D019D" w14:textId="7EA48FC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376</w:t>
            </w:r>
          </w:p>
        </w:tc>
        <w:tc>
          <w:tcPr>
            <w:tcW w:w="141" w:type="pct"/>
            <w:tcBorders>
              <w:top w:val="nil"/>
              <w:left w:val="nil"/>
              <w:bottom w:val="nil"/>
              <w:right w:val="nil"/>
            </w:tcBorders>
            <w:shd w:val="clear" w:color="auto" w:fill="auto"/>
            <w:vAlign w:val="bottom"/>
          </w:tcPr>
          <w:p w14:paraId="53E3B721" w14:textId="0A2C423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95</w:t>
            </w:r>
          </w:p>
        </w:tc>
        <w:tc>
          <w:tcPr>
            <w:tcW w:w="141" w:type="pct"/>
            <w:tcBorders>
              <w:top w:val="nil"/>
              <w:left w:val="nil"/>
              <w:bottom w:val="nil"/>
              <w:right w:val="nil"/>
            </w:tcBorders>
            <w:shd w:val="clear" w:color="auto" w:fill="auto"/>
            <w:vAlign w:val="bottom"/>
          </w:tcPr>
          <w:p w14:paraId="61F557A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C31C79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CC2BEB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61BBB5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0EFB7C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76B053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FB415B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AB1647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2692857"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73D610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58C03810"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61339494"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12D7D8A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7D9EF47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5615D18C" w14:textId="4FD3C384"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6780</w:t>
            </w:r>
          </w:p>
        </w:tc>
      </w:tr>
      <w:tr w:rsidR="00F4063A" w:rsidRPr="00F830FB" w14:paraId="20990D1C" w14:textId="77777777" w:rsidTr="00F4063A">
        <w:tc>
          <w:tcPr>
            <w:tcW w:w="188" w:type="pct"/>
            <w:tcBorders>
              <w:top w:val="nil"/>
              <w:left w:val="nil"/>
              <w:bottom w:val="nil"/>
              <w:right w:val="nil"/>
            </w:tcBorders>
          </w:tcPr>
          <w:p w14:paraId="1FA22752"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20</w:t>
            </w:r>
          </w:p>
        </w:tc>
        <w:tc>
          <w:tcPr>
            <w:tcW w:w="141" w:type="pct"/>
            <w:tcBorders>
              <w:top w:val="nil"/>
              <w:left w:val="nil"/>
              <w:bottom w:val="nil"/>
              <w:right w:val="nil"/>
            </w:tcBorders>
            <w:shd w:val="clear" w:color="auto" w:fill="auto"/>
            <w:vAlign w:val="bottom"/>
          </w:tcPr>
          <w:p w14:paraId="2ACB2B1D" w14:textId="317BE32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30</w:t>
            </w:r>
          </w:p>
        </w:tc>
        <w:tc>
          <w:tcPr>
            <w:tcW w:w="141" w:type="pct"/>
            <w:tcBorders>
              <w:top w:val="nil"/>
              <w:left w:val="nil"/>
              <w:bottom w:val="nil"/>
              <w:right w:val="nil"/>
            </w:tcBorders>
            <w:shd w:val="clear" w:color="auto" w:fill="auto"/>
            <w:vAlign w:val="bottom"/>
          </w:tcPr>
          <w:p w14:paraId="4F41C576" w14:textId="78C5EAA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63</w:t>
            </w:r>
          </w:p>
        </w:tc>
        <w:tc>
          <w:tcPr>
            <w:tcW w:w="141" w:type="pct"/>
            <w:tcBorders>
              <w:top w:val="nil"/>
              <w:left w:val="nil"/>
              <w:bottom w:val="nil"/>
              <w:right w:val="nil"/>
            </w:tcBorders>
            <w:shd w:val="clear" w:color="auto" w:fill="auto"/>
            <w:vAlign w:val="bottom"/>
          </w:tcPr>
          <w:p w14:paraId="2941161D" w14:textId="5BC86EF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93</w:t>
            </w:r>
          </w:p>
        </w:tc>
        <w:tc>
          <w:tcPr>
            <w:tcW w:w="141" w:type="pct"/>
            <w:tcBorders>
              <w:top w:val="nil"/>
              <w:left w:val="nil"/>
              <w:bottom w:val="nil"/>
              <w:right w:val="nil"/>
            </w:tcBorders>
            <w:shd w:val="clear" w:color="auto" w:fill="auto"/>
            <w:vAlign w:val="bottom"/>
          </w:tcPr>
          <w:p w14:paraId="40FA0CA2" w14:textId="3357149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88</w:t>
            </w:r>
          </w:p>
        </w:tc>
        <w:tc>
          <w:tcPr>
            <w:tcW w:w="141" w:type="pct"/>
            <w:tcBorders>
              <w:top w:val="nil"/>
              <w:left w:val="nil"/>
              <w:bottom w:val="nil"/>
              <w:right w:val="nil"/>
            </w:tcBorders>
            <w:shd w:val="clear" w:color="auto" w:fill="auto"/>
            <w:vAlign w:val="bottom"/>
          </w:tcPr>
          <w:p w14:paraId="53C3823C" w14:textId="2EBCAFA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109</w:t>
            </w:r>
          </w:p>
        </w:tc>
        <w:tc>
          <w:tcPr>
            <w:tcW w:w="141" w:type="pct"/>
            <w:tcBorders>
              <w:top w:val="nil"/>
              <w:left w:val="nil"/>
              <w:bottom w:val="nil"/>
              <w:right w:val="nil"/>
            </w:tcBorders>
            <w:shd w:val="clear" w:color="auto" w:fill="auto"/>
            <w:vAlign w:val="bottom"/>
          </w:tcPr>
          <w:p w14:paraId="0E681A68" w14:textId="319525D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137</w:t>
            </w:r>
          </w:p>
        </w:tc>
        <w:tc>
          <w:tcPr>
            <w:tcW w:w="141" w:type="pct"/>
            <w:tcBorders>
              <w:top w:val="nil"/>
              <w:left w:val="nil"/>
              <w:bottom w:val="nil"/>
              <w:right w:val="nil"/>
            </w:tcBorders>
            <w:shd w:val="clear" w:color="auto" w:fill="auto"/>
            <w:vAlign w:val="bottom"/>
          </w:tcPr>
          <w:p w14:paraId="4AC9BCC1" w14:textId="41DA731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161</w:t>
            </w:r>
          </w:p>
        </w:tc>
        <w:tc>
          <w:tcPr>
            <w:tcW w:w="141" w:type="pct"/>
            <w:tcBorders>
              <w:top w:val="nil"/>
              <w:left w:val="nil"/>
              <w:bottom w:val="nil"/>
              <w:right w:val="nil"/>
            </w:tcBorders>
            <w:shd w:val="clear" w:color="auto" w:fill="auto"/>
            <w:vAlign w:val="bottom"/>
          </w:tcPr>
          <w:p w14:paraId="385B2210" w14:textId="747E111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177</w:t>
            </w:r>
          </w:p>
        </w:tc>
        <w:tc>
          <w:tcPr>
            <w:tcW w:w="141" w:type="pct"/>
            <w:tcBorders>
              <w:top w:val="nil"/>
              <w:left w:val="nil"/>
              <w:bottom w:val="nil"/>
              <w:right w:val="nil"/>
            </w:tcBorders>
            <w:shd w:val="clear" w:color="auto" w:fill="auto"/>
            <w:vAlign w:val="bottom"/>
          </w:tcPr>
          <w:p w14:paraId="1B369383" w14:textId="2362BA7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256</w:t>
            </w:r>
          </w:p>
        </w:tc>
        <w:tc>
          <w:tcPr>
            <w:tcW w:w="141" w:type="pct"/>
            <w:tcBorders>
              <w:top w:val="nil"/>
              <w:left w:val="nil"/>
              <w:bottom w:val="nil"/>
              <w:right w:val="nil"/>
            </w:tcBorders>
            <w:shd w:val="clear" w:color="auto" w:fill="auto"/>
            <w:vAlign w:val="bottom"/>
          </w:tcPr>
          <w:p w14:paraId="17C5B7F3" w14:textId="1D97F45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382</w:t>
            </w:r>
          </w:p>
        </w:tc>
        <w:tc>
          <w:tcPr>
            <w:tcW w:w="141" w:type="pct"/>
            <w:tcBorders>
              <w:top w:val="nil"/>
              <w:left w:val="nil"/>
              <w:bottom w:val="nil"/>
              <w:right w:val="nil"/>
            </w:tcBorders>
            <w:shd w:val="clear" w:color="auto" w:fill="auto"/>
            <w:vAlign w:val="bottom"/>
          </w:tcPr>
          <w:p w14:paraId="172E90F7" w14:textId="6985A5A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436</w:t>
            </w:r>
          </w:p>
        </w:tc>
        <w:tc>
          <w:tcPr>
            <w:tcW w:w="141" w:type="pct"/>
            <w:tcBorders>
              <w:top w:val="nil"/>
              <w:left w:val="nil"/>
              <w:bottom w:val="nil"/>
              <w:right w:val="nil"/>
            </w:tcBorders>
            <w:shd w:val="clear" w:color="auto" w:fill="auto"/>
            <w:vAlign w:val="bottom"/>
          </w:tcPr>
          <w:p w14:paraId="707C033B" w14:textId="47305DF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510</w:t>
            </w:r>
          </w:p>
        </w:tc>
        <w:tc>
          <w:tcPr>
            <w:tcW w:w="141" w:type="pct"/>
            <w:tcBorders>
              <w:top w:val="nil"/>
              <w:left w:val="nil"/>
              <w:bottom w:val="nil"/>
              <w:right w:val="nil"/>
            </w:tcBorders>
            <w:shd w:val="clear" w:color="auto" w:fill="auto"/>
            <w:vAlign w:val="bottom"/>
          </w:tcPr>
          <w:p w14:paraId="6094F4C7" w14:textId="2591C15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592</w:t>
            </w:r>
          </w:p>
        </w:tc>
        <w:tc>
          <w:tcPr>
            <w:tcW w:w="141" w:type="pct"/>
            <w:tcBorders>
              <w:top w:val="nil"/>
              <w:left w:val="nil"/>
              <w:bottom w:val="nil"/>
              <w:right w:val="nil"/>
            </w:tcBorders>
            <w:shd w:val="clear" w:color="auto" w:fill="auto"/>
            <w:vAlign w:val="bottom"/>
          </w:tcPr>
          <w:p w14:paraId="4D7F6A5B" w14:textId="63B2328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730</w:t>
            </w:r>
          </w:p>
        </w:tc>
        <w:tc>
          <w:tcPr>
            <w:tcW w:w="141" w:type="pct"/>
            <w:tcBorders>
              <w:top w:val="nil"/>
              <w:left w:val="nil"/>
              <w:bottom w:val="nil"/>
              <w:right w:val="nil"/>
            </w:tcBorders>
            <w:shd w:val="clear" w:color="auto" w:fill="auto"/>
            <w:vAlign w:val="bottom"/>
          </w:tcPr>
          <w:p w14:paraId="2C200CC3" w14:textId="4649CA7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808</w:t>
            </w:r>
          </w:p>
        </w:tc>
        <w:tc>
          <w:tcPr>
            <w:tcW w:w="141" w:type="pct"/>
            <w:tcBorders>
              <w:top w:val="nil"/>
              <w:left w:val="nil"/>
              <w:bottom w:val="nil"/>
              <w:right w:val="nil"/>
            </w:tcBorders>
            <w:shd w:val="clear" w:color="auto" w:fill="auto"/>
            <w:vAlign w:val="bottom"/>
          </w:tcPr>
          <w:p w14:paraId="6496574D" w14:textId="4DD0F3C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717</w:t>
            </w:r>
          </w:p>
        </w:tc>
        <w:tc>
          <w:tcPr>
            <w:tcW w:w="141" w:type="pct"/>
            <w:tcBorders>
              <w:top w:val="nil"/>
              <w:left w:val="nil"/>
              <w:bottom w:val="nil"/>
              <w:right w:val="nil"/>
            </w:tcBorders>
            <w:shd w:val="clear" w:color="auto" w:fill="auto"/>
            <w:vAlign w:val="bottom"/>
          </w:tcPr>
          <w:p w14:paraId="76A0033B" w14:textId="6424758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632</w:t>
            </w:r>
          </w:p>
        </w:tc>
        <w:tc>
          <w:tcPr>
            <w:tcW w:w="141" w:type="pct"/>
            <w:tcBorders>
              <w:top w:val="nil"/>
              <w:left w:val="nil"/>
              <w:bottom w:val="nil"/>
              <w:right w:val="nil"/>
            </w:tcBorders>
            <w:shd w:val="clear" w:color="auto" w:fill="auto"/>
            <w:vAlign w:val="bottom"/>
          </w:tcPr>
          <w:p w14:paraId="73A8DB9A" w14:textId="65BE89C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564</w:t>
            </w:r>
          </w:p>
        </w:tc>
        <w:tc>
          <w:tcPr>
            <w:tcW w:w="141" w:type="pct"/>
            <w:tcBorders>
              <w:top w:val="nil"/>
              <w:left w:val="nil"/>
              <w:bottom w:val="nil"/>
              <w:right w:val="nil"/>
            </w:tcBorders>
            <w:shd w:val="clear" w:color="auto" w:fill="auto"/>
            <w:vAlign w:val="bottom"/>
          </w:tcPr>
          <w:p w14:paraId="2FFD95D0" w14:textId="59B84BD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365</w:t>
            </w:r>
          </w:p>
        </w:tc>
        <w:tc>
          <w:tcPr>
            <w:tcW w:w="141" w:type="pct"/>
            <w:tcBorders>
              <w:top w:val="nil"/>
              <w:left w:val="nil"/>
              <w:bottom w:val="nil"/>
              <w:right w:val="nil"/>
            </w:tcBorders>
            <w:shd w:val="clear" w:color="auto" w:fill="auto"/>
            <w:vAlign w:val="bottom"/>
          </w:tcPr>
          <w:p w14:paraId="2E691193" w14:textId="0E41776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92</w:t>
            </w:r>
          </w:p>
        </w:tc>
        <w:tc>
          <w:tcPr>
            <w:tcW w:w="141" w:type="pct"/>
            <w:tcBorders>
              <w:top w:val="nil"/>
              <w:left w:val="nil"/>
              <w:bottom w:val="nil"/>
              <w:right w:val="nil"/>
            </w:tcBorders>
            <w:shd w:val="clear" w:color="auto" w:fill="auto"/>
            <w:vAlign w:val="bottom"/>
          </w:tcPr>
          <w:p w14:paraId="0FD3F30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11FC12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A415B3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856393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EDD7E5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245CD5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AE4543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480476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84047C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150FA0AD"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1393C379"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26BEBC6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7E4E347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193EFDBD" w14:textId="0A00720D"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6942</w:t>
            </w:r>
          </w:p>
        </w:tc>
      </w:tr>
      <w:tr w:rsidR="00F4063A" w:rsidRPr="00F830FB" w14:paraId="46121F40" w14:textId="77777777" w:rsidTr="00F4063A">
        <w:tc>
          <w:tcPr>
            <w:tcW w:w="188" w:type="pct"/>
            <w:tcBorders>
              <w:top w:val="nil"/>
              <w:left w:val="nil"/>
              <w:bottom w:val="nil"/>
              <w:right w:val="nil"/>
            </w:tcBorders>
          </w:tcPr>
          <w:p w14:paraId="2A98AFA8"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21</w:t>
            </w:r>
          </w:p>
        </w:tc>
        <w:tc>
          <w:tcPr>
            <w:tcW w:w="141" w:type="pct"/>
            <w:tcBorders>
              <w:top w:val="nil"/>
              <w:left w:val="nil"/>
              <w:bottom w:val="nil"/>
              <w:right w:val="nil"/>
            </w:tcBorders>
            <w:shd w:val="clear" w:color="auto" w:fill="auto"/>
            <w:vAlign w:val="bottom"/>
          </w:tcPr>
          <w:p w14:paraId="3E979A9F" w14:textId="17AC781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29</w:t>
            </w:r>
          </w:p>
        </w:tc>
        <w:tc>
          <w:tcPr>
            <w:tcW w:w="141" w:type="pct"/>
            <w:tcBorders>
              <w:top w:val="nil"/>
              <w:left w:val="nil"/>
              <w:bottom w:val="nil"/>
              <w:right w:val="nil"/>
            </w:tcBorders>
            <w:shd w:val="clear" w:color="auto" w:fill="auto"/>
            <w:vAlign w:val="bottom"/>
          </w:tcPr>
          <w:p w14:paraId="59139064" w14:textId="4E88921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70</w:t>
            </w:r>
          </w:p>
        </w:tc>
        <w:tc>
          <w:tcPr>
            <w:tcW w:w="141" w:type="pct"/>
            <w:tcBorders>
              <w:top w:val="nil"/>
              <w:left w:val="nil"/>
              <w:bottom w:val="nil"/>
              <w:right w:val="nil"/>
            </w:tcBorders>
            <w:shd w:val="clear" w:color="auto" w:fill="auto"/>
            <w:vAlign w:val="bottom"/>
          </w:tcPr>
          <w:p w14:paraId="5E9722DE" w14:textId="6859D7A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87</w:t>
            </w:r>
          </w:p>
        </w:tc>
        <w:tc>
          <w:tcPr>
            <w:tcW w:w="141" w:type="pct"/>
            <w:tcBorders>
              <w:top w:val="nil"/>
              <w:left w:val="nil"/>
              <w:bottom w:val="nil"/>
              <w:right w:val="nil"/>
            </w:tcBorders>
            <w:shd w:val="clear" w:color="auto" w:fill="auto"/>
            <w:vAlign w:val="bottom"/>
          </w:tcPr>
          <w:p w14:paraId="672196FB" w14:textId="59B3AE5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89</w:t>
            </w:r>
          </w:p>
        </w:tc>
        <w:tc>
          <w:tcPr>
            <w:tcW w:w="141" w:type="pct"/>
            <w:tcBorders>
              <w:top w:val="nil"/>
              <w:left w:val="nil"/>
              <w:bottom w:val="nil"/>
              <w:right w:val="nil"/>
            </w:tcBorders>
            <w:shd w:val="clear" w:color="auto" w:fill="auto"/>
            <w:vAlign w:val="bottom"/>
          </w:tcPr>
          <w:p w14:paraId="0EAA1073" w14:textId="5D34E73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81</w:t>
            </w:r>
          </w:p>
        </w:tc>
        <w:tc>
          <w:tcPr>
            <w:tcW w:w="141" w:type="pct"/>
            <w:tcBorders>
              <w:top w:val="nil"/>
              <w:left w:val="nil"/>
              <w:bottom w:val="nil"/>
              <w:right w:val="nil"/>
            </w:tcBorders>
            <w:shd w:val="clear" w:color="auto" w:fill="auto"/>
            <w:vAlign w:val="bottom"/>
          </w:tcPr>
          <w:p w14:paraId="2D45C985" w14:textId="17E964D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113</w:t>
            </w:r>
          </w:p>
        </w:tc>
        <w:tc>
          <w:tcPr>
            <w:tcW w:w="141" w:type="pct"/>
            <w:tcBorders>
              <w:top w:val="nil"/>
              <w:left w:val="nil"/>
              <w:bottom w:val="nil"/>
              <w:right w:val="nil"/>
            </w:tcBorders>
            <w:shd w:val="clear" w:color="auto" w:fill="auto"/>
            <w:vAlign w:val="bottom"/>
          </w:tcPr>
          <w:p w14:paraId="6950C091" w14:textId="6FCE609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143</w:t>
            </w:r>
          </w:p>
        </w:tc>
        <w:tc>
          <w:tcPr>
            <w:tcW w:w="141" w:type="pct"/>
            <w:tcBorders>
              <w:top w:val="nil"/>
              <w:left w:val="nil"/>
              <w:bottom w:val="nil"/>
              <w:right w:val="nil"/>
            </w:tcBorders>
            <w:shd w:val="clear" w:color="auto" w:fill="auto"/>
            <w:vAlign w:val="bottom"/>
          </w:tcPr>
          <w:p w14:paraId="59F85EEE" w14:textId="5B5DAFC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168</w:t>
            </w:r>
          </w:p>
        </w:tc>
        <w:tc>
          <w:tcPr>
            <w:tcW w:w="141" w:type="pct"/>
            <w:tcBorders>
              <w:top w:val="nil"/>
              <w:left w:val="nil"/>
              <w:bottom w:val="nil"/>
              <w:right w:val="nil"/>
            </w:tcBorders>
            <w:shd w:val="clear" w:color="auto" w:fill="auto"/>
            <w:vAlign w:val="bottom"/>
          </w:tcPr>
          <w:p w14:paraId="285EABA7" w14:textId="342CE3B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184</w:t>
            </w:r>
          </w:p>
        </w:tc>
        <w:tc>
          <w:tcPr>
            <w:tcW w:w="141" w:type="pct"/>
            <w:tcBorders>
              <w:top w:val="nil"/>
              <w:left w:val="nil"/>
              <w:bottom w:val="nil"/>
              <w:right w:val="nil"/>
            </w:tcBorders>
            <w:shd w:val="clear" w:color="auto" w:fill="auto"/>
            <w:vAlign w:val="bottom"/>
          </w:tcPr>
          <w:p w14:paraId="52EBDB51" w14:textId="3928EAC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267</w:t>
            </w:r>
          </w:p>
        </w:tc>
        <w:tc>
          <w:tcPr>
            <w:tcW w:w="141" w:type="pct"/>
            <w:tcBorders>
              <w:top w:val="nil"/>
              <w:left w:val="nil"/>
              <w:bottom w:val="nil"/>
              <w:right w:val="nil"/>
            </w:tcBorders>
            <w:shd w:val="clear" w:color="auto" w:fill="auto"/>
            <w:vAlign w:val="bottom"/>
          </w:tcPr>
          <w:p w14:paraId="3D498E5D" w14:textId="71C495F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398</w:t>
            </w:r>
          </w:p>
        </w:tc>
        <w:tc>
          <w:tcPr>
            <w:tcW w:w="141" w:type="pct"/>
            <w:tcBorders>
              <w:top w:val="nil"/>
              <w:left w:val="nil"/>
              <w:bottom w:val="nil"/>
              <w:right w:val="nil"/>
            </w:tcBorders>
            <w:shd w:val="clear" w:color="auto" w:fill="auto"/>
            <w:vAlign w:val="bottom"/>
          </w:tcPr>
          <w:p w14:paraId="49E75AC1" w14:textId="1DB9CFE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455</w:t>
            </w:r>
          </w:p>
        </w:tc>
        <w:tc>
          <w:tcPr>
            <w:tcW w:w="141" w:type="pct"/>
            <w:tcBorders>
              <w:top w:val="nil"/>
              <w:left w:val="nil"/>
              <w:bottom w:val="nil"/>
              <w:right w:val="nil"/>
            </w:tcBorders>
            <w:shd w:val="clear" w:color="auto" w:fill="auto"/>
            <w:vAlign w:val="bottom"/>
          </w:tcPr>
          <w:p w14:paraId="4B917734" w14:textId="7C69294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532</w:t>
            </w:r>
          </w:p>
        </w:tc>
        <w:tc>
          <w:tcPr>
            <w:tcW w:w="141" w:type="pct"/>
            <w:tcBorders>
              <w:top w:val="nil"/>
              <w:left w:val="nil"/>
              <w:bottom w:val="nil"/>
              <w:right w:val="nil"/>
            </w:tcBorders>
            <w:shd w:val="clear" w:color="auto" w:fill="auto"/>
            <w:vAlign w:val="bottom"/>
          </w:tcPr>
          <w:p w14:paraId="2696DE9C" w14:textId="6961859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618</w:t>
            </w:r>
          </w:p>
        </w:tc>
        <w:tc>
          <w:tcPr>
            <w:tcW w:w="141" w:type="pct"/>
            <w:tcBorders>
              <w:top w:val="nil"/>
              <w:left w:val="nil"/>
              <w:bottom w:val="nil"/>
              <w:right w:val="nil"/>
            </w:tcBorders>
            <w:shd w:val="clear" w:color="auto" w:fill="auto"/>
            <w:vAlign w:val="bottom"/>
          </w:tcPr>
          <w:p w14:paraId="04E6BC8D" w14:textId="5D50164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738</w:t>
            </w:r>
          </w:p>
        </w:tc>
        <w:tc>
          <w:tcPr>
            <w:tcW w:w="141" w:type="pct"/>
            <w:tcBorders>
              <w:top w:val="nil"/>
              <w:left w:val="nil"/>
              <w:bottom w:val="nil"/>
              <w:right w:val="nil"/>
            </w:tcBorders>
            <w:shd w:val="clear" w:color="auto" w:fill="auto"/>
            <w:vAlign w:val="bottom"/>
          </w:tcPr>
          <w:p w14:paraId="22DC1157" w14:textId="647382C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788</w:t>
            </w:r>
          </w:p>
        </w:tc>
        <w:tc>
          <w:tcPr>
            <w:tcW w:w="141" w:type="pct"/>
            <w:tcBorders>
              <w:top w:val="nil"/>
              <w:left w:val="nil"/>
              <w:bottom w:val="nil"/>
              <w:right w:val="nil"/>
            </w:tcBorders>
            <w:shd w:val="clear" w:color="auto" w:fill="auto"/>
            <w:vAlign w:val="bottom"/>
          </w:tcPr>
          <w:p w14:paraId="6F91FF35" w14:textId="54A1DBE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698</w:t>
            </w:r>
          </w:p>
        </w:tc>
        <w:tc>
          <w:tcPr>
            <w:tcW w:w="141" w:type="pct"/>
            <w:tcBorders>
              <w:top w:val="nil"/>
              <w:left w:val="nil"/>
              <w:bottom w:val="nil"/>
              <w:right w:val="nil"/>
            </w:tcBorders>
            <w:shd w:val="clear" w:color="auto" w:fill="auto"/>
            <w:vAlign w:val="bottom"/>
          </w:tcPr>
          <w:p w14:paraId="4EF894D5" w14:textId="607E139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615</w:t>
            </w:r>
          </w:p>
        </w:tc>
        <w:tc>
          <w:tcPr>
            <w:tcW w:w="141" w:type="pct"/>
            <w:tcBorders>
              <w:top w:val="nil"/>
              <w:left w:val="nil"/>
              <w:bottom w:val="nil"/>
              <w:right w:val="nil"/>
            </w:tcBorders>
            <w:shd w:val="clear" w:color="auto" w:fill="auto"/>
            <w:vAlign w:val="bottom"/>
          </w:tcPr>
          <w:p w14:paraId="31727D88" w14:textId="5FC19C0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548</w:t>
            </w:r>
          </w:p>
        </w:tc>
        <w:tc>
          <w:tcPr>
            <w:tcW w:w="141" w:type="pct"/>
            <w:tcBorders>
              <w:top w:val="nil"/>
              <w:left w:val="nil"/>
              <w:bottom w:val="nil"/>
              <w:right w:val="nil"/>
            </w:tcBorders>
            <w:shd w:val="clear" w:color="auto" w:fill="auto"/>
            <w:vAlign w:val="bottom"/>
          </w:tcPr>
          <w:p w14:paraId="10468F32" w14:textId="218BD08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354</w:t>
            </w:r>
          </w:p>
        </w:tc>
        <w:tc>
          <w:tcPr>
            <w:tcW w:w="141" w:type="pct"/>
            <w:tcBorders>
              <w:top w:val="nil"/>
              <w:left w:val="nil"/>
              <w:bottom w:val="nil"/>
              <w:right w:val="nil"/>
            </w:tcBorders>
            <w:shd w:val="clear" w:color="auto" w:fill="auto"/>
            <w:vAlign w:val="bottom"/>
          </w:tcPr>
          <w:p w14:paraId="7DF01AE5" w14:textId="0BCA801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89</w:t>
            </w:r>
          </w:p>
        </w:tc>
        <w:tc>
          <w:tcPr>
            <w:tcW w:w="141" w:type="pct"/>
            <w:tcBorders>
              <w:top w:val="nil"/>
              <w:left w:val="nil"/>
              <w:bottom w:val="nil"/>
              <w:right w:val="nil"/>
            </w:tcBorders>
            <w:shd w:val="clear" w:color="auto" w:fill="auto"/>
            <w:vAlign w:val="bottom"/>
          </w:tcPr>
          <w:p w14:paraId="7F44CA0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D089FD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EE9588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8F5B67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566C0E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202987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89FB21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31802AA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1CF0D34F"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5DE74F98"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0DE5688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34E751D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293A8BCE" w14:textId="4E24210F"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7066</w:t>
            </w:r>
          </w:p>
        </w:tc>
      </w:tr>
      <w:tr w:rsidR="00F4063A" w:rsidRPr="00F830FB" w14:paraId="1267C9CE" w14:textId="77777777" w:rsidTr="00F4063A">
        <w:tc>
          <w:tcPr>
            <w:tcW w:w="188" w:type="pct"/>
            <w:tcBorders>
              <w:top w:val="nil"/>
              <w:left w:val="nil"/>
              <w:bottom w:val="nil"/>
              <w:right w:val="nil"/>
            </w:tcBorders>
          </w:tcPr>
          <w:p w14:paraId="4045A3AE"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22</w:t>
            </w:r>
          </w:p>
        </w:tc>
        <w:tc>
          <w:tcPr>
            <w:tcW w:w="141" w:type="pct"/>
            <w:tcBorders>
              <w:top w:val="nil"/>
              <w:left w:val="nil"/>
              <w:bottom w:val="nil"/>
              <w:right w:val="nil"/>
            </w:tcBorders>
            <w:shd w:val="clear" w:color="auto" w:fill="auto"/>
            <w:vAlign w:val="bottom"/>
          </w:tcPr>
          <w:p w14:paraId="4AA52459" w14:textId="519658F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23</w:t>
            </w:r>
          </w:p>
        </w:tc>
        <w:tc>
          <w:tcPr>
            <w:tcW w:w="141" w:type="pct"/>
            <w:tcBorders>
              <w:top w:val="nil"/>
              <w:left w:val="nil"/>
              <w:bottom w:val="nil"/>
              <w:right w:val="nil"/>
            </w:tcBorders>
            <w:shd w:val="clear" w:color="auto" w:fill="auto"/>
            <w:vAlign w:val="bottom"/>
          </w:tcPr>
          <w:p w14:paraId="3C7057E1" w14:textId="0FDF892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69</w:t>
            </w:r>
          </w:p>
        </w:tc>
        <w:tc>
          <w:tcPr>
            <w:tcW w:w="141" w:type="pct"/>
            <w:tcBorders>
              <w:top w:val="nil"/>
              <w:left w:val="nil"/>
              <w:bottom w:val="nil"/>
              <w:right w:val="nil"/>
            </w:tcBorders>
            <w:shd w:val="clear" w:color="auto" w:fill="auto"/>
            <w:vAlign w:val="bottom"/>
          </w:tcPr>
          <w:p w14:paraId="3CE81BA5" w14:textId="0D9D17A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97</w:t>
            </w:r>
          </w:p>
        </w:tc>
        <w:tc>
          <w:tcPr>
            <w:tcW w:w="141" w:type="pct"/>
            <w:tcBorders>
              <w:top w:val="nil"/>
              <w:left w:val="nil"/>
              <w:bottom w:val="nil"/>
              <w:right w:val="nil"/>
            </w:tcBorders>
            <w:shd w:val="clear" w:color="auto" w:fill="auto"/>
            <w:vAlign w:val="bottom"/>
          </w:tcPr>
          <w:p w14:paraId="2F7958AB" w14:textId="5EA01E0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84</w:t>
            </w:r>
          </w:p>
        </w:tc>
        <w:tc>
          <w:tcPr>
            <w:tcW w:w="141" w:type="pct"/>
            <w:tcBorders>
              <w:top w:val="nil"/>
              <w:left w:val="nil"/>
              <w:bottom w:val="nil"/>
              <w:right w:val="nil"/>
            </w:tcBorders>
            <w:shd w:val="clear" w:color="auto" w:fill="auto"/>
            <w:vAlign w:val="bottom"/>
          </w:tcPr>
          <w:p w14:paraId="5D4B55C9" w14:textId="3FACE8A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82</w:t>
            </w:r>
          </w:p>
        </w:tc>
        <w:tc>
          <w:tcPr>
            <w:tcW w:w="141" w:type="pct"/>
            <w:tcBorders>
              <w:top w:val="nil"/>
              <w:left w:val="nil"/>
              <w:bottom w:val="nil"/>
              <w:right w:val="nil"/>
            </w:tcBorders>
            <w:shd w:val="clear" w:color="auto" w:fill="auto"/>
            <w:vAlign w:val="bottom"/>
          </w:tcPr>
          <w:p w14:paraId="2E26ECAB" w14:textId="3E6BDB3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85</w:t>
            </w:r>
          </w:p>
        </w:tc>
        <w:tc>
          <w:tcPr>
            <w:tcW w:w="141" w:type="pct"/>
            <w:tcBorders>
              <w:top w:val="nil"/>
              <w:left w:val="nil"/>
              <w:bottom w:val="nil"/>
              <w:right w:val="nil"/>
            </w:tcBorders>
            <w:shd w:val="clear" w:color="auto" w:fill="auto"/>
            <w:vAlign w:val="bottom"/>
          </w:tcPr>
          <w:p w14:paraId="26521E23" w14:textId="4AC684A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118</w:t>
            </w:r>
          </w:p>
        </w:tc>
        <w:tc>
          <w:tcPr>
            <w:tcW w:w="141" w:type="pct"/>
            <w:tcBorders>
              <w:top w:val="nil"/>
              <w:left w:val="nil"/>
              <w:bottom w:val="nil"/>
              <w:right w:val="nil"/>
            </w:tcBorders>
            <w:shd w:val="clear" w:color="auto" w:fill="auto"/>
            <w:vAlign w:val="bottom"/>
          </w:tcPr>
          <w:p w14:paraId="375AD92A" w14:textId="3CDCF90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149</w:t>
            </w:r>
          </w:p>
        </w:tc>
        <w:tc>
          <w:tcPr>
            <w:tcW w:w="141" w:type="pct"/>
            <w:tcBorders>
              <w:top w:val="nil"/>
              <w:left w:val="nil"/>
              <w:bottom w:val="nil"/>
              <w:right w:val="nil"/>
            </w:tcBorders>
            <w:shd w:val="clear" w:color="auto" w:fill="auto"/>
            <w:vAlign w:val="bottom"/>
          </w:tcPr>
          <w:p w14:paraId="3349FFCB" w14:textId="044A580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175</w:t>
            </w:r>
          </w:p>
        </w:tc>
        <w:tc>
          <w:tcPr>
            <w:tcW w:w="141" w:type="pct"/>
            <w:tcBorders>
              <w:top w:val="nil"/>
              <w:left w:val="nil"/>
              <w:bottom w:val="nil"/>
              <w:right w:val="nil"/>
            </w:tcBorders>
            <w:shd w:val="clear" w:color="auto" w:fill="auto"/>
            <w:vAlign w:val="bottom"/>
          </w:tcPr>
          <w:p w14:paraId="38E6D8ED" w14:textId="331F361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192</w:t>
            </w:r>
          </w:p>
        </w:tc>
        <w:tc>
          <w:tcPr>
            <w:tcW w:w="141" w:type="pct"/>
            <w:tcBorders>
              <w:top w:val="nil"/>
              <w:left w:val="nil"/>
              <w:bottom w:val="nil"/>
              <w:right w:val="nil"/>
            </w:tcBorders>
            <w:shd w:val="clear" w:color="auto" w:fill="auto"/>
            <w:vAlign w:val="bottom"/>
          </w:tcPr>
          <w:p w14:paraId="0B1CCF32" w14:textId="4F6B09B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279</w:t>
            </w:r>
          </w:p>
        </w:tc>
        <w:tc>
          <w:tcPr>
            <w:tcW w:w="141" w:type="pct"/>
            <w:tcBorders>
              <w:top w:val="nil"/>
              <w:left w:val="nil"/>
              <w:bottom w:val="nil"/>
              <w:right w:val="nil"/>
            </w:tcBorders>
            <w:shd w:val="clear" w:color="auto" w:fill="auto"/>
            <w:vAlign w:val="bottom"/>
          </w:tcPr>
          <w:p w14:paraId="6B45757F" w14:textId="58617B6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415</w:t>
            </w:r>
          </w:p>
        </w:tc>
        <w:tc>
          <w:tcPr>
            <w:tcW w:w="141" w:type="pct"/>
            <w:tcBorders>
              <w:top w:val="nil"/>
              <w:left w:val="nil"/>
              <w:bottom w:val="nil"/>
              <w:right w:val="nil"/>
            </w:tcBorders>
            <w:shd w:val="clear" w:color="auto" w:fill="auto"/>
            <w:vAlign w:val="bottom"/>
          </w:tcPr>
          <w:p w14:paraId="62B97C26" w14:textId="2EC77C1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474</w:t>
            </w:r>
          </w:p>
        </w:tc>
        <w:tc>
          <w:tcPr>
            <w:tcW w:w="141" w:type="pct"/>
            <w:tcBorders>
              <w:top w:val="nil"/>
              <w:left w:val="nil"/>
              <w:bottom w:val="nil"/>
              <w:right w:val="nil"/>
            </w:tcBorders>
            <w:shd w:val="clear" w:color="auto" w:fill="auto"/>
            <w:vAlign w:val="bottom"/>
          </w:tcPr>
          <w:p w14:paraId="00DCB71E" w14:textId="35F0C3F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555</w:t>
            </w:r>
          </w:p>
        </w:tc>
        <w:tc>
          <w:tcPr>
            <w:tcW w:w="141" w:type="pct"/>
            <w:tcBorders>
              <w:top w:val="nil"/>
              <w:left w:val="nil"/>
              <w:bottom w:val="nil"/>
              <w:right w:val="nil"/>
            </w:tcBorders>
            <w:shd w:val="clear" w:color="auto" w:fill="auto"/>
            <w:vAlign w:val="bottom"/>
          </w:tcPr>
          <w:p w14:paraId="2E69B04C" w14:textId="7099CDD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625</w:t>
            </w:r>
          </w:p>
        </w:tc>
        <w:tc>
          <w:tcPr>
            <w:tcW w:w="141" w:type="pct"/>
            <w:tcBorders>
              <w:top w:val="nil"/>
              <w:left w:val="nil"/>
              <w:bottom w:val="nil"/>
              <w:right w:val="nil"/>
            </w:tcBorders>
            <w:shd w:val="clear" w:color="auto" w:fill="auto"/>
            <w:vAlign w:val="bottom"/>
          </w:tcPr>
          <w:p w14:paraId="279D2882" w14:textId="577B84E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720</w:t>
            </w:r>
          </w:p>
        </w:tc>
        <w:tc>
          <w:tcPr>
            <w:tcW w:w="141" w:type="pct"/>
            <w:tcBorders>
              <w:top w:val="nil"/>
              <w:left w:val="nil"/>
              <w:bottom w:val="nil"/>
              <w:right w:val="nil"/>
            </w:tcBorders>
            <w:shd w:val="clear" w:color="auto" w:fill="auto"/>
            <w:vAlign w:val="bottom"/>
          </w:tcPr>
          <w:p w14:paraId="5327BA7C" w14:textId="38A6883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768</w:t>
            </w:r>
          </w:p>
        </w:tc>
        <w:tc>
          <w:tcPr>
            <w:tcW w:w="141" w:type="pct"/>
            <w:tcBorders>
              <w:top w:val="nil"/>
              <w:left w:val="nil"/>
              <w:bottom w:val="nil"/>
              <w:right w:val="nil"/>
            </w:tcBorders>
            <w:shd w:val="clear" w:color="auto" w:fill="auto"/>
            <w:vAlign w:val="bottom"/>
          </w:tcPr>
          <w:p w14:paraId="362A1288" w14:textId="785EDA7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680</w:t>
            </w:r>
          </w:p>
        </w:tc>
        <w:tc>
          <w:tcPr>
            <w:tcW w:w="141" w:type="pct"/>
            <w:tcBorders>
              <w:top w:val="nil"/>
              <w:left w:val="nil"/>
              <w:bottom w:val="nil"/>
              <w:right w:val="nil"/>
            </w:tcBorders>
            <w:shd w:val="clear" w:color="auto" w:fill="auto"/>
            <w:vAlign w:val="bottom"/>
          </w:tcPr>
          <w:p w14:paraId="0715C7B9" w14:textId="69F0328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597</w:t>
            </w:r>
          </w:p>
        </w:tc>
        <w:tc>
          <w:tcPr>
            <w:tcW w:w="141" w:type="pct"/>
            <w:tcBorders>
              <w:top w:val="nil"/>
              <w:left w:val="nil"/>
              <w:bottom w:val="nil"/>
              <w:right w:val="nil"/>
            </w:tcBorders>
            <w:shd w:val="clear" w:color="auto" w:fill="auto"/>
            <w:vAlign w:val="bottom"/>
          </w:tcPr>
          <w:p w14:paraId="699BAF4A" w14:textId="3ECED4C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532</w:t>
            </w:r>
          </w:p>
        </w:tc>
        <w:tc>
          <w:tcPr>
            <w:tcW w:w="141" w:type="pct"/>
            <w:tcBorders>
              <w:top w:val="nil"/>
              <w:left w:val="nil"/>
              <w:bottom w:val="nil"/>
              <w:right w:val="nil"/>
            </w:tcBorders>
            <w:shd w:val="clear" w:color="auto" w:fill="auto"/>
            <w:vAlign w:val="bottom"/>
          </w:tcPr>
          <w:p w14:paraId="14A094BC" w14:textId="1FC5ECE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343</w:t>
            </w:r>
          </w:p>
        </w:tc>
        <w:tc>
          <w:tcPr>
            <w:tcW w:w="141" w:type="pct"/>
            <w:tcBorders>
              <w:top w:val="nil"/>
              <w:left w:val="nil"/>
              <w:bottom w:val="nil"/>
              <w:right w:val="nil"/>
            </w:tcBorders>
            <w:shd w:val="clear" w:color="auto" w:fill="auto"/>
            <w:vAlign w:val="bottom"/>
          </w:tcPr>
          <w:p w14:paraId="6F76A485" w14:textId="071E112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86</w:t>
            </w:r>
          </w:p>
        </w:tc>
        <w:tc>
          <w:tcPr>
            <w:tcW w:w="141" w:type="pct"/>
            <w:tcBorders>
              <w:top w:val="nil"/>
              <w:left w:val="nil"/>
              <w:bottom w:val="nil"/>
              <w:right w:val="nil"/>
            </w:tcBorders>
            <w:shd w:val="clear" w:color="auto" w:fill="auto"/>
            <w:vAlign w:val="bottom"/>
          </w:tcPr>
          <w:p w14:paraId="3592734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E5E743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89E407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A1D170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9099860"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027682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2D277E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7F4DCDEC"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66E1D91C"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0152E31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63DF7E2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0FF7042C" w14:textId="5B150919"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7148</w:t>
            </w:r>
          </w:p>
        </w:tc>
      </w:tr>
      <w:tr w:rsidR="00F4063A" w:rsidRPr="00F830FB" w14:paraId="0D74D538" w14:textId="77777777" w:rsidTr="00F4063A">
        <w:tc>
          <w:tcPr>
            <w:tcW w:w="188" w:type="pct"/>
            <w:tcBorders>
              <w:top w:val="nil"/>
              <w:left w:val="nil"/>
              <w:bottom w:val="nil"/>
              <w:right w:val="nil"/>
            </w:tcBorders>
          </w:tcPr>
          <w:p w14:paraId="32B591B1"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23</w:t>
            </w:r>
          </w:p>
        </w:tc>
        <w:tc>
          <w:tcPr>
            <w:tcW w:w="141" w:type="pct"/>
            <w:tcBorders>
              <w:top w:val="nil"/>
              <w:left w:val="nil"/>
              <w:bottom w:val="nil"/>
              <w:right w:val="nil"/>
            </w:tcBorders>
            <w:shd w:val="clear" w:color="auto" w:fill="auto"/>
            <w:vAlign w:val="bottom"/>
          </w:tcPr>
          <w:p w14:paraId="7AA3136E" w14:textId="67654C8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22</w:t>
            </w:r>
          </w:p>
        </w:tc>
        <w:tc>
          <w:tcPr>
            <w:tcW w:w="141" w:type="pct"/>
            <w:tcBorders>
              <w:top w:val="nil"/>
              <w:left w:val="nil"/>
              <w:bottom w:val="nil"/>
              <w:right w:val="nil"/>
            </w:tcBorders>
            <w:shd w:val="clear" w:color="auto" w:fill="auto"/>
            <w:vAlign w:val="bottom"/>
          </w:tcPr>
          <w:p w14:paraId="5D2D64E3" w14:textId="3435509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55</w:t>
            </w:r>
          </w:p>
        </w:tc>
        <w:tc>
          <w:tcPr>
            <w:tcW w:w="141" w:type="pct"/>
            <w:tcBorders>
              <w:top w:val="nil"/>
              <w:left w:val="nil"/>
              <w:bottom w:val="nil"/>
              <w:right w:val="nil"/>
            </w:tcBorders>
            <w:shd w:val="clear" w:color="auto" w:fill="auto"/>
            <w:vAlign w:val="bottom"/>
          </w:tcPr>
          <w:p w14:paraId="3184311B" w14:textId="7C61E5F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95</w:t>
            </w:r>
          </w:p>
        </w:tc>
        <w:tc>
          <w:tcPr>
            <w:tcW w:w="141" w:type="pct"/>
            <w:tcBorders>
              <w:top w:val="nil"/>
              <w:left w:val="nil"/>
              <w:bottom w:val="nil"/>
              <w:right w:val="nil"/>
            </w:tcBorders>
            <w:shd w:val="clear" w:color="auto" w:fill="auto"/>
            <w:vAlign w:val="bottom"/>
          </w:tcPr>
          <w:p w14:paraId="375CAE14" w14:textId="52BFC2D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93</w:t>
            </w:r>
          </w:p>
        </w:tc>
        <w:tc>
          <w:tcPr>
            <w:tcW w:w="141" w:type="pct"/>
            <w:tcBorders>
              <w:top w:val="nil"/>
              <w:left w:val="nil"/>
              <w:bottom w:val="nil"/>
              <w:right w:val="nil"/>
            </w:tcBorders>
            <w:shd w:val="clear" w:color="auto" w:fill="auto"/>
            <w:vAlign w:val="bottom"/>
          </w:tcPr>
          <w:p w14:paraId="798F03DD" w14:textId="21A1AB7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77</w:t>
            </w:r>
          </w:p>
        </w:tc>
        <w:tc>
          <w:tcPr>
            <w:tcW w:w="141" w:type="pct"/>
            <w:tcBorders>
              <w:top w:val="nil"/>
              <w:left w:val="nil"/>
              <w:bottom w:val="nil"/>
              <w:right w:val="nil"/>
            </w:tcBorders>
            <w:shd w:val="clear" w:color="auto" w:fill="auto"/>
            <w:vAlign w:val="bottom"/>
          </w:tcPr>
          <w:p w14:paraId="7E9423E0" w14:textId="67C5120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86</w:t>
            </w:r>
          </w:p>
        </w:tc>
        <w:tc>
          <w:tcPr>
            <w:tcW w:w="141" w:type="pct"/>
            <w:tcBorders>
              <w:top w:val="nil"/>
              <w:left w:val="nil"/>
              <w:bottom w:val="nil"/>
              <w:right w:val="nil"/>
            </w:tcBorders>
            <w:shd w:val="clear" w:color="auto" w:fill="auto"/>
            <w:vAlign w:val="bottom"/>
          </w:tcPr>
          <w:p w14:paraId="14314C7A" w14:textId="0E5090A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88</w:t>
            </w:r>
          </w:p>
        </w:tc>
        <w:tc>
          <w:tcPr>
            <w:tcW w:w="141" w:type="pct"/>
            <w:tcBorders>
              <w:top w:val="nil"/>
              <w:left w:val="nil"/>
              <w:bottom w:val="nil"/>
              <w:right w:val="nil"/>
            </w:tcBorders>
            <w:shd w:val="clear" w:color="auto" w:fill="auto"/>
            <w:vAlign w:val="bottom"/>
          </w:tcPr>
          <w:p w14:paraId="424FA0CA" w14:textId="43C9F37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123</w:t>
            </w:r>
          </w:p>
        </w:tc>
        <w:tc>
          <w:tcPr>
            <w:tcW w:w="141" w:type="pct"/>
            <w:tcBorders>
              <w:top w:val="nil"/>
              <w:left w:val="nil"/>
              <w:bottom w:val="nil"/>
              <w:right w:val="nil"/>
            </w:tcBorders>
            <w:shd w:val="clear" w:color="auto" w:fill="auto"/>
            <w:vAlign w:val="bottom"/>
          </w:tcPr>
          <w:p w14:paraId="03D82F44" w14:textId="358D064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155</w:t>
            </w:r>
          </w:p>
        </w:tc>
        <w:tc>
          <w:tcPr>
            <w:tcW w:w="141" w:type="pct"/>
            <w:tcBorders>
              <w:top w:val="nil"/>
              <w:left w:val="nil"/>
              <w:bottom w:val="nil"/>
              <w:right w:val="nil"/>
            </w:tcBorders>
            <w:shd w:val="clear" w:color="auto" w:fill="auto"/>
            <w:vAlign w:val="bottom"/>
          </w:tcPr>
          <w:p w14:paraId="1799FAEE" w14:textId="7E37800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183</w:t>
            </w:r>
          </w:p>
        </w:tc>
        <w:tc>
          <w:tcPr>
            <w:tcW w:w="141" w:type="pct"/>
            <w:tcBorders>
              <w:top w:val="nil"/>
              <w:left w:val="nil"/>
              <w:bottom w:val="nil"/>
              <w:right w:val="nil"/>
            </w:tcBorders>
            <w:shd w:val="clear" w:color="auto" w:fill="auto"/>
            <w:vAlign w:val="bottom"/>
          </w:tcPr>
          <w:p w14:paraId="093C2AEC" w14:textId="323868E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200</w:t>
            </w:r>
          </w:p>
        </w:tc>
        <w:tc>
          <w:tcPr>
            <w:tcW w:w="141" w:type="pct"/>
            <w:tcBorders>
              <w:top w:val="nil"/>
              <w:left w:val="nil"/>
              <w:bottom w:val="nil"/>
              <w:right w:val="nil"/>
            </w:tcBorders>
            <w:shd w:val="clear" w:color="auto" w:fill="auto"/>
            <w:vAlign w:val="bottom"/>
          </w:tcPr>
          <w:p w14:paraId="64474486" w14:textId="391C912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290</w:t>
            </w:r>
          </w:p>
        </w:tc>
        <w:tc>
          <w:tcPr>
            <w:tcW w:w="141" w:type="pct"/>
            <w:tcBorders>
              <w:top w:val="nil"/>
              <w:left w:val="nil"/>
              <w:bottom w:val="nil"/>
              <w:right w:val="nil"/>
            </w:tcBorders>
            <w:shd w:val="clear" w:color="auto" w:fill="auto"/>
            <w:vAlign w:val="bottom"/>
          </w:tcPr>
          <w:p w14:paraId="1D1CA9A4" w14:textId="17FA347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432</w:t>
            </w:r>
          </w:p>
        </w:tc>
        <w:tc>
          <w:tcPr>
            <w:tcW w:w="141" w:type="pct"/>
            <w:tcBorders>
              <w:top w:val="nil"/>
              <w:left w:val="nil"/>
              <w:bottom w:val="nil"/>
              <w:right w:val="nil"/>
            </w:tcBorders>
            <w:shd w:val="clear" w:color="auto" w:fill="auto"/>
            <w:vAlign w:val="bottom"/>
          </w:tcPr>
          <w:p w14:paraId="6FA4ADB3" w14:textId="74BC10F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494</w:t>
            </w:r>
          </w:p>
        </w:tc>
        <w:tc>
          <w:tcPr>
            <w:tcW w:w="141" w:type="pct"/>
            <w:tcBorders>
              <w:top w:val="nil"/>
              <w:left w:val="nil"/>
              <w:bottom w:val="nil"/>
              <w:right w:val="nil"/>
            </w:tcBorders>
            <w:shd w:val="clear" w:color="auto" w:fill="auto"/>
            <w:vAlign w:val="bottom"/>
          </w:tcPr>
          <w:p w14:paraId="1BA8A3EA" w14:textId="6DE311F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561</w:t>
            </w:r>
          </w:p>
        </w:tc>
        <w:tc>
          <w:tcPr>
            <w:tcW w:w="141" w:type="pct"/>
            <w:tcBorders>
              <w:top w:val="nil"/>
              <w:left w:val="nil"/>
              <w:bottom w:val="nil"/>
              <w:right w:val="nil"/>
            </w:tcBorders>
            <w:shd w:val="clear" w:color="auto" w:fill="auto"/>
            <w:vAlign w:val="bottom"/>
          </w:tcPr>
          <w:p w14:paraId="2FA51376" w14:textId="3B34387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610</w:t>
            </w:r>
          </w:p>
        </w:tc>
        <w:tc>
          <w:tcPr>
            <w:tcW w:w="141" w:type="pct"/>
            <w:tcBorders>
              <w:top w:val="nil"/>
              <w:left w:val="nil"/>
              <w:bottom w:val="nil"/>
              <w:right w:val="nil"/>
            </w:tcBorders>
            <w:shd w:val="clear" w:color="auto" w:fill="auto"/>
            <w:vAlign w:val="bottom"/>
          </w:tcPr>
          <w:p w14:paraId="6AE86C55" w14:textId="5D673F6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702</w:t>
            </w:r>
          </w:p>
        </w:tc>
        <w:tc>
          <w:tcPr>
            <w:tcW w:w="141" w:type="pct"/>
            <w:tcBorders>
              <w:top w:val="nil"/>
              <w:left w:val="nil"/>
              <w:bottom w:val="nil"/>
              <w:right w:val="nil"/>
            </w:tcBorders>
            <w:shd w:val="clear" w:color="auto" w:fill="auto"/>
            <w:vAlign w:val="bottom"/>
          </w:tcPr>
          <w:p w14:paraId="7190EA3E" w14:textId="5CF8ADF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748</w:t>
            </w:r>
          </w:p>
        </w:tc>
        <w:tc>
          <w:tcPr>
            <w:tcW w:w="141" w:type="pct"/>
            <w:tcBorders>
              <w:top w:val="nil"/>
              <w:left w:val="nil"/>
              <w:bottom w:val="nil"/>
              <w:right w:val="nil"/>
            </w:tcBorders>
            <w:shd w:val="clear" w:color="auto" w:fill="auto"/>
            <w:vAlign w:val="bottom"/>
          </w:tcPr>
          <w:p w14:paraId="5F7745FB" w14:textId="1D86EB7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661</w:t>
            </w:r>
          </w:p>
        </w:tc>
        <w:tc>
          <w:tcPr>
            <w:tcW w:w="141" w:type="pct"/>
            <w:tcBorders>
              <w:top w:val="nil"/>
              <w:left w:val="nil"/>
              <w:bottom w:val="nil"/>
              <w:right w:val="nil"/>
            </w:tcBorders>
            <w:shd w:val="clear" w:color="auto" w:fill="auto"/>
            <w:vAlign w:val="bottom"/>
          </w:tcPr>
          <w:p w14:paraId="7DC498F4" w14:textId="5C03DDD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580</w:t>
            </w:r>
          </w:p>
        </w:tc>
        <w:tc>
          <w:tcPr>
            <w:tcW w:w="141" w:type="pct"/>
            <w:tcBorders>
              <w:top w:val="nil"/>
              <w:left w:val="nil"/>
              <w:bottom w:val="nil"/>
              <w:right w:val="nil"/>
            </w:tcBorders>
            <w:shd w:val="clear" w:color="auto" w:fill="auto"/>
            <w:vAlign w:val="bottom"/>
          </w:tcPr>
          <w:p w14:paraId="7A2CC29F" w14:textId="1B616D8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515</w:t>
            </w:r>
          </w:p>
        </w:tc>
        <w:tc>
          <w:tcPr>
            <w:tcW w:w="141" w:type="pct"/>
            <w:tcBorders>
              <w:top w:val="nil"/>
              <w:left w:val="nil"/>
              <w:bottom w:val="nil"/>
              <w:right w:val="nil"/>
            </w:tcBorders>
            <w:shd w:val="clear" w:color="auto" w:fill="auto"/>
            <w:vAlign w:val="bottom"/>
          </w:tcPr>
          <w:p w14:paraId="223342E0" w14:textId="03B2816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332</w:t>
            </w:r>
          </w:p>
        </w:tc>
        <w:tc>
          <w:tcPr>
            <w:tcW w:w="141" w:type="pct"/>
            <w:tcBorders>
              <w:top w:val="nil"/>
              <w:left w:val="nil"/>
              <w:bottom w:val="nil"/>
              <w:right w:val="nil"/>
            </w:tcBorders>
            <w:shd w:val="clear" w:color="auto" w:fill="auto"/>
            <w:vAlign w:val="bottom"/>
          </w:tcPr>
          <w:p w14:paraId="2399619F" w14:textId="721BCF5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83</w:t>
            </w:r>
          </w:p>
        </w:tc>
        <w:tc>
          <w:tcPr>
            <w:tcW w:w="141" w:type="pct"/>
            <w:tcBorders>
              <w:top w:val="nil"/>
              <w:left w:val="nil"/>
              <w:bottom w:val="nil"/>
              <w:right w:val="nil"/>
            </w:tcBorders>
            <w:shd w:val="clear" w:color="auto" w:fill="auto"/>
            <w:vAlign w:val="bottom"/>
          </w:tcPr>
          <w:p w14:paraId="4E42C6D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2D3C54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414523F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480AFE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7E8816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1DB9933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7351079B"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069DBDB9"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6C8411C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21AB32F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3FCF441D" w14:textId="510AFD51"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7185</w:t>
            </w:r>
          </w:p>
        </w:tc>
      </w:tr>
      <w:tr w:rsidR="00F4063A" w:rsidRPr="00F830FB" w14:paraId="60AFCAF5" w14:textId="77777777" w:rsidTr="00F4063A">
        <w:tc>
          <w:tcPr>
            <w:tcW w:w="188" w:type="pct"/>
            <w:tcBorders>
              <w:top w:val="nil"/>
              <w:left w:val="nil"/>
              <w:bottom w:val="nil"/>
              <w:right w:val="nil"/>
            </w:tcBorders>
          </w:tcPr>
          <w:p w14:paraId="56248029"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24</w:t>
            </w:r>
          </w:p>
        </w:tc>
        <w:tc>
          <w:tcPr>
            <w:tcW w:w="141" w:type="pct"/>
            <w:tcBorders>
              <w:top w:val="nil"/>
              <w:left w:val="nil"/>
              <w:bottom w:val="nil"/>
              <w:right w:val="nil"/>
            </w:tcBorders>
            <w:shd w:val="clear" w:color="auto" w:fill="auto"/>
            <w:vAlign w:val="bottom"/>
          </w:tcPr>
          <w:p w14:paraId="51559549" w14:textId="523B980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22</w:t>
            </w:r>
          </w:p>
        </w:tc>
        <w:tc>
          <w:tcPr>
            <w:tcW w:w="141" w:type="pct"/>
            <w:tcBorders>
              <w:top w:val="nil"/>
              <w:left w:val="nil"/>
              <w:bottom w:val="nil"/>
              <w:right w:val="nil"/>
            </w:tcBorders>
            <w:shd w:val="clear" w:color="auto" w:fill="auto"/>
            <w:vAlign w:val="bottom"/>
          </w:tcPr>
          <w:p w14:paraId="5B4CFD0A" w14:textId="5344D77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52</w:t>
            </w:r>
          </w:p>
        </w:tc>
        <w:tc>
          <w:tcPr>
            <w:tcW w:w="141" w:type="pct"/>
            <w:tcBorders>
              <w:top w:val="nil"/>
              <w:left w:val="nil"/>
              <w:bottom w:val="nil"/>
              <w:right w:val="nil"/>
            </w:tcBorders>
            <w:shd w:val="clear" w:color="auto" w:fill="auto"/>
            <w:vAlign w:val="bottom"/>
          </w:tcPr>
          <w:p w14:paraId="33945B93" w14:textId="130A67D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76</w:t>
            </w:r>
          </w:p>
        </w:tc>
        <w:tc>
          <w:tcPr>
            <w:tcW w:w="141" w:type="pct"/>
            <w:tcBorders>
              <w:top w:val="nil"/>
              <w:left w:val="nil"/>
              <w:bottom w:val="nil"/>
              <w:right w:val="nil"/>
            </w:tcBorders>
            <w:shd w:val="clear" w:color="auto" w:fill="auto"/>
            <w:vAlign w:val="bottom"/>
          </w:tcPr>
          <w:p w14:paraId="5D89E24E" w14:textId="113E6FC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91</w:t>
            </w:r>
          </w:p>
        </w:tc>
        <w:tc>
          <w:tcPr>
            <w:tcW w:w="141" w:type="pct"/>
            <w:tcBorders>
              <w:top w:val="nil"/>
              <w:left w:val="nil"/>
              <w:bottom w:val="nil"/>
              <w:right w:val="nil"/>
            </w:tcBorders>
            <w:shd w:val="clear" w:color="auto" w:fill="auto"/>
            <w:vAlign w:val="bottom"/>
          </w:tcPr>
          <w:p w14:paraId="0DBBA441" w14:textId="2352385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86</w:t>
            </w:r>
          </w:p>
        </w:tc>
        <w:tc>
          <w:tcPr>
            <w:tcW w:w="141" w:type="pct"/>
            <w:tcBorders>
              <w:top w:val="nil"/>
              <w:left w:val="nil"/>
              <w:bottom w:val="nil"/>
              <w:right w:val="nil"/>
            </w:tcBorders>
            <w:shd w:val="clear" w:color="auto" w:fill="auto"/>
            <w:vAlign w:val="bottom"/>
          </w:tcPr>
          <w:p w14:paraId="729903E3" w14:textId="4B3671C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81</w:t>
            </w:r>
          </w:p>
        </w:tc>
        <w:tc>
          <w:tcPr>
            <w:tcW w:w="141" w:type="pct"/>
            <w:tcBorders>
              <w:top w:val="nil"/>
              <w:left w:val="nil"/>
              <w:bottom w:val="nil"/>
              <w:right w:val="nil"/>
            </w:tcBorders>
            <w:shd w:val="clear" w:color="auto" w:fill="auto"/>
            <w:vAlign w:val="bottom"/>
          </w:tcPr>
          <w:p w14:paraId="73371718" w14:textId="02B8077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89</w:t>
            </w:r>
          </w:p>
        </w:tc>
        <w:tc>
          <w:tcPr>
            <w:tcW w:w="141" w:type="pct"/>
            <w:tcBorders>
              <w:top w:val="nil"/>
              <w:left w:val="nil"/>
              <w:bottom w:val="nil"/>
              <w:right w:val="nil"/>
            </w:tcBorders>
            <w:shd w:val="clear" w:color="auto" w:fill="auto"/>
            <w:vAlign w:val="bottom"/>
          </w:tcPr>
          <w:p w14:paraId="237DE8D5" w14:textId="6901F7E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92</w:t>
            </w:r>
          </w:p>
        </w:tc>
        <w:tc>
          <w:tcPr>
            <w:tcW w:w="141" w:type="pct"/>
            <w:tcBorders>
              <w:top w:val="nil"/>
              <w:left w:val="nil"/>
              <w:bottom w:val="nil"/>
              <w:right w:val="nil"/>
            </w:tcBorders>
            <w:shd w:val="clear" w:color="auto" w:fill="auto"/>
            <w:vAlign w:val="bottom"/>
          </w:tcPr>
          <w:p w14:paraId="305A099F" w14:textId="0B8F425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128</w:t>
            </w:r>
          </w:p>
        </w:tc>
        <w:tc>
          <w:tcPr>
            <w:tcW w:w="141" w:type="pct"/>
            <w:tcBorders>
              <w:top w:val="nil"/>
              <w:left w:val="nil"/>
              <w:bottom w:val="nil"/>
              <w:right w:val="nil"/>
            </w:tcBorders>
            <w:shd w:val="clear" w:color="auto" w:fill="auto"/>
            <w:vAlign w:val="bottom"/>
          </w:tcPr>
          <w:p w14:paraId="092FF53A" w14:textId="11EFE42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162</w:t>
            </w:r>
          </w:p>
        </w:tc>
        <w:tc>
          <w:tcPr>
            <w:tcW w:w="141" w:type="pct"/>
            <w:tcBorders>
              <w:top w:val="nil"/>
              <w:left w:val="nil"/>
              <w:bottom w:val="nil"/>
              <w:right w:val="nil"/>
            </w:tcBorders>
            <w:shd w:val="clear" w:color="auto" w:fill="auto"/>
            <w:vAlign w:val="bottom"/>
          </w:tcPr>
          <w:p w14:paraId="0FDF6B18" w14:textId="3B10BE5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191</w:t>
            </w:r>
          </w:p>
        </w:tc>
        <w:tc>
          <w:tcPr>
            <w:tcW w:w="141" w:type="pct"/>
            <w:tcBorders>
              <w:top w:val="nil"/>
              <w:left w:val="nil"/>
              <w:bottom w:val="nil"/>
              <w:right w:val="nil"/>
            </w:tcBorders>
            <w:shd w:val="clear" w:color="auto" w:fill="auto"/>
            <w:vAlign w:val="bottom"/>
          </w:tcPr>
          <w:p w14:paraId="091C33F7" w14:textId="0C636B2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208</w:t>
            </w:r>
          </w:p>
        </w:tc>
        <w:tc>
          <w:tcPr>
            <w:tcW w:w="141" w:type="pct"/>
            <w:tcBorders>
              <w:top w:val="nil"/>
              <w:left w:val="nil"/>
              <w:bottom w:val="nil"/>
              <w:right w:val="nil"/>
            </w:tcBorders>
            <w:shd w:val="clear" w:color="auto" w:fill="auto"/>
            <w:vAlign w:val="bottom"/>
          </w:tcPr>
          <w:p w14:paraId="1A023FB5" w14:textId="5D124C3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303</w:t>
            </w:r>
          </w:p>
        </w:tc>
        <w:tc>
          <w:tcPr>
            <w:tcW w:w="141" w:type="pct"/>
            <w:tcBorders>
              <w:top w:val="nil"/>
              <w:left w:val="nil"/>
              <w:bottom w:val="nil"/>
              <w:right w:val="nil"/>
            </w:tcBorders>
            <w:shd w:val="clear" w:color="auto" w:fill="auto"/>
            <w:vAlign w:val="bottom"/>
          </w:tcPr>
          <w:p w14:paraId="6352C656" w14:textId="2203021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451</w:t>
            </w:r>
          </w:p>
        </w:tc>
        <w:tc>
          <w:tcPr>
            <w:tcW w:w="141" w:type="pct"/>
            <w:tcBorders>
              <w:top w:val="nil"/>
              <w:left w:val="nil"/>
              <w:bottom w:val="nil"/>
              <w:right w:val="nil"/>
            </w:tcBorders>
            <w:shd w:val="clear" w:color="auto" w:fill="auto"/>
            <w:vAlign w:val="bottom"/>
          </w:tcPr>
          <w:p w14:paraId="798FCB4C" w14:textId="687529D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500</w:t>
            </w:r>
          </w:p>
        </w:tc>
        <w:tc>
          <w:tcPr>
            <w:tcW w:w="141" w:type="pct"/>
            <w:tcBorders>
              <w:top w:val="nil"/>
              <w:left w:val="nil"/>
              <w:bottom w:val="nil"/>
              <w:right w:val="nil"/>
            </w:tcBorders>
            <w:shd w:val="clear" w:color="auto" w:fill="auto"/>
            <w:vAlign w:val="bottom"/>
          </w:tcPr>
          <w:p w14:paraId="1C771EB1" w14:textId="71D2067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547</w:t>
            </w:r>
          </w:p>
        </w:tc>
        <w:tc>
          <w:tcPr>
            <w:tcW w:w="141" w:type="pct"/>
            <w:tcBorders>
              <w:top w:val="nil"/>
              <w:left w:val="nil"/>
              <w:bottom w:val="nil"/>
              <w:right w:val="nil"/>
            </w:tcBorders>
            <w:shd w:val="clear" w:color="auto" w:fill="auto"/>
            <w:vAlign w:val="bottom"/>
          </w:tcPr>
          <w:p w14:paraId="20E13E59" w14:textId="2150329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594</w:t>
            </w:r>
          </w:p>
        </w:tc>
        <w:tc>
          <w:tcPr>
            <w:tcW w:w="141" w:type="pct"/>
            <w:tcBorders>
              <w:top w:val="nil"/>
              <w:left w:val="nil"/>
              <w:bottom w:val="nil"/>
              <w:right w:val="nil"/>
            </w:tcBorders>
            <w:shd w:val="clear" w:color="auto" w:fill="auto"/>
            <w:vAlign w:val="bottom"/>
          </w:tcPr>
          <w:p w14:paraId="7C21B232" w14:textId="1CB1BFD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683</w:t>
            </w:r>
          </w:p>
        </w:tc>
        <w:tc>
          <w:tcPr>
            <w:tcW w:w="141" w:type="pct"/>
            <w:tcBorders>
              <w:top w:val="nil"/>
              <w:left w:val="nil"/>
              <w:bottom w:val="nil"/>
              <w:right w:val="nil"/>
            </w:tcBorders>
            <w:shd w:val="clear" w:color="auto" w:fill="auto"/>
            <w:vAlign w:val="bottom"/>
          </w:tcPr>
          <w:p w14:paraId="33BE2E83" w14:textId="6A18A38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727</w:t>
            </w:r>
          </w:p>
        </w:tc>
        <w:tc>
          <w:tcPr>
            <w:tcW w:w="141" w:type="pct"/>
            <w:tcBorders>
              <w:top w:val="nil"/>
              <w:left w:val="nil"/>
              <w:bottom w:val="nil"/>
              <w:right w:val="nil"/>
            </w:tcBorders>
            <w:shd w:val="clear" w:color="auto" w:fill="auto"/>
            <w:vAlign w:val="bottom"/>
          </w:tcPr>
          <w:p w14:paraId="220B254B" w14:textId="53276BC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641</w:t>
            </w:r>
          </w:p>
        </w:tc>
        <w:tc>
          <w:tcPr>
            <w:tcW w:w="141" w:type="pct"/>
            <w:tcBorders>
              <w:top w:val="nil"/>
              <w:left w:val="nil"/>
              <w:bottom w:val="nil"/>
              <w:right w:val="nil"/>
            </w:tcBorders>
            <w:shd w:val="clear" w:color="auto" w:fill="auto"/>
            <w:vAlign w:val="bottom"/>
          </w:tcPr>
          <w:p w14:paraId="20A26F96" w14:textId="2A5DFF8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561</w:t>
            </w:r>
          </w:p>
        </w:tc>
        <w:tc>
          <w:tcPr>
            <w:tcW w:w="141" w:type="pct"/>
            <w:tcBorders>
              <w:top w:val="nil"/>
              <w:left w:val="nil"/>
              <w:bottom w:val="nil"/>
              <w:right w:val="nil"/>
            </w:tcBorders>
            <w:shd w:val="clear" w:color="auto" w:fill="auto"/>
            <w:vAlign w:val="bottom"/>
          </w:tcPr>
          <w:p w14:paraId="129F8FF5" w14:textId="732139F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498</w:t>
            </w:r>
          </w:p>
        </w:tc>
        <w:tc>
          <w:tcPr>
            <w:tcW w:w="141" w:type="pct"/>
            <w:tcBorders>
              <w:top w:val="nil"/>
              <w:left w:val="nil"/>
              <w:bottom w:val="nil"/>
              <w:right w:val="nil"/>
            </w:tcBorders>
            <w:shd w:val="clear" w:color="auto" w:fill="auto"/>
            <w:vAlign w:val="bottom"/>
          </w:tcPr>
          <w:p w14:paraId="0E6261E7" w14:textId="5CB94A4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320</w:t>
            </w:r>
          </w:p>
        </w:tc>
        <w:tc>
          <w:tcPr>
            <w:tcW w:w="141" w:type="pct"/>
            <w:tcBorders>
              <w:top w:val="nil"/>
              <w:left w:val="nil"/>
              <w:bottom w:val="nil"/>
              <w:right w:val="nil"/>
            </w:tcBorders>
            <w:shd w:val="clear" w:color="auto" w:fill="auto"/>
            <w:vAlign w:val="bottom"/>
          </w:tcPr>
          <w:p w14:paraId="6F52A1B9" w14:textId="4B62D9A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80</w:t>
            </w:r>
          </w:p>
        </w:tc>
        <w:tc>
          <w:tcPr>
            <w:tcW w:w="141" w:type="pct"/>
            <w:tcBorders>
              <w:top w:val="nil"/>
              <w:left w:val="nil"/>
              <w:bottom w:val="nil"/>
              <w:right w:val="nil"/>
            </w:tcBorders>
            <w:shd w:val="clear" w:color="auto" w:fill="auto"/>
            <w:vAlign w:val="bottom"/>
          </w:tcPr>
          <w:p w14:paraId="501328F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0A18A2F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E30BFE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F3E3F5B"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7211627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1FFA87D5"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6939B6BD"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662471FC"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1F35BE0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6BC787C0" w14:textId="2DA4E238"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7183</w:t>
            </w:r>
          </w:p>
        </w:tc>
      </w:tr>
      <w:tr w:rsidR="00F4063A" w:rsidRPr="00F830FB" w14:paraId="689D4EAC" w14:textId="77777777" w:rsidTr="00F4063A">
        <w:tc>
          <w:tcPr>
            <w:tcW w:w="188" w:type="pct"/>
            <w:tcBorders>
              <w:top w:val="nil"/>
              <w:left w:val="nil"/>
              <w:bottom w:val="nil"/>
              <w:right w:val="nil"/>
            </w:tcBorders>
          </w:tcPr>
          <w:p w14:paraId="5309FCBC"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25</w:t>
            </w:r>
          </w:p>
        </w:tc>
        <w:tc>
          <w:tcPr>
            <w:tcW w:w="141" w:type="pct"/>
            <w:tcBorders>
              <w:top w:val="nil"/>
              <w:left w:val="nil"/>
              <w:bottom w:val="nil"/>
              <w:right w:val="nil"/>
            </w:tcBorders>
            <w:shd w:val="clear" w:color="auto" w:fill="auto"/>
            <w:vAlign w:val="bottom"/>
          </w:tcPr>
          <w:p w14:paraId="41318912" w14:textId="2448842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21</w:t>
            </w:r>
          </w:p>
        </w:tc>
        <w:tc>
          <w:tcPr>
            <w:tcW w:w="141" w:type="pct"/>
            <w:tcBorders>
              <w:top w:val="nil"/>
              <w:left w:val="nil"/>
              <w:bottom w:val="nil"/>
              <w:right w:val="nil"/>
            </w:tcBorders>
            <w:shd w:val="clear" w:color="auto" w:fill="auto"/>
            <w:vAlign w:val="bottom"/>
          </w:tcPr>
          <w:p w14:paraId="24644A0A" w14:textId="0D0198A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52</w:t>
            </w:r>
          </w:p>
        </w:tc>
        <w:tc>
          <w:tcPr>
            <w:tcW w:w="141" w:type="pct"/>
            <w:tcBorders>
              <w:top w:val="nil"/>
              <w:left w:val="nil"/>
              <w:bottom w:val="nil"/>
              <w:right w:val="nil"/>
            </w:tcBorders>
            <w:shd w:val="clear" w:color="auto" w:fill="auto"/>
            <w:vAlign w:val="bottom"/>
          </w:tcPr>
          <w:p w14:paraId="36791496" w14:textId="11499D5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72</w:t>
            </w:r>
          </w:p>
        </w:tc>
        <w:tc>
          <w:tcPr>
            <w:tcW w:w="141" w:type="pct"/>
            <w:tcBorders>
              <w:top w:val="nil"/>
              <w:left w:val="nil"/>
              <w:bottom w:val="nil"/>
              <w:right w:val="nil"/>
            </w:tcBorders>
            <w:shd w:val="clear" w:color="auto" w:fill="auto"/>
            <w:vAlign w:val="bottom"/>
          </w:tcPr>
          <w:p w14:paraId="5E1785BF" w14:textId="5025598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73</w:t>
            </w:r>
          </w:p>
        </w:tc>
        <w:tc>
          <w:tcPr>
            <w:tcW w:w="141" w:type="pct"/>
            <w:tcBorders>
              <w:top w:val="nil"/>
              <w:left w:val="nil"/>
              <w:bottom w:val="nil"/>
              <w:right w:val="nil"/>
            </w:tcBorders>
            <w:shd w:val="clear" w:color="auto" w:fill="auto"/>
            <w:vAlign w:val="bottom"/>
          </w:tcPr>
          <w:p w14:paraId="4772E6A0" w14:textId="43E7C0B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84</w:t>
            </w:r>
          </w:p>
        </w:tc>
        <w:tc>
          <w:tcPr>
            <w:tcW w:w="141" w:type="pct"/>
            <w:tcBorders>
              <w:top w:val="nil"/>
              <w:left w:val="nil"/>
              <w:bottom w:val="nil"/>
              <w:right w:val="nil"/>
            </w:tcBorders>
            <w:shd w:val="clear" w:color="auto" w:fill="auto"/>
            <w:vAlign w:val="bottom"/>
          </w:tcPr>
          <w:p w14:paraId="1E0653BB" w14:textId="4E46030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89</w:t>
            </w:r>
          </w:p>
        </w:tc>
        <w:tc>
          <w:tcPr>
            <w:tcW w:w="141" w:type="pct"/>
            <w:tcBorders>
              <w:top w:val="nil"/>
              <w:left w:val="nil"/>
              <w:bottom w:val="nil"/>
              <w:right w:val="nil"/>
            </w:tcBorders>
            <w:shd w:val="clear" w:color="auto" w:fill="auto"/>
            <w:vAlign w:val="bottom"/>
          </w:tcPr>
          <w:p w14:paraId="73C6EAF9" w14:textId="6EEFEC7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84</w:t>
            </w:r>
          </w:p>
        </w:tc>
        <w:tc>
          <w:tcPr>
            <w:tcW w:w="141" w:type="pct"/>
            <w:tcBorders>
              <w:top w:val="nil"/>
              <w:left w:val="nil"/>
              <w:bottom w:val="nil"/>
              <w:right w:val="nil"/>
            </w:tcBorders>
            <w:shd w:val="clear" w:color="auto" w:fill="auto"/>
            <w:vAlign w:val="bottom"/>
          </w:tcPr>
          <w:p w14:paraId="31313B95" w14:textId="054FED9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93</w:t>
            </w:r>
          </w:p>
        </w:tc>
        <w:tc>
          <w:tcPr>
            <w:tcW w:w="141" w:type="pct"/>
            <w:tcBorders>
              <w:top w:val="nil"/>
              <w:left w:val="nil"/>
              <w:bottom w:val="nil"/>
              <w:right w:val="nil"/>
            </w:tcBorders>
            <w:shd w:val="clear" w:color="auto" w:fill="auto"/>
            <w:vAlign w:val="bottom"/>
          </w:tcPr>
          <w:p w14:paraId="48C796F9" w14:textId="665AC20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96</w:t>
            </w:r>
          </w:p>
        </w:tc>
        <w:tc>
          <w:tcPr>
            <w:tcW w:w="141" w:type="pct"/>
            <w:tcBorders>
              <w:top w:val="nil"/>
              <w:left w:val="nil"/>
              <w:bottom w:val="nil"/>
              <w:right w:val="nil"/>
            </w:tcBorders>
            <w:shd w:val="clear" w:color="auto" w:fill="auto"/>
            <w:vAlign w:val="bottom"/>
          </w:tcPr>
          <w:p w14:paraId="2BF7B21D" w14:textId="42D1556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134</w:t>
            </w:r>
          </w:p>
        </w:tc>
        <w:tc>
          <w:tcPr>
            <w:tcW w:w="141" w:type="pct"/>
            <w:tcBorders>
              <w:top w:val="nil"/>
              <w:left w:val="nil"/>
              <w:bottom w:val="nil"/>
              <w:right w:val="nil"/>
            </w:tcBorders>
            <w:shd w:val="clear" w:color="auto" w:fill="auto"/>
            <w:vAlign w:val="bottom"/>
          </w:tcPr>
          <w:p w14:paraId="5878CC57" w14:textId="73C68E0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168</w:t>
            </w:r>
          </w:p>
        </w:tc>
        <w:tc>
          <w:tcPr>
            <w:tcW w:w="141" w:type="pct"/>
            <w:tcBorders>
              <w:top w:val="nil"/>
              <w:left w:val="nil"/>
              <w:bottom w:val="nil"/>
              <w:right w:val="nil"/>
            </w:tcBorders>
            <w:shd w:val="clear" w:color="auto" w:fill="auto"/>
            <w:vAlign w:val="bottom"/>
          </w:tcPr>
          <w:p w14:paraId="2D43FC39" w14:textId="2344CB6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199</w:t>
            </w:r>
          </w:p>
        </w:tc>
        <w:tc>
          <w:tcPr>
            <w:tcW w:w="141" w:type="pct"/>
            <w:tcBorders>
              <w:top w:val="nil"/>
              <w:left w:val="nil"/>
              <w:bottom w:val="nil"/>
              <w:right w:val="nil"/>
            </w:tcBorders>
            <w:shd w:val="clear" w:color="auto" w:fill="auto"/>
            <w:vAlign w:val="bottom"/>
          </w:tcPr>
          <w:p w14:paraId="242FEFA6" w14:textId="213B6B3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217</w:t>
            </w:r>
          </w:p>
        </w:tc>
        <w:tc>
          <w:tcPr>
            <w:tcW w:w="141" w:type="pct"/>
            <w:tcBorders>
              <w:top w:val="nil"/>
              <w:left w:val="nil"/>
              <w:bottom w:val="nil"/>
              <w:right w:val="nil"/>
            </w:tcBorders>
            <w:shd w:val="clear" w:color="auto" w:fill="auto"/>
            <w:vAlign w:val="bottom"/>
          </w:tcPr>
          <w:p w14:paraId="5E097E15" w14:textId="7F8CACB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316</w:t>
            </w:r>
          </w:p>
        </w:tc>
        <w:tc>
          <w:tcPr>
            <w:tcW w:w="141" w:type="pct"/>
            <w:tcBorders>
              <w:top w:val="nil"/>
              <w:left w:val="nil"/>
              <w:bottom w:val="nil"/>
              <w:right w:val="nil"/>
            </w:tcBorders>
            <w:shd w:val="clear" w:color="auto" w:fill="auto"/>
            <w:vAlign w:val="bottom"/>
          </w:tcPr>
          <w:p w14:paraId="2D36D01C" w14:textId="52CAC7D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456</w:t>
            </w:r>
          </w:p>
        </w:tc>
        <w:tc>
          <w:tcPr>
            <w:tcW w:w="141" w:type="pct"/>
            <w:tcBorders>
              <w:top w:val="nil"/>
              <w:left w:val="nil"/>
              <w:bottom w:val="nil"/>
              <w:right w:val="nil"/>
            </w:tcBorders>
            <w:shd w:val="clear" w:color="auto" w:fill="auto"/>
            <w:vAlign w:val="bottom"/>
          </w:tcPr>
          <w:p w14:paraId="2ADA8BE7" w14:textId="48624BF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488</w:t>
            </w:r>
          </w:p>
        </w:tc>
        <w:tc>
          <w:tcPr>
            <w:tcW w:w="141" w:type="pct"/>
            <w:tcBorders>
              <w:top w:val="nil"/>
              <w:left w:val="nil"/>
              <w:bottom w:val="nil"/>
              <w:right w:val="nil"/>
            </w:tcBorders>
            <w:shd w:val="clear" w:color="auto" w:fill="auto"/>
            <w:vAlign w:val="bottom"/>
          </w:tcPr>
          <w:p w14:paraId="1D35EC92" w14:textId="7E09250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534</w:t>
            </w:r>
          </w:p>
        </w:tc>
        <w:tc>
          <w:tcPr>
            <w:tcW w:w="141" w:type="pct"/>
            <w:tcBorders>
              <w:top w:val="nil"/>
              <w:left w:val="nil"/>
              <w:bottom w:val="nil"/>
              <w:right w:val="nil"/>
            </w:tcBorders>
            <w:shd w:val="clear" w:color="auto" w:fill="auto"/>
            <w:vAlign w:val="bottom"/>
          </w:tcPr>
          <w:p w14:paraId="38C153BD" w14:textId="3FDEB01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578</w:t>
            </w:r>
          </w:p>
        </w:tc>
        <w:tc>
          <w:tcPr>
            <w:tcW w:w="141" w:type="pct"/>
            <w:tcBorders>
              <w:top w:val="nil"/>
              <w:left w:val="nil"/>
              <w:bottom w:val="nil"/>
              <w:right w:val="nil"/>
            </w:tcBorders>
            <w:shd w:val="clear" w:color="auto" w:fill="auto"/>
            <w:vAlign w:val="bottom"/>
          </w:tcPr>
          <w:p w14:paraId="6BB64410" w14:textId="5D16833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664</w:t>
            </w:r>
          </w:p>
        </w:tc>
        <w:tc>
          <w:tcPr>
            <w:tcW w:w="141" w:type="pct"/>
            <w:tcBorders>
              <w:top w:val="nil"/>
              <w:left w:val="nil"/>
              <w:bottom w:val="nil"/>
              <w:right w:val="nil"/>
            </w:tcBorders>
            <w:shd w:val="clear" w:color="auto" w:fill="auto"/>
            <w:vAlign w:val="bottom"/>
          </w:tcPr>
          <w:p w14:paraId="4A5E01D0" w14:textId="43B5213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705</w:t>
            </w:r>
          </w:p>
        </w:tc>
        <w:tc>
          <w:tcPr>
            <w:tcW w:w="141" w:type="pct"/>
            <w:tcBorders>
              <w:top w:val="nil"/>
              <w:left w:val="nil"/>
              <w:bottom w:val="nil"/>
              <w:right w:val="nil"/>
            </w:tcBorders>
            <w:shd w:val="clear" w:color="auto" w:fill="auto"/>
            <w:vAlign w:val="bottom"/>
          </w:tcPr>
          <w:p w14:paraId="137866E6" w14:textId="7C4B305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621</w:t>
            </w:r>
          </w:p>
        </w:tc>
        <w:tc>
          <w:tcPr>
            <w:tcW w:w="141" w:type="pct"/>
            <w:tcBorders>
              <w:top w:val="nil"/>
              <w:left w:val="nil"/>
              <w:bottom w:val="nil"/>
              <w:right w:val="nil"/>
            </w:tcBorders>
            <w:shd w:val="clear" w:color="auto" w:fill="auto"/>
            <w:vAlign w:val="bottom"/>
          </w:tcPr>
          <w:p w14:paraId="0D105355" w14:textId="6B8BA1E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543</w:t>
            </w:r>
          </w:p>
        </w:tc>
        <w:tc>
          <w:tcPr>
            <w:tcW w:w="141" w:type="pct"/>
            <w:tcBorders>
              <w:top w:val="nil"/>
              <w:left w:val="nil"/>
              <w:bottom w:val="nil"/>
              <w:right w:val="nil"/>
            </w:tcBorders>
            <w:shd w:val="clear" w:color="auto" w:fill="auto"/>
            <w:vAlign w:val="bottom"/>
          </w:tcPr>
          <w:p w14:paraId="4659AC2F" w14:textId="66CFCCD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481</w:t>
            </w:r>
          </w:p>
        </w:tc>
        <w:tc>
          <w:tcPr>
            <w:tcW w:w="141" w:type="pct"/>
            <w:tcBorders>
              <w:top w:val="nil"/>
              <w:left w:val="nil"/>
              <w:bottom w:val="nil"/>
              <w:right w:val="nil"/>
            </w:tcBorders>
            <w:shd w:val="clear" w:color="auto" w:fill="auto"/>
            <w:vAlign w:val="bottom"/>
          </w:tcPr>
          <w:p w14:paraId="792F6BC6" w14:textId="4CF2933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308</w:t>
            </w:r>
          </w:p>
        </w:tc>
        <w:tc>
          <w:tcPr>
            <w:tcW w:w="141" w:type="pct"/>
            <w:tcBorders>
              <w:top w:val="nil"/>
              <w:left w:val="nil"/>
              <w:bottom w:val="nil"/>
              <w:right w:val="nil"/>
            </w:tcBorders>
            <w:shd w:val="clear" w:color="auto" w:fill="auto"/>
            <w:vAlign w:val="bottom"/>
          </w:tcPr>
          <w:p w14:paraId="2B468FEE" w14:textId="1107BFB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77</w:t>
            </w:r>
          </w:p>
        </w:tc>
        <w:tc>
          <w:tcPr>
            <w:tcW w:w="141" w:type="pct"/>
            <w:tcBorders>
              <w:top w:val="nil"/>
              <w:left w:val="nil"/>
              <w:bottom w:val="nil"/>
              <w:right w:val="nil"/>
            </w:tcBorders>
            <w:shd w:val="clear" w:color="auto" w:fill="auto"/>
            <w:vAlign w:val="bottom"/>
          </w:tcPr>
          <w:p w14:paraId="4D0C60D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6EEB3D7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1A0FA2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27A8BB5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0F282CBD"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1348F540"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70F560A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1088EC2A"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6FD8BB7B" w14:textId="2987575C"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7151</w:t>
            </w:r>
          </w:p>
        </w:tc>
      </w:tr>
      <w:tr w:rsidR="00F4063A" w:rsidRPr="00F830FB" w14:paraId="34151ED7" w14:textId="77777777" w:rsidTr="00F4063A">
        <w:tc>
          <w:tcPr>
            <w:tcW w:w="188" w:type="pct"/>
            <w:tcBorders>
              <w:top w:val="nil"/>
              <w:left w:val="nil"/>
              <w:bottom w:val="nil"/>
              <w:right w:val="nil"/>
            </w:tcBorders>
          </w:tcPr>
          <w:p w14:paraId="75E01963"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26</w:t>
            </w:r>
          </w:p>
        </w:tc>
        <w:tc>
          <w:tcPr>
            <w:tcW w:w="141" w:type="pct"/>
            <w:tcBorders>
              <w:top w:val="nil"/>
              <w:left w:val="nil"/>
              <w:bottom w:val="nil"/>
              <w:right w:val="nil"/>
            </w:tcBorders>
            <w:shd w:val="clear" w:color="auto" w:fill="auto"/>
            <w:vAlign w:val="bottom"/>
          </w:tcPr>
          <w:p w14:paraId="313AE34D" w14:textId="2CD838C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18</w:t>
            </w:r>
          </w:p>
        </w:tc>
        <w:tc>
          <w:tcPr>
            <w:tcW w:w="141" w:type="pct"/>
            <w:tcBorders>
              <w:top w:val="nil"/>
              <w:left w:val="nil"/>
              <w:bottom w:val="nil"/>
              <w:right w:val="nil"/>
            </w:tcBorders>
            <w:shd w:val="clear" w:color="auto" w:fill="auto"/>
            <w:vAlign w:val="bottom"/>
          </w:tcPr>
          <w:p w14:paraId="3B2ED006" w14:textId="7E078C3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50</w:t>
            </w:r>
          </w:p>
        </w:tc>
        <w:tc>
          <w:tcPr>
            <w:tcW w:w="141" w:type="pct"/>
            <w:tcBorders>
              <w:top w:val="nil"/>
              <w:left w:val="nil"/>
              <w:bottom w:val="nil"/>
              <w:right w:val="nil"/>
            </w:tcBorders>
            <w:shd w:val="clear" w:color="auto" w:fill="auto"/>
            <w:vAlign w:val="bottom"/>
          </w:tcPr>
          <w:p w14:paraId="0DEF41DC" w14:textId="029A732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72</w:t>
            </w:r>
          </w:p>
        </w:tc>
        <w:tc>
          <w:tcPr>
            <w:tcW w:w="141" w:type="pct"/>
            <w:tcBorders>
              <w:top w:val="nil"/>
              <w:left w:val="nil"/>
              <w:bottom w:val="nil"/>
              <w:right w:val="nil"/>
            </w:tcBorders>
            <w:shd w:val="clear" w:color="auto" w:fill="auto"/>
            <w:vAlign w:val="bottom"/>
          </w:tcPr>
          <w:p w14:paraId="2EBE59EF" w14:textId="7A410F2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69</w:t>
            </w:r>
          </w:p>
        </w:tc>
        <w:tc>
          <w:tcPr>
            <w:tcW w:w="141" w:type="pct"/>
            <w:tcBorders>
              <w:top w:val="nil"/>
              <w:left w:val="nil"/>
              <w:bottom w:val="nil"/>
              <w:right w:val="nil"/>
            </w:tcBorders>
            <w:shd w:val="clear" w:color="auto" w:fill="auto"/>
            <w:vAlign w:val="bottom"/>
          </w:tcPr>
          <w:p w14:paraId="578CE477" w14:textId="2CEF903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67</w:t>
            </w:r>
          </w:p>
        </w:tc>
        <w:tc>
          <w:tcPr>
            <w:tcW w:w="141" w:type="pct"/>
            <w:tcBorders>
              <w:top w:val="nil"/>
              <w:left w:val="nil"/>
              <w:bottom w:val="nil"/>
              <w:right w:val="nil"/>
            </w:tcBorders>
            <w:shd w:val="clear" w:color="auto" w:fill="auto"/>
            <w:vAlign w:val="bottom"/>
          </w:tcPr>
          <w:p w14:paraId="53257D60" w14:textId="16C8DA7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88</w:t>
            </w:r>
          </w:p>
        </w:tc>
        <w:tc>
          <w:tcPr>
            <w:tcW w:w="141" w:type="pct"/>
            <w:tcBorders>
              <w:top w:val="nil"/>
              <w:left w:val="nil"/>
              <w:bottom w:val="nil"/>
              <w:right w:val="nil"/>
            </w:tcBorders>
            <w:shd w:val="clear" w:color="auto" w:fill="auto"/>
            <w:vAlign w:val="bottom"/>
          </w:tcPr>
          <w:p w14:paraId="6047A50A" w14:textId="327278C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93</w:t>
            </w:r>
          </w:p>
        </w:tc>
        <w:tc>
          <w:tcPr>
            <w:tcW w:w="141" w:type="pct"/>
            <w:tcBorders>
              <w:top w:val="nil"/>
              <w:left w:val="nil"/>
              <w:bottom w:val="nil"/>
              <w:right w:val="nil"/>
            </w:tcBorders>
            <w:shd w:val="clear" w:color="auto" w:fill="auto"/>
            <w:vAlign w:val="bottom"/>
          </w:tcPr>
          <w:p w14:paraId="37935051" w14:textId="6C911B5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88</w:t>
            </w:r>
          </w:p>
        </w:tc>
        <w:tc>
          <w:tcPr>
            <w:tcW w:w="141" w:type="pct"/>
            <w:tcBorders>
              <w:top w:val="nil"/>
              <w:left w:val="nil"/>
              <w:bottom w:val="nil"/>
              <w:right w:val="nil"/>
            </w:tcBorders>
            <w:shd w:val="clear" w:color="auto" w:fill="auto"/>
            <w:vAlign w:val="bottom"/>
          </w:tcPr>
          <w:p w14:paraId="297D0B8B" w14:textId="15D22A9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97</w:t>
            </w:r>
          </w:p>
        </w:tc>
        <w:tc>
          <w:tcPr>
            <w:tcW w:w="141" w:type="pct"/>
            <w:tcBorders>
              <w:top w:val="nil"/>
              <w:left w:val="nil"/>
              <w:bottom w:val="nil"/>
              <w:right w:val="nil"/>
            </w:tcBorders>
            <w:shd w:val="clear" w:color="auto" w:fill="auto"/>
            <w:vAlign w:val="bottom"/>
          </w:tcPr>
          <w:p w14:paraId="3D309E5A" w14:textId="3AB91BB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100</w:t>
            </w:r>
          </w:p>
        </w:tc>
        <w:tc>
          <w:tcPr>
            <w:tcW w:w="141" w:type="pct"/>
            <w:tcBorders>
              <w:top w:val="nil"/>
              <w:left w:val="nil"/>
              <w:bottom w:val="nil"/>
              <w:right w:val="nil"/>
            </w:tcBorders>
            <w:shd w:val="clear" w:color="auto" w:fill="auto"/>
            <w:vAlign w:val="bottom"/>
          </w:tcPr>
          <w:p w14:paraId="0D37A7C8" w14:textId="6A68A65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139</w:t>
            </w:r>
          </w:p>
        </w:tc>
        <w:tc>
          <w:tcPr>
            <w:tcW w:w="141" w:type="pct"/>
            <w:tcBorders>
              <w:top w:val="nil"/>
              <w:left w:val="nil"/>
              <w:bottom w:val="nil"/>
              <w:right w:val="nil"/>
            </w:tcBorders>
            <w:shd w:val="clear" w:color="auto" w:fill="auto"/>
            <w:vAlign w:val="bottom"/>
          </w:tcPr>
          <w:p w14:paraId="2B2C6944" w14:textId="4BC29BF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176</w:t>
            </w:r>
          </w:p>
        </w:tc>
        <w:tc>
          <w:tcPr>
            <w:tcW w:w="141" w:type="pct"/>
            <w:tcBorders>
              <w:top w:val="nil"/>
              <w:left w:val="nil"/>
              <w:bottom w:val="nil"/>
              <w:right w:val="nil"/>
            </w:tcBorders>
            <w:shd w:val="clear" w:color="auto" w:fill="auto"/>
            <w:vAlign w:val="bottom"/>
          </w:tcPr>
          <w:p w14:paraId="61CF25BA" w14:textId="03E73C3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207</w:t>
            </w:r>
          </w:p>
        </w:tc>
        <w:tc>
          <w:tcPr>
            <w:tcW w:w="141" w:type="pct"/>
            <w:tcBorders>
              <w:top w:val="nil"/>
              <w:left w:val="nil"/>
              <w:bottom w:val="nil"/>
              <w:right w:val="nil"/>
            </w:tcBorders>
            <w:shd w:val="clear" w:color="auto" w:fill="auto"/>
            <w:vAlign w:val="bottom"/>
          </w:tcPr>
          <w:p w14:paraId="62E72A1C" w14:textId="58FCB9E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226</w:t>
            </w:r>
          </w:p>
        </w:tc>
        <w:tc>
          <w:tcPr>
            <w:tcW w:w="141" w:type="pct"/>
            <w:tcBorders>
              <w:top w:val="nil"/>
              <w:left w:val="nil"/>
              <w:bottom w:val="nil"/>
              <w:right w:val="nil"/>
            </w:tcBorders>
            <w:shd w:val="clear" w:color="auto" w:fill="auto"/>
            <w:vAlign w:val="bottom"/>
          </w:tcPr>
          <w:p w14:paraId="59475055" w14:textId="7274C32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319</w:t>
            </w:r>
          </w:p>
        </w:tc>
        <w:tc>
          <w:tcPr>
            <w:tcW w:w="141" w:type="pct"/>
            <w:tcBorders>
              <w:top w:val="nil"/>
              <w:left w:val="nil"/>
              <w:bottom w:val="nil"/>
              <w:right w:val="nil"/>
            </w:tcBorders>
            <w:shd w:val="clear" w:color="auto" w:fill="auto"/>
            <w:vAlign w:val="bottom"/>
          </w:tcPr>
          <w:p w14:paraId="1FE1B6C1" w14:textId="046FD97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445</w:t>
            </w:r>
          </w:p>
        </w:tc>
        <w:tc>
          <w:tcPr>
            <w:tcW w:w="141" w:type="pct"/>
            <w:tcBorders>
              <w:top w:val="nil"/>
              <w:left w:val="nil"/>
              <w:bottom w:val="nil"/>
              <w:right w:val="nil"/>
            </w:tcBorders>
            <w:shd w:val="clear" w:color="auto" w:fill="auto"/>
            <w:vAlign w:val="bottom"/>
          </w:tcPr>
          <w:p w14:paraId="312CD6D7" w14:textId="51F7189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475</w:t>
            </w:r>
          </w:p>
        </w:tc>
        <w:tc>
          <w:tcPr>
            <w:tcW w:w="141" w:type="pct"/>
            <w:tcBorders>
              <w:top w:val="nil"/>
              <w:left w:val="nil"/>
              <w:bottom w:val="nil"/>
              <w:right w:val="nil"/>
            </w:tcBorders>
            <w:shd w:val="clear" w:color="auto" w:fill="auto"/>
            <w:vAlign w:val="bottom"/>
          </w:tcPr>
          <w:p w14:paraId="203ACFF2" w14:textId="0F76B7E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519</w:t>
            </w:r>
          </w:p>
        </w:tc>
        <w:tc>
          <w:tcPr>
            <w:tcW w:w="141" w:type="pct"/>
            <w:tcBorders>
              <w:top w:val="nil"/>
              <w:left w:val="nil"/>
              <w:bottom w:val="nil"/>
              <w:right w:val="nil"/>
            </w:tcBorders>
            <w:shd w:val="clear" w:color="auto" w:fill="auto"/>
            <w:vAlign w:val="bottom"/>
          </w:tcPr>
          <w:p w14:paraId="0B484897" w14:textId="58795C4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562</w:t>
            </w:r>
          </w:p>
        </w:tc>
        <w:tc>
          <w:tcPr>
            <w:tcW w:w="141" w:type="pct"/>
            <w:tcBorders>
              <w:top w:val="nil"/>
              <w:left w:val="nil"/>
              <w:bottom w:val="nil"/>
              <w:right w:val="nil"/>
            </w:tcBorders>
            <w:shd w:val="clear" w:color="auto" w:fill="auto"/>
            <w:vAlign w:val="bottom"/>
          </w:tcPr>
          <w:p w14:paraId="6F157BE1" w14:textId="42D6D1D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644</w:t>
            </w:r>
          </w:p>
        </w:tc>
        <w:tc>
          <w:tcPr>
            <w:tcW w:w="141" w:type="pct"/>
            <w:tcBorders>
              <w:top w:val="nil"/>
              <w:left w:val="nil"/>
              <w:bottom w:val="nil"/>
              <w:right w:val="nil"/>
            </w:tcBorders>
            <w:shd w:val="clear" w:color="auto" w:fill="auto"/>
            <w:vAlign w:val="bottom"/>
          </w:tcPr>
          <w:p w14:paraId="263E5B54" w14:textId="463CCCB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683</w:t>
            </w:r>
          </w:p>
        </w:tc>
        <w:tc>
          <w:tcPr>
            <w:tcW w:w="141" w:type="pct"/>
            <w:tcBorders>
              <w:top w:val="nil"/>
              <w:left w:val="nil"/>
              <w:bottom w:val="nil"/>
              <w:right w:val="nil"/>
            </w:tcBorders>
            <w:shd w:val="clear" w:color="auto" w:fill="auto"/>
            <w:vAlign w:val="bottom"/>
          </w:tcPr>
          <w:p w14:paraId="41427145" w14:textId="58A6264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600</w:t>
            </w:r>
          </w:p>
        </w:tc>
        <w:tc>
          <w:tcPr>
            <w:tcW w:w="141" w:type="pct"/>
            <w:tcBorders>
              <w:top w:val="nil"/>
              <w:left w:val="nil"/>
              <w:bottom w:val="nil"/>
              <w:right w:val="nil"/>
            </w:tcBorders>
            <w:shd w:val="clear" w:color="auto" w:fill="auto"/>
            <w:vAlign w:val="bottom"/>
          </w:tcPr>
          <w:p w14:paraId="2D00300C" w14:textId="7917397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524</w:t>
            </w:r>
          </w:p>
        </w:tc>
        <w:tc>
          <w:tcPr>
            <w:tcW w:w="141" w:type="pct"/>
            <w:tcBorders>
              <w:top w:val="nil"/>
              <w:left w:val="nil"/>
              <w:bottom w:val="nil"/>
              <w:right w:val="nil"/>
            </w:tcBorders>
            <w:shd w:val="clear" w:color="auto" w:fill="auto"/>
            <w:vAlign w:val="bottom"/>
          </w:tcPr>
          <w:p w14:paraId="7B3FF6E0" w14:textId="0B05B6D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463</w:t>
            </w:r>
          </w:p>
        </w:tc>
        <w:tc>
          <w:tcPr>
            <w:tcW w:w="141" w:type="pct"/>
            <w:tcBorders>
              <w:top w:val="nil"/>
              <w:left w:val="nil"/>
              <w:bottom w:val="nil"/>
              <w:right w:val="nil"/>
            </w:tcBorders>
            <w:shd w:val="clear" w:color="auto" w:fill="auto"/>
            <w:vAlign w:val="bottom"/>
          </w:tcPr>
          <w:p w14:paraId="5FEEEA41" w14:textId="75436F8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296</w:t>
            </w:r>
          </w:p>
        </w:tc>
        <w:tc>
          <w:tcPr>
            <w:tcW w:w="141" w:type="pct"/>
            <w:tcBorders>
              <w:top w:val="nil"/>
              <w:left w:val="nil"/>
              <w:bottom w:val="nil"/>
              <w:right w:val="nil"/>
            </w:tcBorders>
            <w:shd w:val="clear" w:color="auto" w:fill="auto"/>
            <w:vAlign w:val="bottom"/>
          </w:tcPr>
          <w:p w14:paraId="6B9DBB9E" w14:textId="356590D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73</w:t>
            </w:r>
          </w:p>
        </w:tc>
        <w:tc>
          <w:tcPr>
            <w:tcW w:w="141" w:type="pct"/>
            <w:tcBorders>
              <w:top w:val="nil"/>
              <w:left w:val="nil"/>
              <w:bottom w:val="nil"/>
              <w:right w:val="nil"/>
            </w:tcBorders>
            <w:shd w:val="clear" w:color="auto" w:fill="auto"/>
            <w:vAlign w:val="bottom"/>
          </w:tcPr>
          <w:p w14:paraId="1D338DD8"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DD54B3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AB4771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5848B671"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788C0322"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2E6139B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62F11ABE"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569BDA5E" w14:textId="482F362B"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7092</w:t>
            </w:r>
          </w:p>
        </w:tc>
      </w:tr>
      <w:tr w:rsidR="00F4063A" w:rsidRPr="00F830FB" w14:paraId="5A0836A2" w14:textId="77777777" w:rsidTr="00F4063A">
        <w:tc>
          <w:tcPr>
            <w:tcW w:w="188" w:type="pct"/>
            <w:tcBorders>
              <w:top w:val="nil"/>
              <w:left w:val="nil"/>
              <w:bottom w:val="nil"/>
              <w:right w:val="nil"/>
            </w:tcBorders>
          </w:tcPr>
          <w:p w14:paraId="294CFE04"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27</w:t>
            </w:r>
          </w:p>
        </w:tc>
        <w:tc>
          <w:tcPr>
            <w:tcW w:w="141" w:type="pct"/>
            <w:tcBorders>
              <w:top w:val="nil"/>
              <w:left w:val="nil"/>
              <w:bottom w:val="nil"/>
              <w:right w:val="nil"/>
            </w:tcBorders>
            <w:shd w:val="clear" w:color="auto" w:fill="auto"/>
            <w:vAlign w:val="bottom"/>
          </w:tcPr>
          <w:p w14:paraId="09B9A61D" w14:textId="7D7D0D6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13</w:t>
            </w:r>
          </w:p>
        </w:tc>
        <w:tc>
          <w:tcPr>
            <w:tcW w:w="141" w:type="pct"/>
            <w:tcBorders>
              <w:top w:val="nil"/>
              <w:left w:val="nil"/>
              <w:bottom w:val="nil"/>
              <w:right w:val="nil"/>
            </w:tcBorders>
            <w:shd w:val="clear" w:color="auto" w:fill="auto"/>
            <w:vAlign w:val="bottom"/>
          </w:tcPr>
          <w:p w14:paraId="32266507" w14:textId="4178572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42</w:t>
            </w:r>
          </w:p>
        </w:tc>
        <w:tc>
          <w:tcPr>
            <w:tcW w:w="141" w:type="pct"/>
            <w:tcBorders>
              <w:top w:val="nil"/>
              <w:left w:val="nil"/>
              <w:bottom w:val="nil"/>
              <w:right w:val="nil"/>
            </w:tcBorders>
            <w:shd w:val="clear" w:color="auto" w:fill="auto"/>
            <w:vAlign w:val="bottom"/>
          </w:tcPr>
          <w:p w14:paraId="05FE83C1" w14:textId="40B43D1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69</w:t>
            </w:r>
          </w:p>
        </w:tc>
        <w:tc>
          <w:tcPr>
            <w:tcW w:w="141" w:type="pct"/>
            <w:tcBorders>
              <w:top w:val="nil"/>
              <w:left w:val="nil"/>
              <w:bottom w:val="nil"/>
              <w:right w:val="nil"/>
            </w:tcBorders>
            <w:shd w:val="clear" w:color="auto" w:fill="auto"/>
            <w:vAlign w:val="bottom"/>
          </w:tcPr>
          <w:p w14:paraId="10113E29" w14:textId="5D99B2D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69</w:t>
            </w:r>
          </w:p>
        </w:tc>
        <w:tc>
          <w:tcPr>
            <w:tcW w:w="141" w:type="pct"/>
            <w:tcBorders>
              <w:top w:val="nil"/>
              <w:left w:val="nil"/>
              <w:bottom w:val="nil"/>
              <w:right w:val="nil"/>
            </w:tcBorders>
            <w:shd w:val="clear" w:color="auto" w:fill="auto"/>
            <w:vAlign w:val="bottom"/>
          </w:tcPr>
          <w:p w14:paraId="008A6378" w14:textId="6C6DCC9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64</w:t>
            </w:r>
          </w:p>
        </w:tc>
        <w:tc>
          <w:tcPr>
            <w:tcW w:w="141" w:type="pct"/>
            <w:tcBorders>
              <w:top w:val="nil"/>
              <w:left w:val="nil"/>
              <w:bottom w:val="nil"/>
              <w:right w:val="nil"/>
            </w:tcBorders>
            <w:shd w:val="clear" w:color="auto" w:fill="auto"/>
            <w:vAlign w:val="bottom"/>
          </w:tcPr>
          <w:p w14:paraId="5816AB63" w14:textId="2587723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70</w:t>
            </w:r>
          </w:p>
        </w:tc>
        <w:tc>
          <w:tcPr>
            <w:tcW w:w="141" w:type="pct"/>
            <w:tcBorders>
              <w:top w:val="nil"/>
              <w:left w:val="nil"/>
              <w:bottom w:val="nil"/>
              <w:right w:val="nil"/>
            </w:tcBorders>
            <w:shd w:val="clear" w:color="auto" w:fill="auto"/>
            <w:vAlign w:val="bottom"/>
          </w:tcPr>
          <w:p w14:paraId="78B9E907" w14:textId="5836402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91</w:t>
            </w:r>
          </w:p>
        </w:tc>
        <w:tc>
          <w:tcPr>
            <w:tcW w:w="141" w:type="pct"/>
            <w:tcBorders>
              <w:top w:val="nil"/>
              <w:left w:val="nil"/>
              <w:bottom w:val="nil"/>
              <w:right w:val="nil"/>
            </w:tcBorders>
            <w:shd w:val="clear" w:color="auto" w:fill="auto"/>
            <w:vAlign w:val="bottom"/>
          </w:tcPr>
          <w:p w14:paraId="0F2DA4B6" w14:textId="34475E7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97</w:t>
            </w:r>
          </w:p>
        </w:tc>
        <w:tc>
          <w:tcPr>
            <w:tcW w:w="141" w:type="pct"/>
            <w:tcBorders>
              <w:top w:val="nil"/>
              <w:left w:val="nil"/>
              <w:bottom w:val="nil"/>
              <w:right w:val="nil"/>
            </w:tcBorders>
            <w:shd w:val="clear" w:color="auto" w:fill="auto"/>
            <w:vAlign w:val="bottom"/>
          </w:tcPr>
          <w:p w14:paraId="651494A2" w14:textId="3100270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91</w:t>
            </w:r>
          </w:p>
        </w:tc>
        <w:tc>
          <w:tcPr>
            <w:tcW w:w="141" w:type="pct"/>
            <w:tcBorders>
              <w:top w:val="nil"/>
              <w:left w:val="nil"/>
              <w:bottom w:val="nil"/>
              <w:right w:val="nil"/>
            </w:tcBorders>
            <w:shd w:val="clear" w:color="auto" w:fill="auto"/>
            <w:vAlign w:val="bottom"/>
          </w:tcPr>
          <w:p w14:paraId="619705BB" w14:textId="6DE697B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101</w:t>
            </w:r>
          </w:p>
        </w:tc>
        <w:tc>
          <w:tcPr>
            <w:tcW w:w="141" w:type="pct"/>
            <w:tcBorders>
              <w:top w:val="nil"/>
              <w:left w:val="nil"/>
              <w:bottom w:val="nil"/>
              <w:right w:val="nil"/>
            </w:tcBorders>
            <w:shd w:val="clear" w:color="auto" w:fill="auto"/>
            <w:vAlign w:val="bottom"/>
          </w:tcPr>
          <w:p w14:paraId="79C3D2F0" w14:textId="4257A66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104</w:t>
            </w:r>
          </w:p>
        </w:tc>
        <w:tc>
          <w:tcPr>
            <w:tcW w:w="141" w:type="pct"/>
            <w:tcBorders>
              <w:top w:val="nil"/>
              <w:left w:val="nil"/>
              <w:bottom w:val="nil"/>
              <w:right w:val="nil"/>
            </w:tcBorders>
            <w:shd w:val="clear" w:color="auto" w:fill="auto"/>
            <w:vAlign w:val="bottom"/>
          </w:tcPr>
          <w:p w14:paraId="688032A0" w14:textId="379732D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145</w:t>
            </w:r>
          </w:p>
        </w:tc>
        <w:tc>
          <w:tcPr>
            <w:tcW w:w="141" w:type="pct"/>
            <w:tcBorders>
              <w:top w:val="nil"/>
              <w:left w:val="nil"/>
              <w:bottom w:val="nil"/>
              <w:right w:val="nil"/>
            </w:tcBorders>
            <w:shd w:val="clear" w:color="auto" w:fill="auto"/>
            <w:vAlign w:val="bottom"/>
          </w:tcPr>
          <w:p w14:paraId="192324A1" w14:textId="3E86BDF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183</w:t>
            </w:r>
          </w:p>
        </w:tc>
        <w:tc>
          <w:tcPr>
            <w:tcW w:w="141" w:type="pct"/>
            <w:tcBorders>
              <w:top w:val="nil"/>
              <w:left w:val="nil"/>
              <w:bottom w:val="nil"/>
              <w:right w:val="nil"/>
            </w:tcBorders>
            <w:shd w:val="clear" w:color="auto" w:fill="auto"/>
            <w:vAlign w:val="bottom"/>
          </w:tcPr>
          <w:p w14:paraId="7440FBAB" w14:textId="5231C43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216</w:t>
            </w:r>
          </w:p>
        </w:tc>
        <w:tc>
          <w:tcPr>
            <w:tcW w:w="141" w:type="pct"/>
            <w:tcBorders>
              <w:top w:val="nil"/>
              <w:left w:val="nil"/>
              <w:bottom w:val="nil"/>
              <w:right w:val="nil"/>
            </w:tcBorders>
            <w:shd w:val="clear" w:color="auto" w:fill="auto"/>
            <w:vAlign w:val="bottom"/>
          </w:tcPr>
          <w:p w14:paraId="7C03BE63" w14:textId="5A40F02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229</w:t>
            </w:r>
          </w:p>
        </w:tc>
        <w:tc>
          <w:tcPr>
            <w:tcW w:w="141" w:type="pct"/>
            <w:tcBorders>
              <w:top w:val="nil"/>
              <w:left w:val="nil"/>
              <w:bottom w:val="nil"/>
              <w:right w:val="nil"/>
            </w:tcBorders>
            <w:shd w:val="clear" w:color="auto" w:fill="auto"/>
            <w:vAlign w:val="bottom"/>
          </w:tcPr>
          <w:p w14:paraId="36ABD221" w14:textId="084B072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311</w:t>
            </w:r>
          </w:p>
        </w:tc>
        <w:tc>
          <w:tcPr>
            <w:tcW w:w="141" w:type="pct"/>
            <w:tcBorders>
              <w:top w:val="nil"/>
              <w:left w:val="nil"/>
              <w:bottom w:val="nil"/>
              <w:right w:val="nil"/>
            </w:tcBorders>
            <w:shd w:val="clear" w:color="auto" w:fill="auto"/>
            <w:vAlign w:val="bottom"/>
          </w:tcPr>
          <w:p w14:paraId="78A900B2" w14:textId="415D3E7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433</w:t>
            </w:r>
          </w:p>
        </w:tc>
        <w:tc>
          <w:tcPr>
            <w:tcW w:w="141" w:type="pct"/>
            <w:tcBorders>
              <w:top w:val="nil"/>
              <w:left w:val="nil"/>
              <w:bottom w:val="nil"/>
              <w:right w:val="nil"/>
            </w:tcBorders>
            <w:shd w:val="clear" w:color="auto" w:fill="auto"/>
            <w:vAlign w:val="bottom"/>
          </w:tcPr>
          <w:p w14:paraId="068C9C29" w14:textId="31329EB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463</w:t>
            </w:r>
          </w:p>
        </w:tc>
        <w:tc>
          <w:tcPr>
            <w:tcW w:w="141" w:type="pct"/>
            <w:tcBorders>
              <w:top w:val="nil"/>
              <w:left w:val="nil"/>
              <w:bottom w:val="nil"/>
              <w:right w:val="nil"/>
            </w:tcBorders>
            <w:shd w:val="clear" w:color="auto" w:fill="auto"/>
            <w:vAlign w:val="bottom"/>
          </w:tcPr>
          <w:p w14:paraId="5B4F8F29" w14:textId="7DFFCED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505</w:t>
            </w:r>
          </w:p>
        </w:tc>
        <w:tc>
          <w:tcPr>
            <w:tcW w:w="141" w:type="pct"/>
            <w:tcBorders>
              <w:top w:val="nil"/>
              <w:left w:val="nil"/>
              <w:bottom w:val="nil"/>
              <w:right w:val="nil"/>
            </w:tcBorders>
            <w:shd w:val="clear" w:color="auto" w:fill="auto"/>
            <w:vAlign w:val="bottom"/>
          </w:tcPr>
          <w:p w14:paraId="1633EF90" w14:textId="59AFBBD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545</w:t>
            </w:r>
          </w:p>
        </w:tc>
        <w:tc>
          <w:tcPr>
            <w:tcW w:w="141" w:type="pct"/>
            <w:tcBorders>
              <w:top w:val="nil"/>
              <w:left w:val="nil"/>
              <w:bottom w:val="nil"/>
              <w:right w:val="nil"/>
            </w:tcBorders>
            <w:shd w:val="clear" w:color="auto" w:fill="auto"/>
            <w:vAlign w:val="bottom"/>
          </w:tcPr>
          <w:p w14:paraId="617A2EB8" w14:textId="45C612E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624</w:t>
            </w:r>
          </w:p>
        </w:tc>
        <w:tc>
          <w:tcPr>
            <w:tcW w:w="141" w:type="pct"/>
            <w:tcBorders>
              <w:top w:val="nil"/>
              <w:left w:val="nil"/>
              <w:bottom w:val="nil"/>
              <w:right w:val="nil"/>
            </w:tcBorders>
            <w:shd w:val="clear" w:color="auto" w:fill="auto"/>
            <w:vAlign w:val="bottom"/>
          </w:tcPr>
          <w:p w14:paraId="275F26A8" w14:textId="5AD0F68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660</w:t>
            </w:r>
          </w:p>
        </w:tc>
        <w:tc>
          <w:tcPr>
            <w:tcW w:w="141" w:type="pct"/>
            <w:tcBorders>
              <w:top w:val="nil"/>
              <w:left w:val="nil"/>
              <w:bottom w:val="nil"/>
              <w:right w:val="nil"/>
            </w:tcBorders>
            <w:shd w:val="clear" w:color="auto" w:fill="auto"/>
            <w:vAlign w:val="bottom"/>
          </w:tcPr>
          <w:p w14:paraId="085ABE65" w14:textId="6409633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579</w:t>
            </w:r>
          </w:p>
        </w:tc>
        <w:tc>
          <w:tcPr>
            <w:tcW w:w="141" w:type="pct"/>
            <w:tcBorders>
              <w:top w:val="nil"/>
              <w:left w:val="nil"/>
              <w:bottom w:val="nil"/>
              <w:right w:val="nil"/>
            </w:tcBorders>
            <w:shd w:val="clear" w:color="auto" w:fill="auto"/>
            <w:vAlign w:val="bottom"/>
          </w:tcPr>
          <w:p w14:paraId="1C46E77C" w14:textId="5730C18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504</w:t>
            </w:r>
          </w:p>
        </w:tc>
        <w:tc>
          <w:tcPr>
            <w:tcW w:w="141" w:type="pct"/>
            <w:tcBorders>
              <w:top w:val="nil"/>
              <w:left w:val="nil"/>
              <w:bottom w:val="nil"/>
              <w:right w:val="nil"/>
            </w:tcBorders>
            <w:shd w:val="clear" w:color="auto" w:fill="auto"/>
            <w:vAlign w:val="bottom"/>
          </w:tcPr>
          <w:p w14:paraId="672B3BC3" w14:textId="047D0B8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444</w:t>
            </w:r>
          </w:p>
        </w:tc>
        <w:tc>
          <w:tcPr>
            <w:tcW w:w="141" w:type="pct"/>
            <w:tcBorders>
              <w:top w:val="nil"/>
              <w:left w:val="nil"/>
              <w:bottom w:val="nil"/>
              <w:right w:val="nil"/>
            </w:tcBorders>
            <w:shd w:val="clear" w:color="auto" w:fill="auto"/>
            <w:vAlign w:val="bottom"/>
          </w:tcPr>
          <w:p w14:paraId="00A09F21" w14:textId="70D044F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283</w:t>
            </w:r>
          </w:p>
        </w:tc>
        <w:tc>
          <w:tcPr>
            <w:tcW w:w="141" w:type="pct"/>
            <w:tcBorders>
              <w:top w:val="nil"/>
              <w:left w:val="nil"/>
              <w:bottom w:val="nil"/>
              <w:right w:val="nil"/>
            </w:tcBorders>
            <w:shd w:val="clear" w:color="auto" w:fill="auto"/>
            <w:vAlign w:val="bottom"/>
          </w:tcPr>
          <w:p w14:paraId="2D056F0F" w14:textId="00F2264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70</w:t>
            </w:r>
          </w:p>
        </w:tc>
        <w:tc>
          <w:tcPr>
            <w:tcW w:w="141" w:type="pct"/>
            <w:tcBorders>
              <w:top w:val="nil"/>
              <w:left w:val="nil"/>
              <w:bottom w:val="nil"/>
              <w:right w:val="nil"/>
            </w:tcBorders>
            <w:shd w:val="clear" w:color="auto" w:fill="auto"/>
            <w:vAlign w:val="bottom"/>
          </w:tcPr>
          <w:p w14:paraId="4482638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41" w:type="pct"/>
            <w:tcBorders>
              <w:top w:val="nil"/>
              <w:left w:val="nil"/>
              <w:bottom w:val="nil"/>
              <w:right w:val="nil"/>
            </w:tcBorders>
            <w:shd w:val="clear" w:color="auto" w:fill="auto"/>
            <w:vAlign w:val="bottom"/>
          </w:tcPr>
          <w:p w14:paraId="5930DF30"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42EF0BF4"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67AA6F79"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10835B0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1A4744B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3B237339" w14:textId="563DEFFA"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7006</w:t>
            </w:r>
          </w:p>
        </w:tc>
      </w:tr>
      <w:tr w:rsidR="00F4063A" w:rsidRPr="00F830FB" w14:paraId="54E96943" w14:textId="77777777" w:rsidTr="00F4063A">
        <w:tc>
          <w:tcPr>
            <w:tcW w:w="188" w:type="pct"/>
            <w:tcBorders>
              <w:top w:val="nil"/>
              <w:left w:val="nil"/>
              <w:bottom w:val="nil"/>
              <w:right w:val="nil"/>
            </w:tcBorders>
          </w:tcPr>
          <w:p w14:paraId="0824D865"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28</w:t>
            </w:r>
          </w:p>
        </w:tc>
        <w:tc>
          <w:tcPr>
            <w:tcW w:w="141" w:type="pct"/>
            <w:tcBorders>
              <w:top w:val="nil"/>
              <w:left w:val="nil"/>
              <w:bottom w:val="nil"/>
              <w:right w:val="nil"/>
            </w:tcBorders>
            <w:shd w:val="clear" w:color="auto" w:fill="auto"/>
            <w:vAlign w:val="bottom"/>
          </w:tcPr>
          <w:p w14:paraId="088E519E" w14:textId="4B4FE1A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12</w:t>
            </w:r>
          </w:p>
        </w:tc>
        <w:tc>
          <w:tcPr>
            <w:tcW w:w="141" w:type="pct"/>
            <w:tcBorders>
              <w:top w:val="nil"/>
              <w:left w:val="nil"/>
              <w:bottom w:val="nil"/>
              <w:right w:val="nil"/>
            </w:tcBorders>
            <w:shd w:val="clear" w:color="auto" w:fill="auto"/>
            <w:vAlign w:val="bottom"/>
          </w:tcPr>
          <w:p w14:paraId="56DDD358" w14:textId="5290A11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31</w:t>
            </w:r>
          </w:p>
        </w:tc>
        <w:tc>
          <w:tcPr>
            <w:tcW w:w="141" w:type="pct"/>
            <w:tcBorders>
              <w:top w:val="nil"/>
              <w:left w:val="nil"/>
              <w:bottom w:val="nil"/>
              <w:right w:val="nil"/>
            </w:tcBorders>
            <w:shd w:val="clear" w:color="auto" w:fill="auto"/>
            <w:vAlign w:val="bottom"/>
          </w:tcPr>
          <w:p w14:paraId="1701B29C" w14:textId="11814FB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58</w:t>
            </w:r>
          </w:p>
        </w:tc>
        <w:tc>
          <w:tcPr>
            <w:tcW w:w="141" w:type="pct"/>
            <w:tcBorders>
              <w:top w:val="nil"/>
              <w:left w:val="nil"/>
              <w:bottom w:val="nil"/>
              <w:right w:val="nil"/>
            </w:tcBorders>
            <w:shd w:val="clear" w:color="auto" w:fill="auto"/>
            <w:vAlign w:val="bottom"/>
          </w:tcPr>
          <w:p w14:paraId="372DC3C5" w14:textId="28DB0CB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66</w:t>
            </w:r>
          </w:p>
        </w:tc>
        <w:tc>
          <w:tcPr>
            <w:tcW w:w="141" w:type="pct"/>
            <w:tcBorders>
              <w:top w:val="nil"/>
              <w:left w:val="nil"/>
              <w:bottom w:val="nil"/>
              <w:right w:val="nil"/>
            </w:tcBorders>
            <w:shd w:val="clear" w:color="auto" w:fill="auto"/>
            <w:vAlign w:val="bottom"/>
          </w:tcPr>
          <w:p w14:paraId="71BC1FC6" w14:textId="7682E8D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63</w:t>
            </w:r>
          </w:p>
        </w:tc>
        <w:tc>
          <w:tcPr>
            <w:tcW w:w="141" w:type="pct"/>
            <w:tcBorders>
              <w:top w:val="nil"/>
              <w:left w:val="nil"/>
              <w:bottom w:val="nil"/>
              <w:right w:val="nil"/>
            </w:tcBorders>
            <w:shd w:val="clear" w:color="auto" w:fill="auto"/>
            <w:vAlign w:val="bottom"/>
          </w:tcPr>
          <w:p w14:paraId="591BEC82" w14:textId="1D8F3AA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66</w:t>
            </w:r>
          </w:p>
        </w:tc>
        <w:tc>
          <w:tcPr>
            <w:tcW w:w="141" w:type="pct"/>
            <w:tcBorders>
              <w:top w:val="nil"/>
              <w:left w:val="nil"/>
              <w:bottom w:val="nil"/>
              <w:right w:val="nil"/>
            </w:tcBorders>
            <w:shd w:val="clear" w:color="auto" w:fill="auto"/>
            <w:vAlign w:val="bottom"/>
          </w:tcPr>
          <w:p w14:paraId="1F4D218D" w14:textId="1AC980F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73</w:t>
            </w:r>
          </w:p>
        </w:tc>
        <w:tc>
          <w:tcPr>
            <w:tcW w:w="141" w:type="pct"/>
            <w:tcBorders>
              <w:top w:val="nil"/>
              <w:left w:val="nil"/>
              <w:bottom w:val="nil"/>
              <w:right w:val="nil"/>
            </w:tcBorders>
            <w:shd w:val="clear" w:color="auto" w:fill="auto"/>
            <w:vAlign w:val="bottom"/>
          </w:tcPr>
          <w:p w14:paraId="6D0CEE65" w14:textId="3F665AD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95</w:t>
            </w:r>
          </w:p>
        </w:tc>
        <w:tc>
          <w:tcPr>
            <w:tcW w:w="141" w:type="pct"/>
            <w:tcBorders>
              <w:top w:val="nil"/>
              <w:left w:val="nil"/>
              <w:bottom w:val="nil"/>
              <w:right w:val="nil"/>
            </w:tcBorders>
            <w:shd w:val="clear" w:color="auto" w:fill="auto"/>
            <w:vAlign w:val="bottom"/>
          </w:tcPr>
          <w:p w14:paraId="2422802B" w14:textId="54B7469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101</w:t>
            </w:r>
          </w:p>
        </w:tc>
        <w:tc>
          <w:tcPr>
            <w:tcW w:w="141" w:type="pct"/>
            <w:tcBorders>
              <w:top w:val="nil"/>
              <w:left w:val="nil"/>
              <w:bottom w:val="nil"/>
              <w:right w:val="nil"/>
            </w:tcBorders>
            <w:shd w:val="clear" w:color="auto" w:fill="auto"/>
            <w:vAlign w:val="bottom"/>
          </w:tcPr>
          <w:p w14:paraId="5A9BC59D" w14:textId="161BE4F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95</w:t>
            </w:r>
          </w:p>
        </w:tc>
        <w:tc>
          <w:tcPr>
            <w:tcW w:w="141" w:type="pct"/>
            <w:tcBorders>
              <w:top w:val="nil"/>
              <w:left w:val="nil"/>
              <w:bottom w:val="nil"/>
              <w:right w:val="nil"/>
            </w:tcBorders>
            <w:shd w:val="clear" w:color="auto" w:fill="auto"/>
            <w:vAlign w:val="bottom"/>
          </w:tcPr>
          <w:p w14:paraId="24F909A1" w14:textId="472B0CC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105</w:t>
            </w:r>
          </w:p>
        </w:tc>
        <w:tc>
          <w:tcPr>
            <w:tcW w:w="141" w:type="pct"/>
            <w:tcBorders>
              <w:top w:val="nil"/>
              <w:left w:val="nil"/>
              <w:bottom w:val="nil"/>
              <w:right w:val="nil"/>
            </w:tcBorders>
            <w:shd w:val="clear" w:color="auto" w:fill="auto"/>
            <w:vAlign w:val="bottom"/>
          </w:tcPr>
          <w:p w14:paraId="00F3270E" w14:textId="5996FC1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109</w:t>
            </w:r>
          </w:p>
        </w:tc>
        <w:tc>
          <w:tcPr>
            <w:tcW w:w="141" w:type="pct"/>
            <w:tcBorders>
              <w:top w:val="nil"/>
              <w:left w:val="nil"/>
              <w:bottom w:val="nil"/>
              <w:right w:val="nil"/>
            </w:tcBorders>
            <w:shd w:val="clear" w:color="auto" w:fill="auto"/>
            <w:vAlign w:val="bottom"/>
          </w:tcPr>
          <w:p w14:paraId="0B2DF518" w14:textId="10522CF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151</w:t>
            </w:r>
          </w:p>
        </w:tc>
        <w:tc>
          <w:tcPr>
            <w:tcW w:w="141" w:type="pct"/>
            <w:tcBorders>
              <w:top w:val="nil"/>
              <w:left w:val="nil"/>
              <w:bottom w:val="nil"/>
              <w:right w:val="nil"/>
            </w:tcBorders>
            <w:shd w:val="clear" w:color="auto" w:fill="auto"/>
            <w:vAlign w:val="bottom"/>
          </w:tcPr>
          <w:p w14:paraId="7D204540" w14:textId="3B92D59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191</w:t>
            </w:r>
          </w:p>
        </w:tc>
        <w:tc>
          <w:tcPr>
            <w:tcW w:w="141" w:type="pct"/>
            <w:tcBorders>
              <w:top w:val="nil"/>
              <w:left w:val="nil"/>
              <w:bottom w:val="nil"/>
              <w:right w:val="nil"/>
            </w:tcBorders>
            <w:shd w:val="clear" w:color="auto" w:fill="auto"/>
            <w:vAlign w:val="bottom"/>
          </w:tcPr>
          <w:p w14:paraId="5A0DA20B" w14:textId="0B18087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218</w:t>
            </w:r>
          </w:p>
        </w:tc>
        <w:tc>
          <w:tcPr>
            <w:tcW w:w="141" w:type="pct"/>
            <w:tcBorders>
              <w:top w:val="nil"/>
              <w:left w:val="nil"/>
              <w:bottom w:val="nil"/>
              <w:right w:val="nil"/>
            </w:tcBorders>
            <w:shd w:val="clear" w:color="auto" w:fill="auto"/>
            <w:vAlign w:val="bottom"/>
          </w:tcPr>
          <w:p w14:paraId="580E76E8" w14:textId="3409D9E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224</w:t>
            </w:r>
          </w:p>
        </w:tc>
        <w:tc>
          <w:tcPr>
            <w:tcW w:w="141" w:type="pct"/>
            <w:tcBorders>
              <w:top w:val="nil"/>
              <w:left w:val="nil"/>
              <w:bottom w:val="nil"/>
              <w:right w:val="nil"/>
            </w:tcBorders>
            <w:shd w:val="clear" w:color="auto" w:fill="auto"/>
            <w:vAlign w:val="bottom"/>
          </w:tcPr>
          <w:p w14:paraId="3DF4863C" w14:textId="78F96BD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304</w:t>
            </w:r>
          </w:p>
        </w:tc>
        <w:tc>
          <w:tcPr>
            <w:tcW w:w="141" w:type="pct"/>
            <w:tcBorders>
              <w:top w:val="nil"/>
              <w:left w:val="nil"/>
              <w:bottom w:val="nil"/>
              <w:right w:val="nil"/>
            </w:tcBorders>
            <w:shd w:val="clear" w:color="auto" w:fill="auto"/>
            <w:vAlign w:val="bottom"/>
          </w:tcPr>
          <w:p w14:paraId="68CE9179" w14:textId="13AB6A7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422</w:t>
            </w:r>
          </w:p>
        </w:tc>
        <w:tc>
          <w:tcPr>
            <w:tcW w:w="141" w:type="pct"/>
            <w:tcBorders>
              <w:top w:val="nil"/>
              <w:left w:val="nil"/>
              <w:bottom w:val="nil"/>
              <w:right w:val="nil"/>
            </w:tcBorders>
            <w:shd w:val="clear" w:color="auto" w:fill="auto"/>
            <w:vAlign w:val="bottom"/>
          </w:tcPr>
          <w:p w14:paraId="57AFBB74" w14:textId="3220B3E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450</w:t>
            </w:r>
          </w:p>
        </w:tc>
        <w:tc>
          <w:tcPr>
            <w:tcW w:w="141" w:type="pct"/>
            <w:tcBorders>
              <w:top w:val="nil"/>
              <w:left w:val="nil"/>
              <w:bottom w:val="nil"/>
              <w:right w:val="nil"/>
            </w:tcBorders>
            <w:shd w:val="clear" w:color="auto" w:fill="auto"/>
            <w:vAlign w:val="bottom"/>
          </w:tcPr>
          <w:p w14:paraId="0BB72B95" w14:textId="2BA22F6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490</w:t>
            </w:r>
          </w:p>
        </w:tc>
        <w:tc>
          <w:tcPr>
            <w:tcW w:w="141" w:type="pct"/>
            <w:tcBorders>
              <w:top w:val="nil"/>
              <w:left w:val="nil"/>
              <w:bottom w:val="nil"/>
              <w:right w:val="nil"/>
            </w:tcBorders>
            <w:shd w:val="clear" w:color="auto" w:fill="auto"/>
            <w:vAlign w:val="bottom"/>
          </w:tcPr>
          <w:p w14:paraId="0D0FAFD3" w14:textId="0801931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528</w:t>
            </w:r>
          </w:p>
        </w:tc>
        <w:tc>
          <w:tcPr>
            <w:tcW w:w="141" w:type="pct"/>
            <w:tcBorders>
              <w:top w:val="nil"/>
              <w:left w:val="nil"/>
              <w:bottom w:val="nil"/>
              <w:right w:val="nil"/>
            </w:tcBorders>
            <w:shd w:val="clear" w:color="auto" w:fill="auto"/>
            <w:vAlign w:val="bottom"/>
          </w:tcPr>
          <w:p w14:paraId="2DD8EA13" w14:textId="3F7542F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603</w:t>
            </w:r>
          </w:p>
        </w:tc>
        <w:tc>
          <w:tcPr>
            <w:tcW w:w="141" w:type="pct"/>
            <w:tcBorders>
              <w:top w:val="nil"/>
              <w:left w:val="nil"/>
              <w:bottom w:val="nil"/>
              <w:right w:val="nil"/>
            </w:tcBorders>
            <w:shd w:val="clear" w:color="auto" w:fill="auto"/>
            <w:vAlign w:val="bottom"/>
          </w:tcPr>
          <w:p w14:paraId="7598AC1F" w14:textId="10977EA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637</w:t>
            </w:r>
          </w:p>
        </w:tc>
        <w:tc>
          <w:tcPr>
            <w:tcW w:w="141" w:type="pct"/>
            <w:tcBorders>
              <w:top w:val="nil"/>
              <w:left w:val="nil"/>
              <w:bottom w:val="nil"/>
              <w:right w:val="nil"/>
            </w:tcBorders>
            <w:shd w:val="clear" w:color="auto" w:fill="auto"/>
            <w:vAlign w:val="bottom"/>
          </w:tcPr>
          <w:p w14:paraId="7D101D90" w14:textId="61A06B7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557</w:t>
            </w:r>
          </w:p>
        </w:tc>
        <w:tc>
          <w:tcPr>
            <w:tcW w:w="141" w:type="pct"/>
            <w:tcBorders>
              <w:top w:val="nil"/>
              <w:left w:val="nil"/>
              <w:bottom w:val="nil"/>
              <w:right w:val="nil"/>
            </w:tcBorders>
            <w:shd w:val="clear" w:color="auto" w:fill="auto"/>
            <w:vAlign w:val="bottom"/>
          </w:tcPr>
          <w:p w14:paraId="6E4B2AB3" w14:textId="6246C55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484</w:t>
            </w:r>
          </w:p>
        </w:tc>
        <w:tc>
          <w:tcPr>
            <w:tcW w:w="141" w:type="pct"/>
            <w:tcBorders>
              <w:top w:val="nil"/>
              <w:left w:val="nil"/>
              <w:bottom w:val="nil"/>
              <w:right w:val="nil"/>
            </w:tcBorders>
            <w:shd w:val="clear" w:color="auto" w:fill="auto"/>
            <w:vAlign w:val="bottom"/>
          </w:tcPr>
          <w:p w14:paraId="54B20BF0" w14:textId="7EB89EC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425</w:t>
            </w:r>
          </w:p>
        </w:tc>
        <w:tc>
          <w:tcPr>
            <w:tcW w:w="141" w:type="pct"/>
            <w:tcBorders>
              <w:top w:val="nil"/>
              <w:left w:val="nil"/>
              <w:bottom w:val="nil"/>
              <w:right w:val="nil"/>
            </w:tcBorders>
            <w:shd w:val="clear" w:color="auto" w:fill="auto"/>
            <w:vAlign w:val="bottom"/>
          </w:tcPr>
          <w:p w14:paraId="4D80DA37" w14:textId="0BAF8F9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270</w:t>
            </w:r>
          </w:p>
        </w:tc>
        <w:tc>
          <w:tcPr>
            <w:tcW w:w="141" w:type="pct"/>
            <w:tcBorders>
              <w:top w:val="nil"/>
              <w:left w:val="nil"/>
              <w:bottom w:val="nil"/>
              <w:right w:val="nil"/>
            </w:tcBorders>
            <w:shd w:val="clear" w:color="auto" w:fill="auto"/>
            <w:vAlign w:val="bottom"/>
          </w:tcPr>
          <w:p w14:paraId="63405CA0" w14:textId="6925156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66</w:t>
            </w:r>
          </w:p>
        </w:tc>
        <w:tc>
          <w:tcPr>
            <w:tcW w:w="141" w:type="pct"/>
            <w:tcBorders>
              <w:top w:val="nil"/>
              <w:left w:val="nil"/>
              <w:bottom w:val="nil"/>
              <w:right w:val="nil"/>
            </w:tcBorders>
            <w:shd w:val="clear" w:color="auto" w:fill="auto"/>
            <w:vAlign w:val="bottom"/>
          </w:tcPr>
          <w:p w14:paraId="372E4E80"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00" w:type="pct"/>
            <w:tcBorders>
              <w:top w:val="nil"/>
              <w:left w:val="nil"/>
              <w:bottom w:val="nil"/>
              <w:right w:val="nil"/>
            </w:tcBorders>
          </w:tcPr>
          <w:p w14:paraId="06865F51"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6C035F98"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58773AC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71161E15"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788D0443" w14:textId="212C3A4A"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6895</w:t>
            </w:r>
          </w:p>
        </w:tc>
      </w:tr>
      <w:tr w:rsidR="00F4063A" w:rsidRPr="00F830FB" w14:paraId="31CC334F" w14:textId="77777777" w:rsidTr="00F4063A">
        <w:tc>
          <w:tcPr>
            <w:tcW w:w="188" w:type="pct"/>
            <w:tcBorders>
              <w:top w:val="nil"/>
              <w:left w:val="nil"/>
              <w:bottom w:val="nil"/>
              <w:right w:val="nil"/>
            </w:tcBorders>
          </w:tcPr>
          <w:p w14:paraId="197810F9"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28</w:t>
            </w:r>
          </w:p>
        </w:tc>
        <w:tc>
          <w:tcPr>
            <w:tcW w:w="141" w:type="pct"/>
            <w:tcBorders>
              <w:top w:val="nil"/>
              <w:left w:val="nil"/>
              <w:bottom w:val="nil"/>
              <w:right w:val="nil"/>
            </w:tcBorders>
            <w:shd w:val="clear" w:color="auto" w:fill="auto"/>
            <w:vAlign w:val="bottom"/>
          </w:tcPr>
          <w:p w14:paraId="2E2FEDEF" w14:textId="172C958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w:t>
            </w:r>
          </w:p>
        </w:tc>
        <w:tc>
          <w:tcPr>
            <w:tcW w:w="141" w:type="pct"/>
            <w:tcBorders>
              <w:top w:val="nil"/>
              <w:left w:val="nil"/>
              <w:bottom w:val="nil"/>
              <w:right w:val="nil"/>
            </w:tcBorders>
            <w:shd w:val="clear" w:color="auto" w:fill="auto"/>
            <w:vAlign w:val="bottom"/>
          </w:tcPr>
          <w:p w14:paraId="7FC7BC9E" w14:textId="2471C9F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28</w:t>
            </w:r>
          </w:p>
        </w:tc>
        <w:tc>
          <w:tcPr>
            <w:tcW w:w="141" w:type="pct"/>
            <w:tcBorders>
              <w:top w:val="nil"/>
              <w:left w:val="nil"/>
              <w:bottom w:val="nil"/>
              <w:right w:val="nil"/>
            </w:tcBorders>
            <w:shd w:val="clear" w:color="auto" w:fill="auto"/>
            <w:vAlign w:val="bottom"/>
          </w:tcPr>
          <w:p w14:paraId="2C9BEE96" w14:textId="3C5CF13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42</w:t>
            </w:r>
          </w:p>
        </w:tc>
        <w:tc>
          <w:tcPr>
            <w:tcW w:w="141" w:type="pct"/>
            <w:tcBorders>
              <w:top w:val="nil"/>
              <w:left w:val="nil"/>
              <w:bottom w:val="nil"/>
              <w:right w:val="nil"/>
            </w:tcBorders>
            <w:shd w:val="clear" w:color="auto" w:fill="auto"/>
            <w:vAlign w:val="bottom"/>
          </w:tcPr>
          <w:p w14:paraId="751CCDA0" w14:textId="549F0D4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56</w:t>
            </w:r>
          </w:p>
        </w:tc>
        <w:tc>
          <w:tcPr>
            <w:tcW w:w="141" w:type="pct"/>
            <w:tcBorders>
              <w:top w:val="nil"/>
              <w:left w:val="nil"/>
              <w:bottom w:val="nil"/>
              <w:right w:val="nil"/>
            </w:tcBorders>
            <w:shd w:val="clear" w:color="auto" w:fill="auto"/>
            <w:vAlign w:val="bottom"/>
          </w:tcPr>
          <w:p w14:paraId="6D096ADC" w14:textId="74CCE9A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61</w:t>
            </w:r>
          </w:p>
        </w:tc>
        <w:tc>
          <w:tcPr>
            <w:tcW w:w="141" w:type="pct"/>
            <w:tcBorders>
              <w:top w:val="nil"/>
              <w:left w:val="nil"/>
              <w:bottom w:val="nil"/>
              <w:right w:val="nil"/>
            </w:tcBorders>
            <w:shd w:val="clear" w:color="auto" w:fill="auto"/>
            <w:vAlign w:val="bottom"/>
          </w:tcPr>
          <w:p w14:paraId="1D555DF4" w14:textId="1EE2ED5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66</w:t>
            </w:r>
          </w:p>
        </w:tc>
        <w:tc>
          <w:tcPr>
            <w:tcW w:w="141" w:type="pct"/>
            <w:tcBorders>
              <w:top w:val="nil"/>
              <w:left w:val="nil"/>
              <w:bottom w:val="nil"/>
              <w:right w:val="nil"/>
            </w:tcBorders>
            <w:shd w:val="clear" w:color="auto" w:fill="auto"/>
            <w:vAlign w:val="bottom"/>
          </w:tcPr>
          <w:p w14:paraId="6F021FFF" w14:textId="02B700B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69</w:t>
            </w:r>
          </w:p>
        </w:tc>
        <w:tc>
          <w:tcPr>
            <w:tcW w:w="141" w:type="pct"/>
            <w:tcBorders>
              <w:top w:val="nil"/>
              <w:left w:val="nil"/>
              <w:bottom w:val="nil"/>
              <w:right w:val="nil"/>
            </w:tcBorders>
            <w:shd w:val="clear" w:color="auto" w:fill="auto"/>
            <w:vAlign w:val="bottom"/>
          </w:tcPr>
          <w:p w14:paraId="3F9268FB" w14:textId="41A2259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76</w:t>
            </w:r>
          </w:p>
        </w:tc>
        <w:tc>
          <w:tcPr>
            <w:tcW w:w="141" w:type="pct"/>
            <w:tcBorders>
              <w:top w:val="nil"/>
              <w:left w:val="nil"/>
              <w:bottom w:val="nil"/>
              <w:right w:val="nil"/>
            </w:tcBorders>
            <w:shd w:val="clear" w:color="auto" w:fill="auto"/>
            <w:vAlign w:val="bottom"/>
          </w:tcPr>
          <w:p w14:paraId="6ED23C06" w14:textId="048A1BC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99</w:t>
            </w:r>
          </w:p>
        </w:tc>
        <w:tc>
          <w:tcPr>
            <w:tcW w:w="141" w:type="pct"/>
            <w:tcBorders>
              <w:top w:val="nil"/>
              <w:left w:val="nil"/>
              <w:bottom w:val="nil"/>
              <w:right w:val="nil"/>
            </w:tcBorders>
            <w:shd w:val="clear" w:color="auto" w:fill="auto"/>
            <w:vAlign w:val="bottom"/>
          </w:tcPr>
          <w:p w14:paraId="1255A007" w14:textId="4157A78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106</w:t>
            </w:r>
          </w:p>
        </w:tc>
        <w:tc>
          <w:tcPr>
            <w:tcW w:w="141" w:type="pct"/>
            <w:tcBorders>
              <w:top w:val="nil"/>
              <w:left w:val="nil"/>
              <w:bottom w:val="nil"/>
              <w:right w:val="nil"/>
            </w:tcBorders>
            <w:shd w:val="clear" w:color="auto" w:fill="auto"/>
            <w:vAlign w:val="bottom"/>
          </w:tcPr>
          <w:p w14:paraId="79E8EB1B" w14:textId="5AC3063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99</w:t>
            </w:r>
          </w:p>
        </w:tc>
        <w:tc>
          <w:tcPr>
            <w:tcW w:w="141" w:type="pct"/>
            <w:tcBorders>
              <w:top w:val="nil"/>
              <w:left w:val="nil"/>
              <w:bottom w:val="nil"/>
              <w:right w:val="nil"/>
            </w:tcBorders>
            <w:shd w:val="clear" w:color="auto" w:fill="auto"/>
            <w:vAlign w:val="bottom"/>
          </w:tcPr>
          <w:p w14:paraId="77905E58" w14:textId="06D3395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110</w:t>
            </w:r>
          </w:p>
        </w:tc>
        <w:tc>
          <w:tcPr>
            <w:tcW w:w="141" w:type="pct"/>
            <w:tcBorders>
              <w:top w:val="nil"/>
              <w:left w:val="nil"/>
              <w:bottom w:val="nil"/>
              <w:right w:val="nil"/>
            </w:tcBorders>
            <w:shd w:val="clear" w:color="auto" w:fill="auto"/>
            <w:vAlign w:val="bottom"/>
          </w:tcPr>
          <w:p w14:paraId="788059C4" w14:textId="704B76A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113</w:t>
            </w:r>
          </w:p>
        </w:tc>
        <w:tc>
          <w:tcPr>
            <w:tcW w:w="141" w:type="pct"/>
            <w:tcBorders>
              <w:top w:val="nil"/>
              <w:left w:val="nil"/>
              <w:bottom w:val="nil"/>
              <w:right w:val="nil"/>
            </w:tcBorders>
            <w:shd w:val="clear" w:color="auto" w:fill="auto"/>
            <w:vAlign w:val="bottom"/>
          </w:tcPr>
          <w:p w14:paraId="6F00A185" w14:textId="1A13B96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158</w:t>
            </w:r>
          </w:p>
        </w:tc>
        <w:tc>
          <w:tcPr>
            <w:tcW w:w="141" w:type="pct"/>
            <w:tcBorders>
              <w:top w:val="nil"/>
              <w:left w:val="nil"/>
              <w:bottom w:val="nil"/>
              <w:right w:val="nil"/>
            </w:tcBorders>
            <w:shd w:val="clear" w:color="auto" w:fill="auto"/>
            <w:vAlign w:val="bottom"/>
          </w:tcPr>
          <w:p w14:paraId="06416C1F" w14:textId="01BCDBC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193</w:t>
            </w:r>
          </w:p>
        </w:tc>
        <w:tc>
          <w:tcPr>
            <w:tcW w:w="141" w:type="pct"/>
            <w:tcBorders>
              <w:top w:val="nil"/>
              <w:left w:val="nil"/>
              <w:bottom w:val="nil"/>
              <w:right w:val="nil"/>
            </w:tcBorders>
            <w:shd w:val="clear" w:color="auto" w:fill="auto"/>
            <w:vAlign w:val="bottom"/>
          </w:tcPr>
          <w:p w14:paraId="16DD9E08" w14:textId="4547DA4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213</w:t>
            </w:r>
          </w:p>
        </w:tc>
        <w:tc>
          <w:tcPr>
            <w:tcW w:w="141" w:type="pct"/>
            <w:tcBorders>
              <w:top w:val="nil"/>
              <w:left w:val="nil"/>
              <w:bottom w:val="nil"/>
              <w:right w:val="nil"/>
            </w:tcBorders>
            <w:shd w:val="clear" w:color="auto" w:fill="auto"/>
            <w:vAlign w:val="bottom"/>
          </w:tcPr>
          <w:p w14:paraId="4F04584C" w14:textId="708CA03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218</w:t>
            </w:r>
          </w:p>
        </w:tc>
        <w:tc>
          <w:tcPr>
            <w:tcW w:w="141" w:type="pct"/>
            <w:tcBorders>
              <w:top w:val="nil"/>
              <w:left w:val="nil"/>
              <w:bottom w:val="nil"/>
              <w:right w:val="nil"/>
            </w:tcBorders>
            <w:shd w:val="clear" w:color="auto" w:fill="auto"/>
            <w:vAlign w:val="bottom"/>
          </w:tcPr>
          <w:p w14:paraId="74BC28B5" w14:textId="5DEC56F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295</w:t>
            </w:r>
          </w:p>
        </w:tc>
        <w:tc>
          <w:tcPr>
            <w:tcW w:w="141" w:type="pct"/>
            <w:tcBorders>
              <w:top w:val="nil"/>
              <w:left w:val="nil"/>
              <w:bottom w:val="nil"/>
              <w:right w:val="nil"/>
            </w:tcBorders>
            <w:shd w:val="clear" w:color="auto" w:fill="auto"/>
            <w:vAlign w:val="bottom"/>
          </w:tcPr>
          <w:p w14:paraId="7172A46F" w14:textId="4ED0557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410</w:t>
            </w:r>
          </w:p>
        </w:tc>
        <w:tc>
          <w:tcPr>
            <w:tcW w:w="141" w:type="pct"/>
            <w:tcBorders>
              <w:top w:val="nil"/>
              <w:left w:val="nil"/>
              <w:bottom w:val="nil"/>
              <w:right w:val="nil"/>
            </w:tcBorders>
            <w:shd w:val="clear" w:color="auto" w:fill="auto"/>
            <w:vAlign w:val="bottom"/>
          </w:tcPr>
          <w:p w14:paraId="561B19C1" w14:textId="296B57A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436</w:t>
            </w:r>
          </w:p>
        </w:tc>
        <w:tc>
          <w:tcPr>
            <w:tcW w:w="141" w:type="pct"/>
            <w:tcBorders>
              <w:top w:val="nil"/>
              <w:left w:val="nil"/>
              <w:bottom w:val="nil"/>
              <w:right w:val="nil"/>
            </w:tcBorders>
            <w:shd w:val="clear" w:color="auto" w:fill="auto"/>
            <w:vAlign w:val="bottom"/>
          </w:tcPr>
          <w:p w14:paraId="68B7DC73" w14:textId="160E559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474</w:t>
            </w:r>
          </w:p>
        </w:tc>
        <w:tc>
          <w:tcPr>
            <w:tcW w:w="141" w:type="pct"/>
            <w:tcBorders>
              <w:top w:val="nil"/>
              <w:left w:val="nil"/>
              <w:bottom w:val="nil"/>
              <w:right w:val="nil"/>
            </w:tcBorders>
            <w:shd w:val="clear" w:color="auto" w:fill="auto"/>
            <w:vAlign w:val="bottom"/>
          </w:tcPr>
          <w:p w14:paraId="709111B9" w14:textId="3EF67D5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510</w:t>
            </w:r>
          </w:p>
        </w:tc>
        <w:tc>
          <w:tcPr>
            <w:tcW w:w="141" w:type="pct"/>
            <w:tcBorders>
              <w:top w:val="nil"/>
              <w:left w:val="nil"/>
              <w:bottom w:val="nil"/>
              <w:right w:val="nil"/>
            </w:tcBorders>
            <w:shd w:val="clear" w:color="auto" w:fill="auto"/>
            <w:vAlign w:val="bottom"/>
          </w:tcPr>
          <w:p w14:paraId="0861E045" w14:textId="1133334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582</w:t>
            </w:r>
          </w:p>
        </w:tc>
        <w:tc>
          <w:tcPr>
            <w:tcW w:w="141" w:type="pct"/>
            <w:tcBorders>
              <w:top w:val="nil"/>
              <w:left w:val="nil"/>
              <w:bottom w:val="nil"/>
              <w:right w:val="nil"/>
            </w:tcBorders>
            <w:shd w:val="clear" w:color="auto" w:fill="auto"/>
            <w:vAlign w:val="bottom"/>
          </w:tcPr>
          <w:p w14:paraId="2DE5667F" w14:textId="7442AE8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613</w:t>
            </w:r>
          </w:p>
        </w:tc>
        <w:tc>
          <w:tcPr>
            <w:tcW w:w="141" w:type="pct"/>
            <w:tcBorders>
              <w:top w:val="nil"/>
              <w:left w:val="nil"/>
              <w:bottom w:val="nil"/>
              <w:right w:val="nil"/>
            </w:tcBorders>
            <w:shd w:val="clear" w:color="auto" w:fill="auto"/>
            <w:vAlign w:val="bottom"/>
          </w:tcPr>
          <w:p w14:paraId="5499EF27" w14:textId="504B612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535</w:t>
            </w:r>
          </w:p>
        </w:tc>
        <w:tc>
          <w:tcPr>
            <w:tcW w:w="141" w:type="pct"/>
            <w:tcBorders>
              <w:top w:val="nil"/>
              <w:left w:val="nil"/>
              <w:bottom w:val="nil"/>
              <w:right w:val="nil"/>
            </w:tcBorders>
            <w:shd w:val="clear" w:color="auto" w:fill="auto"/>
            <w:vAlign w:val="bottom"/>
          </w:tcPr>
          <w:p w14:paraId="30787CEA" w14:textId="4260067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463</w:t>
            </w:r>
          </w:p>
        </w:tc>
        <w:tc>
          <w:tcPr>
            <w:tcW w:w="141" w:type="pct"/>
            <w:tcBorders>
              <w:top w:val="nil"/>
              <w:left w:val="nil"/>
              <w:bottom w:val="nil"/>
              <w:right w:val="nil"/>
            </w:tcBorders>
            <w:shd w:val="clear" w:color="auto" w:fill="auto"/>
            <w:vAlign w:val="bottom"/>
          </w:tcPr>
          <w:p w14:paraId="195CFD5E" w14:textId="78E5211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406</w:t>
            </w:r>
          </w:p>
        </w:tc>
        <w:tc>
          <w:tcPr>
            <w:tcW w:w="141" w:type="pct"/>
            <w:tcBorders>
              <w:top w:val="nil"/>
              <w:left w:val="nil"/>
              <w:bottom w:val="nil"/>
              <w:right w:val="nil"/>
            </w:tcBorders>
            <w:shd w:val="clear" w:color="auto" w:fill="auto"/>
            <w:vAlign w:val="bottom"/>
          </w:tcPr>
          <w:p w14:paraId="1F70C941" w14:textId="0933D7C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257</w:t>
            </w:r>
          </w:p>
        </w:tc>
        <w:tc>
          <w:tcPr>
            <w:tcW w:w="141" w:type="pct"/>
            <w:tcBorders>
              <w:top w:val="nil"/>
              <w:left w:val="nil"/>
              <w:bottom w:val="nil"/>
              <w:right w:val="nil"/>
            </w:tcBorders>
            <w:shd w:val="clear" w:color="auto" w:fill="auto"/>
            <w:vAlign w:val="bottom"/>
          </w:tcPr>
          <w:p w14:paraId="44E58EBE" w14:textId="24E9FEE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63</w:t>
            </w:r>
          </w:p>
        </w:tc>
        <w:tc>
          <w:tcPr>
            <w:tcW w:w="100" w:type="pct"/>
            <w:tcBorders>
              <w:top w:val="nil"/>
              <w:left w:val="nil"/>
              <w:bottom w:val="nil"/>
              <w:right w:val="nil"/>
            </w:tcBorders>
          </w:tcPr>
          <w:p w14:paraId="35A1D77B"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1CD455F7"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18F294C3"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2D41C0E0"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4E912884" w14:textId="38C4F503"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6762</w:t>
            </w:r>
          </w:p>
        </w:tc>
      </w:tr>
      <w:tr w:rsidR="00F4063A" w:rsidRPr="00F830FB" w14:paraId="4A512E2A" w14:textId="77777777" w:rsidTr="00F4063A">
        <w:tc>
          <w:tcPr>
            <w:tcW w:w="188" w:type="pct"/>
            <w:tcBorders>
              <w:top w:val="nil"/>
              <w:left w:val="nil"/>
              <w:bottom w:val="nil"/>
              <w:right w:val="nil"/>
            </w:tcBorders>
          </w:tcPr>
          <w:p w14:paraId="01D931FF"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30</w:t>
            </w:r>
          </w:p>
        </w:tc>
        <w:tc>
          <w:tcPr>
            <w:tcW w:w="141" w:type="pct"/>
            <w:tcBorders>
              <w:top w:val="nil"/>
              <w:left w:val="nil"/>
              <w:bottom w:val="nil"/>
              <w:right w:val="nil"/>
            </w:tcBorders>
            <w:shd w:val="clear" w:color="auto" w:fill="auto"/>
            <w:vAlign w:val="bottom"/>
          </w:tcPr>
          <w:p w14:paraId="045FC461" w14:textId="742D9B5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w:t>
            </w:r>
          </w:p>
        </w:tc>
        <w:tc>
          <w:tcPr>
            <w:tcW w:w="141" w:type="pct"/>
            <w:tcBorders>
              <w:top w:val="nil"/>
              <w:left w:val="nil"/>
              <w:bottom w:val="nil"/>
              <w:right w:val="nil"/>
            </w:tcBorders>
            <w:shd w:val="clear" w:color="auto" w:fill="auto"/>
            <w:vAlign w:val="bottom"/>
          </w:tcPr>
          <w:p w14:paraId="68FD6E51" w14:textId="14AD3E7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24</w:t>
            </w:r>
          </w:p>
        </w:tc>
        <w:tc>
          <w:tcPr>
            <w:tcW w:w="141" w:type="pct"/>
            <w:tcBorders>
              <w:top w:val="nil"/>
              <w:left w:val="nil"/>
              <w:bottom w:val="nil"/>
              <w:right w:val="nil"/>
            </w:tcBorders>
            <w:shd w:val="clear" w:color="auto" w:fill="auto"/>
            <w:vAlign w:val="bottom"/>
          </w:tcPr>
          <w:p w14:paraId="5D7E0948" w14:textId="5540FC7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38</w:t>
            </w:r>
          </w:p>
        </w:tc>
        <w:tc>
          <w:tcPr>
            <w:tcW w:w="141" w:type="pct"/>
            <w:tcBorders>
              <w:top w:val="nil"/>
              <w:left w:val="nil"/>
              <w:bottom w:val="nil"/>
              <w:right w:val="nil"/>
            </w:tcBorders>
            <w:shd w:val="clear" w:color="auto" w:fill="auto"/>
            <w:vAlign w:val="bottom"/>
          </w:tcPr>
          <w:p w14:paraId="47370757" w14:textId="392260C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41</w:t>
            </w:r>
          </w:p>
        </w:tc>
        <w:tc>
          <w:tcPr>
            <w:tcW w:w="141" w:type="pct"/>
            <w:tcBorders>
              <w:top w:val="nil"/>
              <w:left w:val="nil"/>
              <w:bottom w:val="nil"/>
              <w:right w:val="nil"/>
            </w:tcBorders>
            <w:shd w:val="clear" w:color="auto" w:fill="auto"/>
            <w:vAlign w:val="bottom"/>
          </w:tcPr>
          <w:p w14:paraId="25217BEF" w14:textId="76E6D22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52</w:t>
            </w:r>
          </w:p>
        </w:tc>
        <w:tc>
          <w:tcPr>
            <w:tcW w:w="141" w:type="pct"/>
            <w:tcBorders>
              <w:top w:val="nil"/>
              <w:left w:val="nil"/>
              <w:bottom w:val="nil"/>
              <w:right w:val="nil"/>
            </w:tcBorders>
            <w:shd w:val="clear" w:color="auto" w:fill="auto"/>
            <w:vAlign w:val="bottom"/>
          </w:tcPr>
          <w:p w14:paraId="109C45CF" w14:textId="3D2EC11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64</w:t>
            </w:r>
          </w:p>
        </w:tc>
        <w:tc>
          <w:tcPr>
            <w:tcW w:w="141" w:type="pct"/>
            <w:tcBorders>
              <w:top w:val="nil"/>
              <w:left w:val="nil"/>
              <w:bottom w:val="nil"/>
              <w:right w:val="nil"/>
            </w:tcBorders>
            <w:shd w:val="clear" w:color="auto" w:fill="auto"/>
            <w:vAlign w:val="bottom"/>
          </w:tcPr>
          <w:p w14:paraId="562EE2B3" w14:textId="45B385C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69</w:t>
            </w:r>
          </w:p>
        </w:tc>
        <w:tc>
          <w:tcPr>
            <w:tcW w:w="141" w:type="pct"/>
            <w:tcBorders>
              <w:top w:val="nil"/>
              <w:left w:val="nil"/>
              <w:bottom w:val="nil"/>
              <w:right w:val="nil"/>
            </w:tcBorders>
            <w:shd w:val="clear" w:color="auto" w:fill="auto"/>
            <w:vAlign w:val="bottom"/>
          </w:tcPr>
          <w:p w14:paraId="5FBBD853" w14:textId="131FC9A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72</w:t>
            </w:r>
          </w:p>
        </w:tc>
        <w:tc>
          <w:tcPr>
            <w:tcW w:w="141" w:type="pct"/>
            <w:tcBorders>
              <w:top w:val="nil"/>
              <w:left w:val="nil"/>
              <w:bottom w:val="nil"/>
              <w:right w:val="nil"/>
            </w:tcBorders>
            <w:shd w:val="clear" w:color="auto" w:fill="auto"/>
            <w:vAlign w:val="bottom"/>
          </w:tcPr>
          <w:p w14:paraId="4466C630" w14:textId="45880BD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79</w:t>
            </w:r>
          </w:p>
        </w:tc>
        <w:tc>
          <w:tcPr>
            <w:tcW w:w="141" w:type="pct"/>
            <w:tcBorders>
              <w:top w:val="nil"/>
              <w:left w:val="nil"/>
              <w:bottom w:val="nil"/>
              <w:right w:val="nil"/>
            </w:tcBorders>
            <w:shd w:val="clear" w:color="auto" w:fill="auto"/>
            <w:vAlign w:val="bottom"/>
          </w:tcPr>
          <w:p w14:paraId="35CDF7B4" w14:textId="0F3C3BB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103</w:t>
            </w:r>
          </w:p>
        </w:tc>
        <w:tc>
          <w:tcPr>
            <w:tcW w:w="141" w:type="pct"/>
            <w:tcBorders>
              <w:top w:val="nil"/>
              <w:left w:val="nil"/>
              <w:bottom w:val="nil"/>
              <w:right w:val="nil"/>
            </w:tcBorders>
            <w:shd w:val="clear" w:color="auto" w:fill="auto"/>
            <w:vAlign w:val="bottom"/>
          </w:tcPr>
          <w:p w14:paraId="39A48D2E" w14:textId="14CA81F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110</w:t>
            </w:r>
          </w:p>
        </w:tc>
        <w:tc>
          <w:tcPr>
            <w:tcW w:w="141" w:type="pct"/>
            <w:tcBorders>
              <w:top w:val="nil"/>
              <w:left w:val="nil"/>
              <w:bottom w:val="nil"/>
              <w:right w:val="nil"/>
            </w:tcBorders>
            <w:shd w:val="clear" w:color="auto" w:fill="auto"/>
            <w:vAlign w:val="bottom"/>
          </w:tcPr>
          <w:p w14:paraId="78C900EA" w14:textId="37E8AEF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103</w:t>
            </w:r>
          </w:p>
        </w:tc>
        <w:tc>
          <w:tcPr>
            <w:tcW w:w="141" w:type="pct"/>
            <w:tcBorders>
              <w:top w:val="nil"/>
              <w:left w:val="nil"/>
              <w:bottom w:val="nil"/>
              <w:right w:val="nil"/>
            </w:tcBorders>
            <w:shd w:val="clear" w:color="auto" w:fill="auto"/>
            <w:vAlign w:val="bottom"/>
          </w:tcPr>
          <w:p w14:paraId="5234FDBA" w14:textId="748CB8C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114</w:t>
            </w:r>
          </w:p>
        </w:tc>
        <w:tc>
          <w:tcPr>
            <w:tcW w:w="141" w:type="pct"/>
            <w:tcBorders>
              <w:top w:val="nil"/>
              <w:left w:val="nil"/>
              <w:bottom w:val="nil"/>
              <w:right w:val="nil"/>
            </w:tcBorders>
            <w:shd w:val="clear" w:color="auto" w:fill="auto"/>
            <w:vAlign w:val="bottom"/>
          </w:tcPr>
          <w:p w14:paraId="55F6B7FD" w14:textId="5598B67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118</w:t>
            </w:r>
          </w:p>
        </w:tc>
        <w:tc>
          <w:tcPr>
            <w:tcW w:w="141" w:type="pct"/>
            <w:tcBorders>
              <w:top w:val="nil"/>
              <w:left w:val="nil"/>
              <w:bottom w:val="nil"/>
              <w:right w:val="nil"/>
            </w:tcBorders>
            <w:shd w:val="clear" w:color="auto" w:fill="auto"/>
            <w:vAlign w:val="bottom"/>
          </w:tcPr>
          <w:p w14:paraId="74FD4291" w14:textId="5E9C612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160</w:t>
            </w:r>
          </w:p>
        </w:tc>
        <w:tc>
          <w:tcPr>
            <w:tcW w:w="141" w:type="pct"/>
            <w:tcBorders>
              <w:top w:val="nil"/>
              <w:left w:val="nil"/>
              <w:bottom w:val="nil"/>
              <w:right w:val="nil"/>
            </w:tcBorders>
            <w:shd w:val="clear" w:color="auto" w:fill="auto"/>
            <w:vAlign w:val="bottom"/>
          </w:tcPr>
          <w:p w14:paraId="32EFB6D4" w14:textId="3048B77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188</w:t>
            </w:r>
          </w:p>
        </w:tc>
        <w:tc>
          <w:tcPr>
            <w:tcW w:w="141" w:type="pct"/>
            <w:tcBorders>
              <w:top w:val="nil"/>
              <w:left w:val="nil"/>
              <w:bottom w:val="nil"/>
              <w:right w:val="nil"/>
            </w:tcBorders>
            <w:shd w:val="clear" w:color="auto" w:fill="auto"/>
            <w:vAlign w:val="bottom"/>
          </w:tcPr>
          <w:p w14:paraId="3145AA20" w14:textId="70B2377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208</w:t>
            </w:r>
          </w:p>
        </w:tc>
        <w:tc>
          <w:tcPr>
            <w:tcW w:w="141" w:type="pct"/>
            <w:tcBorders>
              <w:top w:val="nil"/>
              <w:left w:val="nil"/>
              <w:bottom w:val="nil"/>
              <w:right w:val="nil"/>
            </w:tcBorders>
            <w:shd w:val="clear" w:color="auto" w:fill="auto"/>
            <w:vAlign w:val="bottom"/>
          </w:tcPr>
          <w:p w14:paraId="589C4F90" w14:textId="000628F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212</w:t>
            </w:r>
          </w:p>
        </w:tc>
        <w:tc>
          <w:tcPr>
            <w:tcW w:w="141" w:type="pct"/>
            <w:tcBorders>
              <w:top w:val="nil"/>
              <w:left w:val="nil"/>
              <w:bottom w:val="nil"/>
              <w:right w:val="nil"/>
            </w:tcBorders>
            <w:shd w:val="clear" w:color="auto" w:fill="auto"/>
            <w:vAlign w:val="bottom"/>
          </w:tcPr>
          <w:p w14:paraId="7FA51B27" w14:textId="075E850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287</w:t>
            </w:r>
          </w:p>
        </w:tc>
        <w:tc>
          <w:tcPr>
            <w:tcW w:w="141" w:type="pct"/>
            <w:tcBorders>
              <w:top w:val="nil"/>
              <w:left w:val="nil"/>
              <w:bottom w:val="nil"/>
              <w:right w:val="nil"/>
            </w:tcBorders>
            <w:shd w:val="clear" w:color="auto" w:fill="auto"/>
            <w:vAlign w:val="bottom"/>
          </w:tcPr>
          <w:p w14:paraId="7C0FB12F" w14:textId="5022AD6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398</w:t>
            </w:r>
          </w:p>
        </w:tc>
        <w:tc>
          <w:tcPr>
            <w:tcW w:w="141" w:type="pct"/>
            <w:tcBorders>
              <w:top w:val="nil"/>
              <w:left w:val="nil"/>
              <w:bottom w:val="nil"/>
              <w:right w:val="nil"/>
            </w:tcBorders>
            <w:shd w:val="clear" w:color="auto" w:fill="auto"/>
            <w:vAlign w:val="bottom"/>
          </w:tcPr>
          <w:p w14:paraId="010D4865" w14:textId="5D62DE3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423</w:t>
            </w:r>
          </w:p>
        </w:tc>
        <w:tc>
          <w:tcPr>
            <w:tcW w:w="141" w:type="pct"/>
            <w:tcBorders>
              <w:top w:val="nil"/>
              <w:left w:val="nil"/>
              <w:bottom w:val="nil"/>
              <w:right w:val="nil"/>
            </w:tcBorders>
            <w:shd w:val="clear" w:color="auto" w:fill="auto"/>
            <w:vAlign w:val="bottom"/>
          </w:tcPr>
          <w:p w14:paraId="759F08F4" w14:textId="34F4BD0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458</w:t>
            </w:r>
          </w:p>
        </w:tc>
        <w:tc>
          <w:tcPr>
            <w:tcW w:w="141" w:type="pct"/>
            <w:tcBorders>
              <w:top w:val="nil"/>
              <w:left w:val="nil"/>
              <w:bottom w:val="nil"/>
              <w:right w:val="nil"/>
            </w:tcBorders>
            <w:shd w:val="clear" w:color="auto" w:fill="auto"/>
            <w:vAlign w:val="bottom"/>
          </w:tcPr>
          <w:p w14:paraId="712776AB" w14:textId="2C047A7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492</w:t>
            </w:r>
          </w:p>
        </w:tc>
        <w:tc>
          <w:tcPr>
            <w:tcW w:w="141" w:type="pct"/>
            <w:tcBorders>
              <w:top w:val="nil"/>
              <w:left w:val="nil"/>
              <w:bottom w:val="nil"/>
              <w:right w:val="nil"/>
            </w:tcBorders>
            <w:shd w:val="clear" w:color="auto" w:fill="auto"/>
            <w:vAlign w:val="bottom"/>
          </w:tcPr>
          <w:p w14:paraId="1200776F" w14:textId="42DB785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560</w:t>
            </w:r>
          </w:p>
        </w:tc>
        <w:tc>
          <w:tcPr>
            <w:tcW w:w="141" w:type="pct"/>
            <w:tcBorders>
              <w:top w:val="nil"/>
              <w:left w:val="nil"/>
              <w:bottom w:val="nil"/>
              <w:right w:val="nil"/>
            </w:tcBorders>
            <w:shd w:val="clear" w:color="auto" w:fill="auto"/>
            <w:vAlign w:val="bottom"/>
          </w:tcPr>
          <w:p w14:paraId="36F293CC" w14:textId="78A5135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588</w:t>
            </w:r>
          </w:p>
        </w:tc>
        <w:tc>
          <w:tcPr>
            <w:tcW w:w="141" w:type="pct"/>
            <w:tcBorders>
              <w:top w:val="nil"/>
              <w:left w:val="nil"/>
              <w:bottom w:val="nil"/>
              <w:right w:val="nil"/>
            </w:tcBorders>
            <w:shd w:val="clear" w:color="auto" w:fill="auto"/>
            <w:vAlign w:val="bottom"/>
          </w:tcPr>
          <w:p w14:paraId="131CD4F9" w14:textId="1AF4A58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512</w:t>
            </w:r>
          </w:p>
        </w:tc>
        <w:tc>
          <w:tcPr>
            <w:tcW w:w="141" w:type="pct"/>
            <w:tcBorders>
              <w:top w:val="nil"/>
              <w:left w:val="nil"/>
              <w:bottom w:val="nil"/>
              <w:right w:val="nil"/>
            </w:tcBorders>
            <w:shd w:val="clear" w:color="auto" w:fill="auto"/>
            <w:vAlign w:val="bottom"/>
          </w:tcPr>
          <w:p w14:paraId="54232275" w14:textId="367F38C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442</w:t>
            </w:r>
          </w:p>
        </w:tc>
        <w:tc>
          <w:tcPr>
            <w:tcW w:w="141" w:type="pct"/>
            <w:tcBorders>
              <w:top w:val="nil"/>
              <w:left w:val="nil"/>
              <w:bottom w:val="nil"/>
              <w:right w:val="nil"/>
            </w:tcBorders>
            <w:shd w:val="clear" w:color="auto" w:fill="auto"/>
            <w:vAlign w:val="bottom"/>
          </w:tcPr>
          <w:p w14:paraId="62EDBFB7" w14:textId="49B148F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386</w:t>
            </w:r>
          </w:p>
        </w:tc>
        <w:tc>
          <w:tcPr>
            <w:tcW w:w="141" w:type="pct"/>
            <w:tcBorders>
              <w:top w:val="nil"/>
              <w:left w:val="nil"/>
              <w:bottom w:val="nil"/>
              <w:right w:val="nil"/>
            </w:tcBorders>
            <w:shd w:val="clear" w:color="auto" w:fill="auto"/>
            <w:vAlign w:val="bottom"/>
          </w:tcPr>
          <w:p w14:paraId="55E0A7D2" w14:textId="3148E11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243</w:t>
            </w:r>
          </w:p>
        </w:tc>
        <w:tc>
          <w:tcPr>
            <w:tcW w:w="100" w:type="pct"/>
            <w:tcBorders>
              <w:top w:val="nil"/>
              <w:left w:val="nil"/>
              <w:bottom w:val="nil"/>
              <w:right w:val="nil"/>
            </w:tcBorders>
          </w:tcPr>
          <w:p w14:paraId="2693030D"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70E8C271"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2C78562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1F8DB54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1A6FB3CB" w14:textId="76F83C8B"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6612</w:t>
            </w:r>
          </w:p>
        </w:tc>
      </w:tr>
      <w:tr w:rsidR="00F4063A" w:rsidRPr="00F830FB" w14:paraId="304FA8A0" w14:textId="77777777" w:rsidTr="00F4063A">
        <w:tc>
          <w:tcPr>
            <w:tcW w:w="188" w:type="pct"/>
            <w:tcBorders>
              <w:top w:val="nil"/>
              <w:left w:val="nil"/>
              <w:bottom w:val="nil"/>
              <w:right w:val="nil"/>
            </w:tcBorders>
          </w:tcPr>
          <w:p w14:paraId="2764DCAC"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31</w:t>
            </w:r>
          </w:p>
        </w:tc>
        <w:tc>
          <w:tcPr>
            <w:tcW w:w="141" w:type="pct"/>
            <w:tcBorders>
              <w:top w:val="nil"/>
              <w:left w:val="nil"/>
              <w:bottom w:val="nil"/>
              <w:right w:val="nil"/>
            </w:tcBorders>
            <w:shd w:val="clear" w:color="auto" w:fill="auto"/>
            <w:vAlign w:val="bottom"/>
          </w:tcPr>
          <w:p w14:paraId="63727D09" w14:textId="1019470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w:t>
            </w:r>
          </w:p>
        </w:tc>
        <w:tc>
          <w:tcPr>
            <w:tcW w:w="141" w:type="pct"/>
            <w:tcBorders>
              <w:top w:val="nil"/>
              <w:left w:val="nil"/>
              <w:bottom w:val="nil"/>
              <w:right w:val="nil"/>
            </w:tcBorders>
            <w:shd w:val="clear" w:color="auto" w:fill="auto"/>
            <w:vAlign w:val="bottom"/>
          </w:tcPr>
          <w:p w14:paraId="3A33B835" w14:textId="34C608F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18</w:t>
            </w:r>
          </w:p>
        </w:tc>
        <w:tc>
          <w:tcPr>
            <w:tcW w:w="141" w:type="pct"/>
            <w:tcBorders>
              <w:top w:val="nil"/>
              <w:left w:val="nil"/>
              <w:bottom w:val="nil"/>
              <w:right w:val="nil"/>
            </w:tcBorders>
            <w:shd w:val="clear" w:color="auto" w:fill="auto"/>
            <w:vAlign w:val="bottom"/>
          </w:tcPr>
          <w:p w14:paraId="6D2E9F58" w14:textId="2C51F10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33</w:t>
            </w:r>
          </w:p>
        </w:tc>
        <w:tc>
          <w:tcPr>
            <w:tcW w:w="141" w:type="pct"/>
            <w:tcBorders>
              <w:top w:val="nil"/>
              <w:left w:val="nil"/>
              <w:bottom w:val="nil"/>
              <w:right w:val="nil"/>
            </w:tcBorders>
            <w:shd w:val="clear" w:color="auto" w:fill="auto"/>
            <w:vAlign w:val="bottom"/>
          </w:tcPr>
          <w:p w14:paraId="30A3E7DC" w14:textId="5E97529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37</w:t>
            </w:r>
          </w:p>
        </w:tc>
        <w:tc>
          <w:tcPr>
            <w:tcW w:w="141" w:type="pct"/>
            <w:tcBorders>
              <w:top w:val="nil"/>
              <w:left w:val="nil"/>
              <w:bottom w:val="nil"/>
              <w:right w:val="nil"/>
            </w:tcBorders>
            <w:shd w:val="clear" w:color="auto" w:fill="auto"/>
            <w:vAlign w:val="bottom"/>
          </w:tcPr>
          <w:p w14:paraId="1B02A430" w14:textId="6E48FAB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38</w:t>
            </w:r>
          </w:p>
        </w:tc>
        <w:tc>
          <w:tcPr>
            <w:tcW w:w="141" w:type="pct"/>
            <w:tcBorders>
              <w:top w:val="nil"/>
              <w:left w:val="nil"/>
              <w:bottom w:val="nil"/>
              <w:right w:val="nil"/>
            </w:tcBorders>
            <w:shd w:val="clear" w:color="auto" w:fill="auto"/>
            <w:vAlign w:val="bottom"/>
          </w:tcPr>
          <w:p w14:paraId="4F6180EE" w14:textId="6FE32FF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54</w:t>
            </w:r>
          </w:p>
        </w:tc>
        <w:tc>
          <w:tcPr>
            <w:tcW w:w="141" w:type="pct"/>
            <w:tcBorders>
              <w:top w:val="nil"/>
              <w:left w:val="nil"/>
              <w:bottom w:val="nil"/>
              <w:right w:val="nil"/>
            </w:tcBorders>
            <w:shd w:val="clear" w:color="auto" w:fill="auto"/>
            <w:vAlign w:val="bottom"/>
          </w:tcPr>
          <w:p w14:paraId="6A9C0CD7" w14:textId="79B313D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66</w:t>
            </w:r>
          </w:p>
        </w:tc>
        <w:tc>
          <w:tcPr>
            <w:tcW w:w="141" w:type="pct"/>
            <w:tcBorders>
              <w:top w:val="nil"/>
              <w:left w:val="nil"/>
              <w:bottom w:val="nil"/>
              <w:right w:val="nil"/>
            </w:tcBorders>
            <w:shd w:val="clear" w:color="auto" w:fill="auto"/>
            <w:vAlign w:val="bottom"/>
          </w:tcPr>
          <w:p w14:paraId="7FA580E6" w14:textId="660C9FC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72</w:t>
            </w:r>
          </w:p>
        </w:tc>
        <w:tc>
          <w:tcPr>
            <w:tcW w:w="141" w:type="pct"/>
            <w:tcBorders>
              <w:top w:val="nil"/>
              <w:left w:val="nil"/>
              <w:bottom w:val="nil"/>
              <w:right w:val="nil"/>
            </w:tcBorders>
            <w:shd w:val="clear" w:color="auto" w:fill="auto"/>
            <w:vAlign w:val="bottom"/>
          </w:tcPr>
          <w:p w14:paraId="0B4EEDDF" w14:textId="0D5A879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75</w:t>
            </w:r>
          </w:p>
        </w:tc>
        <w:tc>
          <w:tcPr>
            <w:tcW w:w="141" w:type="pct"/>
            <w:tcBorders>
              <w:top w:val="nil"/>
              <w:left w:val="nil"/>
              <w:bottom w:val="nil"/>
              <w:right w:val="nil"/>
            </w:tcBorders>
            <w:shd w:val="clear" w:color="auto" w:fill="auto"/>
            <w:vAlign w:val="bottom"/>
          </w:tcPr>
          <w:p w14:paraId="6E08304B" w14:textId="650F52D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82</w:t>
            </w:r>
          </w:p>
        </w:tc>
        <w:tc>
          <w:tcPr>
            <w:tcW w:w="141" w:type="pct"/>
            <w:tcBorders>
              <w:top w:val="nil"/>
              <w:left w:val="nil"/>
              <w:bottom w:val="nil"/>
              <w:right w:val="nil"/>
            </w:tcBorders>
            <w:shd w:val="clear" w:color="auto" w:fill="auto"/>
            <w:vAlign w:val="bottom"/>
          </w:tcPr>
          <w:p w14:paraId="4B31947F" w14:textId="17EAC0E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108</w:t>
            </w:r>
          </w:p>
        </w:tc>
        <w:tc>
          <w:tcPr>
            <w:tcW w:w="141" w:type="pct"/>
            <w:tcBorders>
              <w:top w:val="nil"/>
              <w:left w:val="nil"/>
              <w:bottom w:val="nil"/>
              <w:right w:val="nil"/>
            </w:tcBorders>
            <w:shd w:val="clear" w:color="auto" w:fill="auto"/>
            <w:vAlign w:val="bottom"/>
          </w:tcPr>
          <w:p w14:paraId="481AB1AA" w14:textId="23F8195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115</w:t>
            </w:r>
          </w:p>
        </w:tc>
        <w:tc>
          <w:tcPr>
            <w:tcW w:w="141" w:type="pct"/>
            <w:tcBorders>
              <w:top w:val="nil"/>
              <w:left w:val="nil"/>
              <w:bottom w:val="nil"/>
              <w:right w:val="nil"/>
            </w:tcBorders>
            <w:shd w:val="clear" w:color="auto" w:fill="auto"/>
            <w:vAlign w:val="bottom"/>
          </w:tcPr>
          <w:p w14:paraId="431EA551" w14:textId="7FF1F9B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108</w:t>
            </w:r>
          </w:p>
        </w:tc>
        <w:tc>
          <w:tcPr>
            <w:tcW w:w="141" w:type="pct"/>
            <w:tcBorders>
              <w:top w:val="nil"/>
              <w:left w:val="nil"/>
              <w:bottom w:val="nil"/>
              <w:right w:val="nil"/>
            </w:tcBorders>
            <w:shd w:val="clear" w:color="auto" w:fill="auto"/>
            <w:vAlign w:val="bottom"/>
          </w:tcPr>
          <w:p w14:paraId="09B8F71C" w14:textId="010702F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119</w:t>
            </w:r>
          </w:p>
        </w:tc>
        <w:tc>
          <w:tcPr>
            <w:tcW w:w="141" w:type="pct"/>
            <w:tcBorders>
              <w:top w:val="nil"/>
              <w:left w:val="nil"/>
              <w:bottom w:val="nil"/>
              <w:right w:val="nil"/>
            </w:tcBorders>
            <w:shd w:val="clear" w:color="auto" w:fill="auto"/>
            <w:vAlign w:val="bottom"/>
          </w:tcPr>
          <w:p w14:paraId="17ECA91E" w14:textId="050A34E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120</w:t>
            </w:r>
          </w:p>
        </w:tc>
        <w:tc>
          <w:tcPr>
            <w:tcW w:w="141" w:type="pct"/>
            <w:tcBorders>
              <w:top w:val="nil"/>
              <w:left w:val="nil"/>
              <w:bottom w:val="nil"/>
              <w:right w:val="nil"/>
            </w:tcBorders>
            <w:shd w:val="clear" w:color="auto" w:fill="auto"/>
            <w:vAlign w:val="bottom"/>
          </w:tcPr>
          <w:p w14:paraId="6D20A35C" w14:textId="739CFE2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156</w:t>
            </w:r>
          </w:p>
        </w:tc>
        <w:tc>
          <w:tcPr>
            <w:tcW w:w="141" w:type="pct"/>
            <w:tcBorders>
              <w:top w:val="nil"/>
              <w:left w:val="nil"/>
              <w:bottom w:val="nil"/>
              <w:right w:val="nil"/>
            </w:tcBorders>
            <w:shd w:val="clear" w:color="auto" w:fill="auto"/>
            <w:vAlign w:val="bottom"/>
          </w:tcPr>
          <w:p w14:paraId="1827FADC" w14:textId="68CE066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184</w:t>
            </w:r>
          </w:p>
        </w:tc>
        <w:tc>
          <w:tcPr>
            <w:tcW w:w="141" w:type="pct"/>
            <w:tcBorders>
              <w:top w:val="nil"/>
              <w:left w:val="nil"/>
              <w:bottom w:val="nil"/>
              <w:right w:val="nil"/>
            </w:tcBorders>
            <w:shd w:val="clear" w:color="auto" w:fill="auto"/>
            <w:vAlign w:val="bottom"/>
          </w:tcPr>
          <w:p w14:paraId="50CF75E7" w14:textId="42D8398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202</w:t>
            </w:r>
          </w:p>
        </w:tc>
        <w:tc>
          <w:tcPr>
            <w:tcW w:w="141" w:type="pct"/>
            <w:tcBorders>
              <w:top w:val="nil"/>
              <w:left w:val="nil"/>
              <w:bottom w:val="nil"/>
              <w:right w:val="nil"/>
            </w:tcBorders>
            <w:shd w:val="clear" w:color="auto" w:fill="auto"/>
            <w:vAlign w:val="bottom"/>
          </w:tcPr>
          <w:p w14:paraId="41EB10A9" w14:textId="7C235B3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206</w:t>
            </w:r>
          </w:p>
        </w:tc>
        <w:tc>
          <w:tcPr>
            <w:tcW w:w="141" w:type="pct"/>
            <w:tcBorders>
              <w:top w:val="nil"/>
              <w:left w:val="nil"/>
              <w:bottom w:val="nil"/>
              <w:right w:val="nil"/>
            </w:tcBorders>
            <w:shd w:val="clear" w:color="auto" w:fill="auto"/>
            <w:vAlign w:val="bottom"/>
          </w:tcPr>
          <w:p w14:paraId="71EAF2E4" w14:textId="736F13C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279</w:t>
            </w:r>
          </w:p>
        </w:tc>
        <w:tc>
          <w:tcPr>
            <w:tcW w:w="141" w:type="pct"/>
            <w:tcBorders>
              <w:top w:val="nil"/>
              <w:left w:val="nil"/>
              <w:bottom w:val="nil"/>
              <w:right w:val="nil"/>
            </w:tcBorders>
            <w:shd w:val="clear" w:color="auto" w:fill="auto"/>
            <w:vAlign w:val="bottom"/>
          </w:tcPr>
          <w:p w14:paraId="5D750A50" w14:textId="0756F8E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385</w:t>
            </w:r>
          </w:p>
        </w:tc>
        <w:tc>
          <w:tcPr>
            <w:tcW w:w="141" w:type="pct"/>
            <w:tcBorders>
              <w:top w:val="nil"/>
              <w:left w:val="nil"/>
              <w:bottom w:val="nil"/>
              <w:right w:val="nil"/>
            </w:tcBorders>
            <w:shd w:val="clear" w:color="auto" w:fill="auto"/>
            <w:vAlign w:val="bottom"/>
          </w:tcPr>
          <w:p w14:paraId="6E199812" w14:textId="2E96E17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408</w:t>
            </w:r>
          </w:p>
        </w:tc>
        <w:tc>
          <w:tcPr>
            <w:tcW w:w="141" w:type="pct"/>
            <w:tcBorders>
              <w:top w:val="nil"/>
              <w:left w:val="nil"/>
              <w:bottom w:val="nil"/>
              <w:right w:val="nil"/>
            </w:tcBorders>
            <w:shd w:val="clear" w:color="auto" w:fill="auto"/>
            <w:vAlign w:val="bottom"/>
          </w:tcPr>
          <w:p w14:paraId="66EBD1CA" w14:textId="6D54C3F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442</w:t>
            </w:r>
          </w:p>
        </w:tc>
        <w:tc>
          <w:tcPr>
            <w:tcW w:w="141" w:type="pct"/>
            <w:tcBorders>
              <w:top w:val="nil"/>
              <w:left w:val="nil"/>
              <w:bottom w:val="nil"/>
              <w:right w:val="nil"/>
            </w:tcBorders>
            <w:shd w:val="clear" w:color="auto" w:fill="auto"/>
            <w:vAlign w:val="bottom"/>
          </w:tcPr>
          <w:p w14:paraId="7FDC17E8" w14:textId="67EE888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474</w:t>
            </w:r>
          </w:p>
        </w:tc>
        <w:tc>
          <w:tcPr>
            <w:tcW w:w="141" w:type="pct"/>
            <w:tcBorders>
              <w:top w:val="nil"/>
              <w:left w:val="nil"/>
              <w:bottom w:val="nil"/>
              <w:right w:val="nil"/>
            </w:tcBorders>
            <w:shd w:val="clear" w:color="auto" w:fill="auto"/>
            <w:vAlign w:val="bottom"/>
          </w:tcPr>
          <w:p w14:paraId="398E2434" w14:textId="44F7E2D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538</w:t>
            </w:r>
          </w:p>
        </w:tc>
        <w:tc>
          <w:tcPr>
            <w:tcW w:w="141" w:type="pct"/>
            <w:tcBorders>
              <w:top w:val="nil"/>
              <w:left w:val="nil"/>
              <w:bottom w:val="nil"/>
              <w:right w:val="nil"/>
            </w:tcBorders>
            <w:shd w:val="clear" w:color="auto" w:fill="auto"/>
            <w:vAlign w:val="bottom"/>
          </w:tcPr>
          <w:p w14:paraId="1D0FC1B9" w14:textId="3A06677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563</w:t>
            </w:r>
          </w:p>
        </w:tc>
        <w:tc>
          <w:tcPr>
            <w:tcW w:w="141" w:type="pct"/>
            <w:tcBorders>
              <w:top w:val="nil"/>
              <w:left w:val="nil"/>
              <w:bottom w:val="nil"/>
              <w:right w:val="nil"/>
            </w:tcBorders>
            <w:shd w:val="clear" w:color="auto" w:fill="auto"/>
            <w:vAlign w:val="bottom"/>
          </w:tcPr>
          <w:p w14:paraId="0087A017" w14:textId="22BBA6E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489</w:t>
            </w:r>
          </w:p>
        </w:tc>
        <w:tc>
          <w:tcPr>
            <w:tcW w:w="141" w:type="pct"/>
            <w:tcBorders>
              <w:top w:val="nil"/>
              <w:left w:val="nil"/>
              <w:bottom w:val="nil"/>
              <w:right w:val="nil"/>
            </w:tcBorders>
            <w:shd w:val="clear" w:color="auto" w:fill="auto"/>
            <w:vAlign w:val="bottom"/>
          </w:tcPr>
          <w:p w14:paraId="6E154993" w14:textId="13FEDCF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420</w:t>
            </w:r>
          </w:p>
        </w:tc>
        <w:tc>
          <w:tcPr>
            <w:tcW w:w="141" w:type="pct"/>
            <w:tcBorders>
              <w:top w:val="nil"/>
              <w:left w:val="nil"/>
              <w:bottom w:val="nil"/>
              <w:right w:val="nil"/>
            </w:tcBorders>
            <w:shd w:val="clear" w:color="auto" w:fill="auto"/>
            <w:vAlign w:val="bottom"/>
          </w:tcPr>
          <w:p w14:paraId="41B48796" w14:textId="33708D0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365</w:t>
            </w:r>
          </w:p>
        </w:tc>
        <w:tc>
          <w:tcPr>
            <w:tcW w:w="100" w:type="pct"/>
            <w:tcBorders>
              <w:top w:val="nil"/>
              <w:left w:val="nil"/>
              <w:bottom w:val="nil"/>
              <w:right w:val="nil"/>
            </w:tcBorders>
          </w:tcPr>
          <w:p w14:paraId="45C25C2F"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4C5756FB"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4DB0C834"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11FD57BF"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3F1C0098" w14:textId="2C379323"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6446</w:t>
            </w:r>
          </w:p>
        </w:tc>
      </w:tr>
      <w:tr w:rsidR="00F4063A" w:rsidRPr="00F830FB" w14:paraId="0BB45733" w14:textId="77777777" w:rsidTr="00F4063A">
        <w:tc>
          <w:tcPr>
            <w:tcW w:w="188" w:type="pct"/>
            <w:tcBorders>
              <w:top w:val="nil"/>
              <w:left w:val="nil"/>
              <w:bottom w:val="nil"/>
              <w:right w:val="nil"/>
            </w:tcBorders>
          </w:tcPr>
          <w:p w14:paraId="7B04E10E"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32</w:t>
            </w:r>
          </w:p>
        </w:tc>
        <w:tc>
          <w:tcPr>
            <w:tcW w:w="141" w:type="pct"/>
            <w:tcBorders>
              <w:top w:val="nil"/>
              <w:left w:val="nil"/>
              <w:bottom w:val="nil"/>
              <w:right w:val="nil"/>
            </w:tcBorders>
            <w:shd w:val="clear" w:color="auto" w:fill="auto"/>
            <w:vAlign w:val="bottom"/>
          </w:tcPr>
          <w:p w14:paraId="053ADB9D" w14:textId="00C65835"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nil"/>
              <w:right w:val="nil"/>
            </w:tcBorders>
            <w:shd w:val="clear" w:color="auto" w:fill="auto"/>
            <w:vAlign w:val="bottom"/>
          </w:tcPr>
          <w:p w14:paraId="3E07BD86" w14:textId="54329F2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16</w:t>
            </w:r>
          </w:p>
        </w:tc>
        <w:tc>
          <w:tcPr>
            <w:tcW w:w="141" w:type="pct"/>
            <w:tcBorders>
              <w:top w:val="nil"/>
              <w:left w:val="nil"/>
              <w:bottom w:val="nil"/>
              <w:right w:val="nil"/>
            </w:tcBorders>
            <w:shd w:val="clear" w:color="auto" w:fill="auto"/>
            <w:vAlign w:val="bottom"/>
          </w:tcPr>
          <w:p w14:paraId="49FE8CF4" w14:textId="350F7F7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25</w:t>
            </w:r>
          </w:p>
        </w:tc>
        <w:tc>
          <w:tcPr>
            <w:tcW w:w="141" w:type="pct"/>
            <w:tcBorders>
              <w:top w:val="nil"/>
              <w:left w:val="nil"/>
              <w:bottom w:val="nil"/>
              <w:right w:val="nil"/>
            </w:tcBorders>
            <w:shd w:val="clear" w:color="auto" w:fill="auto"/>
            <w:vAlign w:val="bottom"/>
          </w:tcPr>
          <w:p w14:paraId="45724D39" w14:textId="2E99F2A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32</w:t>
            </w:r>
          </w:p>
        </w:tc>
        <w:tc>
          <w:tcPr>
            <w:tcW w:w="141" w:type="pct"/>
            <w:tcBorders>
              <w:top w:val="nil"/>
              <w:left w:val="nil"/>
              <w:bottom w:val="nil"/>
              <w:right w:val="nil"/>
            </w:tcBorders>
            <w:shd w:val="clear" w:color="auto" w:fill="auto"/>
            <w:vAlign w:val="bottom"/>
          </w:tcPr>
          <w:p w14:paraId="4D0962B7" w14:textId="62FF35F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34</w:t>
            </w:r>
          </w:p>
        </w:tc>
        <w:tc>
          <w:tcPr>
            <w:tcW w:w="141" w:type="pct"/>
            <w:tcBorders>
              <w:top w:val="nil"/>
              <w:left w:val="nil"/>
              <w:bottom w:val="nil"/>
              <w:right w:val="nil"/>
            </w:tcBorders>
            <w:shd w:val="clear" w:color="auto" w:fill="auto"/>
            <w:vAlign w:val="bottom"/>
          </w:tcPr>
          <w:p w14:paraId="7C1CEC9B" w14:textId="74C5C5A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39</w:t>
            </w:r>
          </w:p>
        </w:tc>
        <w:tc>
          <w:tcPr>
            <w:tcW w:w="141" w:type="pct"/>
            <w:tcBorders>
              <w:top w:val="nil"/>
              <w:left w:val="nil"/>
              <w:bottom w:val="nil"/>
              <w:right w:val="nil"/>
            </w:tcBorders>
            <w:shd w:val="clear" w:color="auto" w:fill="auto"/>
            <w:vAlign w:val="bottom"/>
          </w:tcPr>
          <w:p w14:paraId="7CADE640" w14:textId="623D051D"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56</w:t>
            </w:r>
          </w:p>
        </w:tc>
        <w:tc>
          <w:tcPr>
            <w:tcW w:w="141" w:type="pct"/>
            <w:tcBorders>
              <w:top w:val="nil"/>
              <w:left w:val="nil"/>
              <w:bottom w:val="nil"/>
              <w:right w:val="nil"/>
            </w:tcBorders>
            <w:shd w:val="clear" w:color="auto" w:fill="auto"/>
            <w:vAlign w:val="bottom"/>
          </w:tcPr>
          <w:p w14:paraId="36670D7A" w14:textId="59FA1B33"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69</w:t>
            </w:r>
          </w:p>
        </w:tc>
        <w:tc>
          <w:tcPr>
            <w:tcW w:w="141" w:type="pct"/>
            <w:tcBorders>
              <w:top w:val="nil"/>
              <w:left w:val="nil"/>
              <w:bottom w:val="nil"/>
              <w:right w:val="nil"/>
            </w:tcBorders>
            <w:shd w:val="clear" w:color="auto" w:fill="auto"/>
            <w:vAlign w:val="bottom"/>
          </w:tcPr>
          <w:p w14:paraId="2A7CCE46" w14:textId="6AF2626B"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75</w:t>
            </w:r>
          </w:p>
        </w:tc>
        <w:tc>
          <w:tcPr>
            <w:tcW w:w="141" w:type="pct"/>
            <w:tcBorders>
              <w:top w:val="nil"/>
              <w:left w:val="nil"/>
              <w:bottom w:val="nil"/>
              <w:right w:val="nil"/>
            </w:tcBorders>
            <w:shd w:val="clear" w:color="auto" w:fill="auto"/>
            <w:vAlign w:val="bottom"/>
          </w:tcPr>
          <w:p w14:paraId="11021BD0" w14:textId="6FB69C7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78</w:t>
            </w:r>
          </w:p>
        </w:tc>
        <w:tc>
          <w:tcPr>
            <w:tcW w:w="141" w:type="pct"/>
            <w:tcBorders>
              <w:top w:val="nil"/>
              <w:left w:val="nil"/>
              <w:bottom w:val="nil"/>
              <w:right w:val="nil"/>
            </w:tcBorders>
            <w:shd w:val="clear" w:color="auto" w:fill="auto"/>
            <w:vAlign w:val="bottom"/>
          </w:tcPr>
          <w:p w14:paraId="18F1BFE0" w14:textId="4B9DED08"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86</w:t>
            </w:r>
          </w:p>
        </w:tc>
        <w:tc>
          <w:tcPr>
            <w:tcW w:w="141" w:type="pct"/>
            <w:tcBorders>
              <w:top w:val="nil"/>
              <w:left w:val="nil"/>
              <w:bottom w:val="nil"/>
              <w:right w:val="nil"/>
            </w:tcBorders>
            <w:shd w:val="clear" w:color="auto" w:fill="auto"/>
            <w:vAlign w:val="bottom"/>
          </w:tcPr>
          <w:p w14:paraId="0D5AA887" w14:textId="049B175D"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112</w:t>
            </w:r>
          </w:p>
        </w:tc>
        <w:tc>
          <w:tcPr>
            <w:tcW w:w="141" w:type="pct"/>
            <w:tcBorders>
              <w:top w:val="nil"/>
              <w:left w:val="nil"/>
              <w:bottom w:val="nil"/>
              <w:right w:val="nil"/>
            </w:tcBorders>
            <w:shd w:val="clear" w:color="auto" w:fill="auto"/>
            <w:vAlign w:val="bottom"/>
          </w:tcPr>
          <w:p w14:paraId="6A0006B3" w14:textId="4CDBFAE3"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120</w:t>
            </w:r>
          </w:p>
        </w:tc>
        <w:tc>
          <w:tcPr>
            <w:tcW w:w="141" w:type="pct"/>
            <w:tcBorders>
              <w:top w:val="nil"/>
              <w:left w:val="nil"/>
              <w:bottom w:val="nil"/>
              <w:right w:val="nil"/>
            </w:tcBorders>
            <w:shd w:val="clear" w:color="auto" w:fill="auto"/>
            <w:vAlign w:val="bottom"/>
          </w:tcPr>
          <w:p w14:paraId="1E0E020E" w14:textId="2E34C7D5"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112</w:t>
            </w:r>
          </w:p>
        </w:tc>
        <w:tc>
          <w:tcPr>
            <w:tcW w:w="141" w:type="pct"/>
            <w:tcBorders>
              <w:top w:val="nil"/>
              <w:left w:val="nil"/>
              <w:bottom w:val="nil"/>
              <w:right w:val="nil"/>
            </w:tcBorders>
            <w:shd w:val="clear" w:color="auto" w:fill="auto"/>
            <w:vAlign w:val="bottom"/>
          </w:tcPr>
          <w:p w14:paraId="1A71A4AF" w14:textId="39E30966"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121</w:t>
            </w:r>
          </w:p>
        </w:tc>
        <w:tc>
          <w:tcPr>
            <w:tcW w:w="141" w:type="pct"/>
            <w:tcBorders>
              <w:top w:val="nil"/>
              <w:left w:val="nil"/>
              <w:bottom w:val="nil"/>
              <w:right w:val="nil"/>
            </w:tcBorders>
            <w:shd w:val="clear" w:color="auto" w:fill="auto"/>
            <w:vAlign w:val="bottom"/>
          </w:tcPr>
          <w:p w14:paraId="14C7A000" w14:textId="55EC71C9"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117</w:t>
            </w:r>
          </w:p>
        </w:tc>
        <w:tc>
          <w:tcPr>
            <w:tcW w:w="141" w:type="pct"/>
            <w:tcBorders>
              <w:top w:val="nil"/>
              <w:left w:val="nil"/>
              <w:bottom w:val="nil"/>
              <w:right w:val="nil"/>
            </w:tcBorders>
            <w:shd w:val="clear" w:color="auto" w:fill="auto"/>
            <w:vAlign w:val="bottom"/>
          </w:tcPr>
          <w:p w14:paraId="4951CBFC" w14:textId="6AD5FCC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152</w:t>
            </w:r>
          </w:p>
        </w:tc>
        <w:tc>
          <w:tcPr>
            <w:tcW w:w="141" w:type="pct"/>
            <w:tcBorders>
              <w:top w:val="nil"/>
              <w:left w:val="nil"/>
              <w:bottom w:val="nil"/>
              <w:right w:val="nil"/>
            </w:tcBorders>
            <w:shd w:val="clear" w:color="auto" w:fill="auto"/>
            <w:vAlign w:val="bottom"/>
          </w:tcPr>
          <w:p w14:paraId="620B4DEC" w14:textId="2E4FCA3E"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179</w:t>
            </w:r>
          </w:p>
        </w:tc>
        <w:tc>
          <w:tcPr>
            <w:tcW w:w="141" w:type="pct"/>
            <w:tcBorders>
              <w:top w:val="nil"/>
              <w:left w:val="nil"/>
              <w:bottom w:val="nil"/>
              <w:right w:val="nil"/>
            </w:tcBorders>
            <w:shd w:val="clear" w:color="auto" w:fill="auto"/>
            <w:vAlign w:val="bottom"/>
          </w:tcPr>
          <w:p w14:paraId="66B94C98" w14:textId="460E85E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196</w:t>
            </w:r>
          </w:p>
        </w:tc>
        <w:tc>
          <w:tcPr>
            <w:tcW w:w="141" w:type="pct"/>
            <w:tcBorders>
              <w:top w:val="nil"/>
              <w:left w:val="nil"/>
              <w:bottom w:val="nil"/>
              <w:right w:val="nil"/>
            </w:tcBorders>
            <w:shd w:val="clear" w:color="auto" w:fill="auto"/>
            <w:vAlign w:val="bottom"/>
          </w:tcPr>
          <w:p w14:paraId="6DBC58B4" w14:textId="3634303C"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200</w:t>
            </w:r>
          </w:p>
        </w:tc>
        <w:tc>
          <w:tcPr>
            <w:tcW w:w="141" w:type="pct"/>
            <w:tcBorders>
              <w:top w:val="nil"/>
              <w:left w:val="nil"/>
              <w:bottom w:val="nil"/>
              <w:right w:val="nil"/>
            </w:tcBorders>
            <w:shd w:val="clear" w:color="auto" w:fill="auto"/>
            <w:vAlign w:val="bottom"/>
          </w:tcPr>
          <w:p w14:paraId="6DA3EA66" w14:textId="0B2B398E"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270</w:t>
            </w:r>
          </w:p>
        </w:tc>
        <w:tc>
          <w:tcPr>
            <w:tcW w:w="141" w:type="pct"/>
            <w:tcBorders>
              <w:top w:val="nil"/>
              <w:left w:val="nil"/>
              <w:bottom w:val="nil"/>
              <w:right w:val="nil"/>
            </w:tcBorders>
            <w:shd w:val="clear" w:color="auto" w:fill="auto"/>
            <w:vAlign w:val="bottom"/>
          </w:tcPr>
          <w:p w14:paraId="44643262" w14:textId="144BA234"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372</w:t>
            </w:r>
          </w:p>
        </w:tc>
        <w:tc>
          <w:tcPr>
            <w:tcW w:w="141" w:type="pct"/>
            <w:tcBorders>
              <w:top w:val="nil"/>
              <w:left w:val="nil"/>
              <w:bottom w:val="nil"/>
              <w:right w:val="nil"/>
            </w:tcBorders>
            <w:shd w:val="clear" w:color="auto" w:fill="auto"/>
            <w:vAlign w:val="bottom"/>
          </w:tcPr>
          <w:p w14:paraId="52ED9FA9" w14:textId="349A5F69"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394</w:t>
            </w:r>
          </w:p>
        </w:tc>
        <w:tc>
          <w:tcPr>
            <w:tcW w:w="141" w:type="pct"/>
            <w:tcBorders>
              <w:top w:val="nil"/>
              <w:left w:val="nil"/>
              <w:bottom w:val="nil"/>
              <w:right w:val="nil"/>
            </w:tcBorders>
            <w:shd w:val="clear" w:color="auto" w:fill="auto"/>
            <w:vAlign w:val="bottom"/>
          </w:tcPr>
          <w:p w14:paraId="0112E9DE" w14:textId="214B13A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426</w:t>
            </w:r>
          </w:p>
        </w:tc>
        <w:tc>
          <w:tcPr>
            <w:tcW w:w="141" w:type="pct"/>
            <w:tcBorders>
              <w:top w:val="nil"/>
              <w:left w:val="nil"/>
              <w:bottom w:val="nil"/>
              <w:right w:val="nil"/>
            </w:tcBorders>
            <w:shd w:val="clear" w:color="auto" w:fill="auto"/>
            <w:vAlign w:val="bottom"/>
          </w:tcPr>
          <w:p w14:paraId="4DA2AA76" w14:textId="583E3666"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455</w:t>
            </w:r>
          </w:p>
        </w:tc>
        <w:tc>
          <w:tcPr>
            <w:tcW w:w="141" w:type="pct"/>
            <w:tcBorders>
              <w:top w:val="nil"/>
              <w:left w:val="nil"/>
              <w:bottom w:val="nil"/>
              <w:right w:val="nil"/>
            </w:tcBorders>
            <w:shd w:val="clear" w:color="auto" w:fill="auto"/>
            <w:vAlign w:val="bottom"/>
          </w:tcPr>
          <w:p w14:paraId="74724F46" w14:textId="6DFDBAE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515</w:t>
            </w:r>
          </w:p>
        </w:tc>
        <w:tc>
          <w:tcPr>
            <w:tcW w:w="141" w:type="pct"/>
            <w:tcBorders>
              <w:top w:val="nil"/>
              <w:left w:val="nil"/>
              <w:bottom w:val="nil"/>
              <w:right w:val="nil"/>
            </w:tcBorders>
            <w:shd w:val="clear" w:color="auto" w:fill="auto"/>
            <w:vAlign w:val="bottom"/>
          </w:tcPr>
          <w:p w14:paraId="60583700" w14:textId="39F88BC2"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537</w:t>
            </w:r>
          </w:p>
        </w:tc>
        <w:tc>
          <w:tcPr>
            <w:tcW w:w="141" w:type="pct"/>
            <w:tcBorders>
              <w:top w:val="nil"/>
              <w:left w:val="nil"/>
              <w:bottom w:val="nil"/>
              <w:right w:val="nil"/>
            </w:tcBorders>
            <w:shd w:val="clear" w:color="auto" w:fill="auto"/>
            <w:vAlign w:val="bottom"/>
          </w:tcPr>
          <w:p w14:paraId="3342DD88" w14:textId="0F1668EC"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464</w:t>
            </w:r>
          </w:p>
        </w:tc>
        <w:tc>
          <w:tcPr>
            <w:tcW w:w="141" w:type="pct"/>
            <w:tcBorders>
              <w:top w:val="nil"/>
              <w:left w:val="nil"/>
              <w:bottom w:val="nil"/>
              <w:right w:val="nil"/>
            </w:tcBorders>
            <w:shd w:val="clear" w:color="auto" w:fill="auto"/>
            <w:vAlign w:val="bottom"/>
          </w:tcPr>
          <w:p w14:paraId="27397EC7" w14:textId="69C3D83C"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398</w:t>
            </w:r>
          </w:p>
        </w:tc>
        <w:tc>
          <w:tcPr>
            <w:tcW w:w="100" w:type="pct"/>
            <w:tcBorders>
              <w:top w:val="nil"/>
              <w:left w:val="nil"/>
              <w:bottom w:val="nil"/>
              <w:right w:val="nil"/>
            </w:tcBorders>
          </w:tcPr>
          <w:p w14:paraId="63C15FFF"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0C8CB353"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0CC82A08" w14:textId="2E65FD0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 </w:t>
            </w:r>
          </w:p>
        </w:tc>
        <w:tc>
          <w:tcPr>
            <w:tcW w:w="129" w:type="pct"/>
            <w:tcBorders>
              <w:top w:val="nil"/>
              <w:left w:val="nil"/>
              <w:bottom w:val="nil"/>
              <w:right w:val="single" w:sz="6" w:space="0" w:color="auto"/>
            </w:tcBorders>
            <w:shd w:val="clear" w:color="auto" w:fill="auto"/>
            <w:vAlign w:val="bottom"/>
          </w:tcPr>
          <w:p w14:paraId="76013531" w14:textId="19A94000"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 </w:t>
            </w:r>
          </w:p>
        </w:tc>
        <w:tc>
          <w:tcPr>
            <w:tcW w:w="253" w:type="pct"/>
            <w:tcBorders>
              <w:top w:val="nil"/>
              <w:left w:val="single" w:sz="6" w:space="0" w:color="auto"/>
              <w:bottom w:val="nil"/>
              <w:right w:val="single" w:sz="6" w:space="0" w:color="auto"/>
            </w:tcBorders>
            <w:shd w:val="clear" w:color="auto" w:fill="auto"/>
            <w:vAlign w:val="bottom"/>
          </w:tcPr>
          <w:p w14:paraId="27629329" w14:textId="6B147C41"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6261</w:t>
            </w:r>
          </w:p>
        </w:tc>
      </w:tr>
      <w:tr w:rsidR="00F4063A" w:rsidRPr="00F830FB" w14:paraId="12D5958A" w14:textId="77777777" w:rsidTr="00F4063A">
        <w:tc>
          <w:tcPr>
            <w:tcW w:w="188" w:type="pct"/>
            <w:tcBorders>
              <w:top w:val="nil"/>
              <w:left w:val="nil"/>
              <w:bottom w:val="nil"/>
              <w:right w:val="nil"/>
            </w:tcBorders>
          </w:tcPr>
          <w:p w14:paraId="2082080F"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33</w:t>
            </w:r>
          </w:p>
        </w:tc>
        <w:tc>
          <w:tcPr>
            <w:tcW w:w="141" w:type="pct"/>
            <w:tcBorders>
              <w:top w:val="nil"/>
              <w:left w:val="nil"/>
              <w:bottom w:val="nil"/>
              <w:right w:val="nil"/>
            </w:tcBorders>
            <w:shd w:val="clear" w:color="auto" w:fill="auto"/>
            <w:vAlign w:val="bottom"/>
          </w:tcPr>
          <w:p w14:paraId="377BFAB2" w14:textId="73C5B571"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nil"/>
              <w:right w:val="nil"/>
            </w:tcBorders>
            <w:shd w:val="clear" w:color="auto" w:fill="auto"/>
            <w:vAlign w:val="bottom"/>
          </w:tcPr>
          <w:p w14:paraId="2A4D50F0" w14:textId="02CEAE29"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nil"/>
              <w:right w:val="nil"/>
            </w:tcBorders>
            <w:shd w:val="clear" w:color="auto" w:fill="auto"/>
            <w:vAlign w:val="bottom"/>
          </w:tcPr>
          <w:p w14:paraId="7326CB98" w14:textId="4DFC02F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23</w:t>
            </w:r>
          </w:p>
        </w:tc>
        <w:tc>
          <w:tcPr>
            <w:tcW w:w="141" w:type="pct"/>
            <w:tcBorders>
              <w:top w:val="nil"/>
              <w:left w:val="nil"/>
              <w:bottom w:val="nil"/>
              <w:right w:val="nil"/>
            </w:tcBorders>
            <w:shd w:val="clear" w:color="auto" w:fill="auto"/>
            <w:vAlign w:val="bottom"/>
          </w:tcPr>
          <w:p w14:paraId="325D8034" w14:textId="580B37D8"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24</w:t>
            </w:r>
          </w:p>
        </w:tc>
        <w:tc>
          <w:tcPr>
            <w:tcW w:w="141" w:type="pct"/>
            <w:tcBorders>
              <w:top w:val="nil"/>
              <w:left w:val="nil"/>
              <w:bottom w:val="nil"/>
              <w:right w:val="nil"/>
            </w:tcBorders>
            <w:shd w:val="clear" w:color="auto" w:fill="auto"/>
            <w:vAlign w:val="bottom"/>
          </w:tcPr>
          <w:p w14:paraId="480C19A4" w14:textId="416A3016"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29</w:t>
            </w:r>
          </w:p>
        </w:tc>
        <w:tc>
          <w:tcPr>
            <w:tcW w:w="141" w:type="pct"/>
            <w:tcBorders>
              <w:top w:val="nil"/>
              <w:left w:val="nil"/>
              <w:bottom w:val="nil"/>
              <w:right w:val="nil"/>
            </w:tcBorders>
            <w:shd w:val="clear" w:color="auto" w:fill="auto"/>
            <w:vAlign w:val="bottom"/>
          </w:tcPr>
          <w:p w14:paraId="13407EC0" w14:textId="517521F6"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36</w:t>
            </w:r>
          </w:p>
        </w:tc>
        <w:tc>
          <w:tcPr>
            <w:tcW w:w="141" w:type="pct"/>
            <w:tcBorders>
              <w:top w:val="nil"/>
              <w:left w:val="nil"/>
              <w:bottom w:val="nil"/>
              <w:right w:val="nil"/>
            </w:tcBorders>
            <w:shd w:val="clear" w:color="auto" w:fill="auto"/>
            <w:vAlign w:val="bottom"/>
          </w:tcPr>
          <w:p w14:paraId="2C4B3AE2" w14:textId="15A4AF0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41</w:t>
            </w:r>
          </w:p>
        </w:tc>
        <w:tc>
          <w:tcPr>
            <w:tcW w:w="141" w:type="pct"/>
            <w:tcBorders>
              <w:top w:val="nil"/>
              <w:left w:val="nil"/>
              <w:bottom w:val="nil"/>
              <w:right w:val="nil"/>
            </w:tcBorders>
            <w:shd w:val="clear" w:color="auto" w:fill="auto"/>
            <w:vAlign w:val="bottom"/>
          </w:tcPr>
          <w:p w14:paraId="5D1EAD3E" w14:textId="69DBCFD9"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58</w:t>
            </w:r>
          </w:p>
        </w:tc>
        <w:tc>
          <w:tcPr>
            <w:tcW w:w="141" w:type="pct"/>
            <w:tcBorders>
              <w:top w:val="nil"/>
              <w:left w:val="nil"/>
              <w:bottom w:val="nil"/>
              <w:right w:val="nil"/>
            </w:tcBorders>
            <w:shd w:val="clear" w:color="auto" w:fill="auto"/>
            <w:vAlign w:val="bottom"/>
          </w:tcPr>
          <w:p w14:paraId="7CE905C0" w14:textId="30C1A108"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72</w:t>
            </w:r>
          </w:p>
        </w:tc>
        <w:tc>
          <w:tcPr>
            <w:tcW w:w="141" w:type="pct"/>
            <w:tcBorders>
              <w:top w:val="nil"/>
              <w:left w:val="nil"/>
              <w:bottom w:val="nil"/>
              <w:right w:val="nil"/>
            </w:tcBorders>
            <w:shd w:val="clear" w:color="auto" w:fill="auto"/>
            <w:vAlign w:val="bottom"/>
          </w:tcPr>
          <w:p w14:paraId="128E9BFA" w14:textId="0F4B8AA6"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78</w:t>
            </w:r>
          </w:p>
        </w:tc>
        <w:tc>
          <w:tcPr>
            <w:tcW w:w="141" w:type="pct"/>
            <w:tcBorders>
              <w:top w:val="nil"/>
              <w:left w:val="nil"/>
              <w:bottom w:val="nil"/>
              <w:right w:val="nil"/>
            </w:tcBorders>
            <w:shd w:val="clear" w:color="auto" w:fill="auto"/>
            <w:vAlign w:val="bottom"/>
          </w:tcPr>
          <w:p w14:paraId="040277CD" w14:textId="6012B481"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81</w:t>
            </w:r>
          </w:p>
        </w:tc>
        <w:tc>
          <w:tcPr>
            <w:tcW w:w="141" w:type="pct"/>
            <w:tcBorders>
              <w:top w:val="nil"/>
              <w:left w:val="nil"/>
              <w:bottom w:val="nil"/>
              <w:right w:val="nil"/>
            </w:tcBorders>
            <w:shd w:val="clear" w:color="auto" w:fill="auto"/>
            <w:vAlign w:val="bottom"/>
          </w:tcPr>
          <w:p w14:paraId="6DBAACDE" w14:textId="48A3AD8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90</w:t>
            </w:r>
          </w:p>
        </w:tc>
        <w:tc>
          <w:tcPr>
            <w:tcW w:w="141" w:type="pct"/>
            <w:tcBorders>
              <w:top w:val="nil"/>
              <w:left w:val="nil"/>
              <w:bottom w:val="nil"/>
              <w:right w:val="nil"/>
            </w:tcBorders>
            <w:shd w:val="clear" w:color="auto" w:fill="auto"/>
            <w:vAlign w:val="bottom"/>
          </w:tcPr>
          <w:p w14:paraId="2D869FBC" w14:textId="4A44E6C3"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117</w:t>
            </w:r>
          </w:p>
        </w:tc>
        <w:tc>
          <w:tcPr>
            <w:tcW w:w="141" w:type="pct"/>
            <w:tcBorders>
              <w:top w:val="nil"/>
              <w:left w:val="nil"/>
              <w:bottom w:val="nil"/>
              <w:right w:val="nil"/>
            </w:tcBorders>
            <w:shd w:val="clear" w:color="auto" w:fill="auto"/>
            <w:vAlign w:val="bottom"/>
          </w:tcPr>
          <w:p w14:paraId="20AAB61B" w14:textId="5055B50F"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125</w:t>
            </w:r>
          </w:p>
        </w:tc>
        <w:tc>
          <w:tcPr>
            <w:tcW w:w="141" w:type="pct"/>
            <w:tcBorders>
              <w:top w:val="nil"/>
              <w:left w:val="nil"/>
              <w:bottom w:val="nil"/>
              <w:right w:val="nil"/>
            </w:tcBorders>
            <w:shd w:val="clear" w:color="auto" w:fill="auto"/>
            <w:vAlign w:val="bottom"/>
          </w:tcPr>
          <w:p w14:paraId="5018F63C" w14:textId="030FE1B6"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114</w:t>
            </w:r>
          </w:p>
        </w:tc>
        <w:tc>
          <w:tcPr>
            <w:tcW w:w="141" w:type="pct"/>
            <w:tcBorders>
              <w:top w:val="nil"/>
              <w:left w:val="nil"/>
              <w:bottom w:val="nil"/>
              <w:right w:val="nil"/>
            </w:tcBorders>
            <w:shd w:val="clear" w:color="auto" w:fill="auto"/>
            <w:vAlign w:val="bottom"/>
          </w:tcPr>
          <w:p w14:paraId="68AB4020" w14:textId="1352ADC1"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118</w:t>
            </w:r>
          </w:p>
        </w:tc>
        <w:tc>
          <w:tcPr>
            <w:tcW w:w="141" w:type="pct"/>
            <w:tcBorders>
              <w:top w:val="nil"/>
              <w:left w:val="nil"/>
              <w:bottom w:val="nil"/>
              <w:right w:val="nil"/>
            </w:tcBorders>
            <w:shd w:val="clear" w:color="auto" w:fill="auto"/>
            <w:vAlign w:val="bottom"/>
          </w:tcPr>
          <w:p w14:paraId="0CC7EDC9" w14:textId="65E0862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114</w:t>
            </w:r>
          </w:p>
        </w:tc>
        <w:tc>
          <w:tcPr>
            <w:tcW w:w="141" w:type="pct"/>
            <w:tcBorders>
              <w:top w:val="nil"/>
              <w:left w:val="nil"/>
              <w:bottom w:val="nil"/>
              <w:right w:val="nil"/>
            </w:tcBorders>
            <w:shd w:val="clear" w:color="auto" w:fill="auto"/>
            <w:vAlign w:val="bottom"/>
          </w:tcPr>
          <w:p w14:paraId="6CF9E98B" w14:textId="71876A1F"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148</w:t>
            </w:r>
          </w:p>
        </w:tc>
        <w:tc>
          <w:tcPr>
            <w:tcW w:w="141" w:type="pct"/>
            <w:tcBorders>
              <w:top w:val="nil"/>
              <w:left w:val="nil"/>
              <w:bottom w:val="nil"/>
              <w:right w:val="nil"/>
            </w:tcBorders>
            <w:shd w:val="clear" w:color="auto" w:fill="auto"/>
            <w:vAlign w:val="bottom"/>
          </w:tcPr>
          <w:p w14:paraId="4A817C2C" w14:textId="72FF0CF0"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174</w:t>
            </w:r>
          </w:p>
        </w:tc>
        <w:tc>
          <w:tcPr>
            <w:tcW w:w="141" w:type="pct"/>
            <w:tcBorders>
              <w:top w:val="nil"/>
              <w:left w:val="nil"/>
              <w:bottom w:val="nil"/>
              <w:right w:val="nil"/>
            </w:tcBorders>
            <w:shd w:val="clear" w:color="auto" w:fill="auto"/>
            <w:vAlign w:val="bottom"/>
          </w:tcPr>
          <w:p w14:paraId="6485756E" w14:textId="3DA03FC2"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191</w:t>
            </w:r>
          </w:p>
        </w:tc>
        <w:tc>
          <w:tcPr>
            <w:tcW w:w="141" w:type="pct"/>
            <w:tcBorders>
              <w:top w:val="nil"/>
              <w:left w:val="nil"/>
              <w:bottom w:val="nil"/>
              <w:right w:val="nil"/>
            </w:tcBorders>
            <w:shd w:val="clear" w:color="auto" w:fill="auto"/>
            <w:vAlign w:val="bottom"/>
          </w:tcPr>
          <w:p w14:paraId="6EF6E7CE" w14:textId="47BAD6F5"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194</w:t>
            </w:r>
          </w:p>
        </w:tc>
        <w:tc>
          <w:tcPr>
            <w:tcW w:w="141" w:type="pct"/>
            <w:tcBorders>
              <w:top w:val="nil"/>
              <w:left w:val="nil"/>
              <w:bottom w:val="nil"/>
              <w:right w:val="nil"/>
            </w:tcBorders>
            <w:shd w:val="clear" w:color="auto" w:fill="auto"/>
            <w:vAlign w:val="bottom"/>
          </w:tcPr>
          <w:p w14:paraId="1127CACA" w14:textId="65D55AE8"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261</w:t>
            </w:r>
          </w:p>
        </w:tc>
        <w:tc>
          <w:tcPr>
            <w:tcW w:w="141" w:type="pct"/>
            <w:tcBorders>
              <w:top w:val="nil"/>
              <w:left w:val="nil"/>
              <w:bottom w:val="nil"/>
              <w:right w:val="nil"/>
            </w:tcBorders>
            <w:shd w:val="clear" w:color="auto" w:fill="auto"/>
            <w:vAlign w:val="bottom"/>
          </w:tcPr>
          <w:p w14:paraId="3E9B7216" w14:textId="450D5152"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359</w:t>
            </w:r>
          </w:p>
        </w:tc>
        <w:tc>
          <w:tcPr>
            <w:tcW w:w="141" w:type="pct"/>
            <w:tcBorders>
              <w:top w:val="nil"/>
              <w:left w:val="nil"/>
              <w:bottom w:val="nil"/>
              <w:right w:val="nil"/>
            </w:tcBorders>
            <w:shd w:val="clear" w:color="auto" w:fill="auto"/>
            <w:vAlign w:val="bottom"/>
          </w:tcPr>
          <w:p w14:paraId="6C749380" w14:textId="2AF584DE"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379</w:t>
            </w:r>
          </w:p>
        </w:tc>
        <w:tc>
          <w:tcPr>
            <w:tcW w:w="141" w:type="pct"/>
            <w:tcBorders>
              <w:top w:val="nil"/>
              <w:left w:val="nil"/>
              <w:bottom w:val="nil"/>
              <w:right w:val="nil"/>
            </w:tcBorders>
            <w:shd w:val="clear" w:color="auto" w:fill="auto"/>
            <w:vAlign w:val="bottom"/>
          </w:tcPr>
          <w:p w14:paraId="4F4B89B7" w14:textId="27F6F6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409</w:t>
            </w:r>
          </w:p>
        </w:tc>
        <w:tc>
          <w:tcPr>
            <w:tcW w:w="141" w:type="pct"/>
            <w:tcBorders>
              <w:top w:val="nil"/>
              <w:left w:val="nil"/>
              <w:bottom w:val="nil"/>
              <w:right w:val="nil"/>
            </w:tcBorders>
            <w:shd w:val="clear" w:color="auto" w:fill="auto"/>
            <w:vAlign w:val="bottom"/>
          </w:tcPr>
          <w:p w14:paraId="1FEF00D5" w14:textId="4D98D5DF"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435</w:t>
            </w:r>
          </w:p>
        </w:tc>
        <w:tc>
          <w:tcPr>
            <w:tcW w:w="141" w:type="pct"/>
            <w:tcBorders>
              <w:top w:val="nil"/>
              <w:left w:val="nil"/>
              <w:bottom w:val="nil"/>
              <w:right w:val="nil"/>
            </w:tcBorders>
            <w:shd w:val="clear" w:color="auto" w:fill="auto"/>
            <w:vAlign w:val="bottom"/>
          </w:tcPr>
          <w:p w14:paraId="2EFFAC91" w14:textId="7B51B8F4"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491</w:t>
            </w:r>
          </w:p>
        </w:tc>
        <w:tc>
          <w:tcPr>
            <w:tcW w:w="141" w:type="pct"/>
            <w:tcBorders>
              <w:top w:val="nil"/>
              <w:left w:val="nil"/>
              <w:bottom w:val="nil"/>
              <w:right w:val="nil"/>
            </w:tcBorders>
            <w:shd w:val="clear" w:color="auto" w:fill="auto"/>
            <w:vAlign w:val="bottom"/>
          </w:tcPr>
          <w:p w14:paraId="218C1191" w14:textId="09316CE5"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511</w:t>
            </w:r>
          </w:p>
        </w:tc>
        <w:tc>
          <w:tcPr>
            <w:tcW w:w="141" w:type="pct"/>
            <w:tcBorders>
              <w:top w:val="nil"/>
              <w:left w:val="nil"/>
              <w:bottom w:val="nil"/>
              <w:right w:val="nil"/>
            </w:tcBorders>
            <w:shd w:val="clear" w:color="auto" w:fill="auto"/>
            <w:vAlign w:val="bottom"/>
          </w:tcPr>
          <w:p w14:paraId="158AA7D1" w14:textId="482B313B"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440</w:t>
            </w:r>
          </w:p>
        </w:tc>
        <w:tc>
          <w:tcPr>
            <w:tcW w:w="100" w:type="pct"/>
            <w:tcBorders>
              <w:top w:val="nil"/>
              <w:left w:val="nil"/>
              <w:bottom w:val="nil"/>
              <w:right w:val="nil"/>
            </w:tcBorders>
          </w:tcPr>
          <w:p w14:paraId="0354C2FD"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65C91104"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6D9EADA1"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7B77EEE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4314DFAC" w14:textId="0BEFC1F4"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6055</w:t>
            </w:r>
          </w:p>
        </w:tc>
      </w:tr>
      <w:tr w:rsidR="00F4063A" w:rsidRPr="00F830FB" w14:paraId="5BC71666" w14:textId="77777777" w:rsidTr="00F4063A">
        <w:tc>
          <w:tcPr>
            <w:tcW w:w="188" w:type="pct"/>
            <w:tcBorders>
              <w:top w:val="nil"/>
              <w:left w:val="nil"/>
              <w:bottom w:val="nil"/>
              <w:right w:val="nil"/>
            </w:tcBorders>
          </w:tcPr>
          <w:p w14:paraId="26D6909F"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34</w:t>
            </w:r>
          </w:p>
        </w:tc>
        <w:tc>
          <w:tcPr>
            <w:tcW w:w="141" w:type="pct"/>
            <w:tcBorders>
              <w:top w:val="nil"/>
              <w:left w:val="nil"/>
              <w:bottom w:val="nil"/>
              <w:right w:val="nil"/>
            </w:tcBorders>
            <w:shd w:val="clear" w:color="auto" w:fill="auto"/>
            <w:vAlign w:val="bottom"/>
          </w:tcPr>
          <w:p w14:paraId="1076F42A" w14:textId="21C394E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nil"/>
              <w:right w:val="nil"/>
            </w:tcBorders>
            <w:shd w:val="clear" w:color="auto" w:fill="auto"/>
            <w:vAlign w:val="bottom"/>
          </w:tcPr>
          <w:p w14:paraId="3E819EEA" w14:textId="67355F9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nil"/>
              <w:right w:val="nil"/>
            </w:tcBorders>
            <w:shd w:val="clear" w:color="auto" w:fill="auto"/>
            <w:vAlign w:val="bottom"/>
          </w:tcPr>
          <w:p w14:paraId="0DBA3E91" w14:textId="05A17B6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nil"/>
              <w:right w:val="nil"/>
            </w:tcBorders>
            <w:shd w:val="clear" w:color="auto" w:fill="auto"/>
            <w:vAlign w:val="bottom"/>
          </w:tcPr>
          <w:p w14:paraId="3CFF060F" w14:textId="1F08CE54"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22</w:t>
            </w:r>
          </w:p>
        </w:tc>
        <w:tc>
          <w:tcPr>
            <w:tcW w:w="141" w:type="pct"/>
            <w:tcBorders>
              <w:top w:val="nil"/>
              <w:left w:val="nil"/>
              <w:bottom w:val="nil"/>
              <w:right w:val="nil"/>
            </w:tcBorders>
            <w:shd w:val="clear" w:color="auto" w:fill="auto"/>
            <w:vAlign w:val="bottom"/>
          </w:tcPr>
          <w:p w14:paraId="1E984EEF" w14:textId="2FE03C2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22</w:t>
            </w:r>
          </w:p>
        </w:tc>
        <w:tc>
          <w:tcPr>
            <w:tcW w:w="141" w:type="pct"/>
            <w:tcBorders>
              <w:top w:val="nil"/>
              <w:left w:val="nil"/>
              <w:bottom w:val="nil"/>
              <w:right w:val="nil"/>
            </w:tcBorders>
            <w:shd w:val="clear" w:color="auto" w:fill="auto"/>
            <w:vAlign w:val="bottom"/>
          </w:tcPr>
          <w:p w14:paraId="5418E65D" w14:textId="485A0773"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31</w:t>
            </w:r>
          </w:p>
        </w:tc>
        <w:tc>
          <w:tcPr>
            <w:tcW w:w="141" w:type="pct"/>
            <w:tcBorders>
              <w:top w:val="nil"/>
              <w:left w:val="nil"/>
              <w:bottom w:val="nil"/>
              <w:right w:val="nil"/>
            </w:tcBorders>
            <w:shd w:val="clear" w:color="auto" w:fill="auto"/>
            <w:vAlign w:val="bottom"/>
          </w:tcPr>
          <w:p w14:paraId="5A4A58D2" w14:textId="40DCA6E9"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37</w:t>
            </w:r>
          </w:p>
        </w:tc>
        <w:tc>
          <w:tcPr>
            <w:tcW w:w="141" w:type="pct"/>
            <w:tcBorders>
              <w:top w:val="nil"/>
              <w:left w:val="nil"/>
              <w:bottom w:val="nil"/>
              <w:right w:val="nil"/>
            </w:tcBorders>
            <w:shd w:val="clear" w:color="auto" w:fill="auto"/>
            <w:vAlign w:val="bottom"/>
          </w:tcPr>
          <w:p w14:paraId="713E64BA" w14:textId="6BFC1434"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43</w:t>
            </w:r>
          </w:p>
        </w:tc>
        <w:tc>
          <w:tcPr>
            <w:tcW w:w="141" w:type="pct"/>
            <w:tcBorders>
              <w:top w:val="nil"/>
              <w:left w:val="nil"/>
              <w:bottom w:val="nil"/>
              <w:right w:val="nil"/>
            </w:tcBorders>
            <w:shd w:val="clear" w:color="auto" w:fill="auto"/>
            <w:vAlign w:val="bottom"/>
          </w:tcPr>
          <w:p w14:paraId="01AB17C1" w14:textId="40A00DBF"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61</w:t>
            </w:r>
          </w:p>
        </w:tc>
        <w:tc>
          <w:tcPr>
            <w:tcW w:w="141" w:type="pct"/>
            <w:tcBorders>
              <w:top w:val="nil"/>
              <w:left w:val="nil"/>
              <w:bottom w:val="nil"/>
              <w:right w:val="nil"/>
            </w:tcBorders>
            <w:shd w:val="clear" w:color="auto" w:fill="auto"/>
            <w:vAlign w:val="bottom"/>
          </w:tcPr>
          <w:p w14:paraId="1BBAF50C" w14:textId="573C1FCB"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75</w:t>
            </w:r>
          </w:p>
        </w:tc>
        <w:tc>
          <w:tcPr>
            <w:tcW w:w="141" w:type="pct"/>
            <w:tcBorders>
              <w:top w:val="nil"/>
              <w:left w:val="nil"/>
              <w:bottom w:val="nil"/>
              <w:right w:val="nil"/>
            </w:tcBorders>
            <w:shd w:val="clear" w:color="auto" w:fill="auto"/>
            <w:vAlign w:val="bottom"/>
          </w:tcPr>
          <w:p w14:paraId="6E578E19" w14:textId="389C8C8F"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81</w:t>
            </w:r>
          </w:p>
        </w:tc>
        <w:tc>
          <w:tcPr>
            <w:tcW w:w="141" w:type="pct"/>
            <w:tcBorders>
              <w:top w:val="nil"/>
              <w:left w:val="nil"/>
              <w:bottom w:val="nil"/>
              <w:right w:val="nil"/>
            </w:tcBorders>
            <w:shd w:val="clear" w:color="auto" w:fill="auto"/>
            <w:vAlign w:val="bottom"/>
          </w:tcPr>
          <w:p w14:paraId="2FF34387" w14:textId="68C90D4F"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85</w:t>
            </w:r>
          </w:p>
        </w:tc>
        <w:tc>
          <w:tcPr>
            <w:tcW w:w="141" w:type="pct"/>
            <w:tcBorders>
              <w:top w:val="nil"/>
              <w:left w:val="nil"/>
              <w:bottom w:val="nil"/>
              <w:right w:val="nil"/>
            </w:tcBorders>
            <w:shd w:val="clear" w:color="auto" w:fill="auto"/>
            <w:vAlign w:val="bottom"/>
          </w:tcPr>
          <w:p w14:paraId="227261FE" w14:textId="041074DB"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93</w:t>
            </w:r>
          </w:p>
        </w:tc>
        <w:tc>
          <w:tcPr>
            <w:tcW w:w="141" w:type="pct"/>
            <w:tcBorders>
              <w:top w:val="nil"/>
              <w:left w:val="nil"/>
              <w:bottom w:val="nil"/>
              <w:right w:val="nil"/>
            </w:tcBorders>
            <w:shd w:val="clear" w:color="auto" w:fill="auto"/>
            <w:vAlign w:val="bottom"/>
          </w:tcPr>
          <w:p w14:paraId="19261FD9" w14:textId="065FB148"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122</w:t>
            </w:r>
          </w:p>
        </w:tc>
        <w:tc>
          <w:tcPr>
            <w:tcW w:w="141" w:type="pct"/>
            <w:tcBorders>
              <w:top w:val="nil"/>
              <w:left w:val="nil"/>
              <w:bottom w:val="nil"/>
              <w:right w:val="nil"/>
            </w:tcBorders>
            <w:shd w:val="clear" w:color="auto" w:fill="auto"/>
            <w:vAlign w:val="bottom"/>
          </w:tcPr>
          <w:p w14:paraId="66A081C0" w14:textId="2020C1B8"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126</w:t>
            </w:r>
          </w:p>
        </w:tc>
        <w:tc>
          <w:tcPr>
            <w:tcW w:w="141" w:type="pct"/>
            <w:tcBorders>
              <w:top w:val="nil"/>
              <w:left w:val="nil"/>
              <w:bottom w:val="nil"/>
              <w:right w:val="nil"/>
            </w:tcBorders>
            <w:shd w:val="clear" w:color="auto" w:fill="auto"/>
            <w:vAlign w:val="bottom"/>
          </w:tcPr>
          <w:p w14:paraId="369E8C40" w14:textId="23B469E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111</w:t>
            </w:r>
          </w:p>
        </w:tc>
        <w:tc>
          <w:tcPr>
            <w:tcW w:w="141" w:type="pct"/>
            <w:tcBorders>
              <w:top w:val="nil"/>
              <w:left w:val="nil"/>
              <w:bottom w:val="nil"/>
              <w:right w:val="nil"/>
            </w:tcBorders>
            <w:shd w:val="clear" w:color="auto" w:fill="auto"/>
            <w:vAlign w:val="bottom"/>
          </w:tcPr>
          <w:p w14:paraId="7B77437F" w14:textId="5B500714"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115</w:t>
            </w:r>
          </w:p>
        </w:tc>
        <w:tc>
          <w:tcPr>
            <w:tcW w:w="141" w:type="pct"/>
            <w:tcBorders>
              <w:top w:val="nil"/>
              <w:left w:val="nil"/>
              <w:bottom w:val="nil"/>
              <w:right w:val="nil"/>
            </w:tcBorders>
            <w:shd w:val="clear" w:color="auto" w:fill="auto"/>
            <w:vAlign w:val="bottom"/>
          </w:tcPr>
          <w:p w14:paraId="29654D95" w14:textId="282C78A3"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111</w:t>
            </w:r>
          </w:p>
        </w:tc>
        <w:tc>
          <w:tcPr>
            <w:tcW w:w="141" w:type="pct"/>
            <w:tcBorders>
              <w:top w:val="nil"/>
              <w:left w:val="nil"/>
              <w:bottom w:val="nil"/>
              <w:right w:val="nil"/>
            </w:tcBorders>
            <w:shd w:val="clear" w:color="auto" w:fill="auto"/>
            <w:vAlign w:val="bottom"/>
          </w:tcPr>
          <w:p w14:paraId="2E5E1D14" w14:textId="4D1CCE0B"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144</w:t>
            </w:r>
          </w:p>
        </w:tc>
        <w:tc>
          <w:tcPr>
            <w:tcW w:w="141" w:type="pct"/>
            <w:tcBorders>
              <w:top w:val="nil"/>
              <w:left w:val="nil"/>
              <w:bottom w:val="nil"/>
              <w:right w:val="nil"/>
            </w:tcBorders>
            <w:shd w:val="clear" w:color="auto" w:fill="auto"/>
            <w:vAlign w:val="bottom"/>
          </w:tcPr>
          <w:p w14:paraId="6B8E5AD6" w14:textId="65196B1D"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168</w:t>
            </w:r>
          </w:p>
        </w:tc>
        <w:tc>
          <w:tcPr>
            <w:tcW w:w="141" w:type="pct"/>
            <w:tcBorders>
              <w:top w:val="nil"/>
              <w:left w:val="nil"/>
              <w:bottom w:val="nil"/>
              <w:right w:val="nil"/>
            </w:tcBorders>
            <w:shd w:val="clear" w:color="auto" w:fill="auto"/>
            <w:vAlign w:val="bottom"/>
          </w:tcPr>
          <w:p w14:paraId="4F3FA406" w14:textId="1B2F1FB0"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185</w:t>
            </w:r>
          </w:p>
        </w:tc>
        <w:tc>
          <w:tcPr>
            <w:tcW w:w="141" w:type="pct"/>
            <w:tcBorders>
              <w:top w:val="nil"/>
              <w:left w:val="nil"/>
              <w:bottom w:val="nil"/>
              <w:right w:val="nil"/>
            </w:tcBorders>
            <w:shd w:val="clear" w:color="auto" w:fill="auto"/>
            <w:vAlign w:val="bottom"/>
          </w:tcPr>
          <w:p w14:paraId="578463C1" w14:textId="79DF68D8"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187</w:t>
            </w:r>
          </w:p>
        </w:tc>
        <w:tc>
          <w:tcPr>
            <w:tcW w:w="141" w:type="pct"/>
            <w:tcBorders>
              <w:top w:val="nil"/>
              <w:left w:val="nil"/>
              <w:bottom w:val="nil"/>
              <w:right w:val="nil"/>
            </w:tcBorders>
            <w:shd w:val="clear" w:color="auto" w:fill="auto"/>
            <w:vAlign w:val="bottom"/>
          </w:tcPr>
          <w:p w14:paraId="0CF3BA55" w14:textId="0AC6125E"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252</w:t>
            </w:r>
          </w:p>
        </w:tc>
        <w:tc>
          <w:tcPr>
            <w:tcW w:w="141" w:type="pct"/>
            <w:tcBorders>
              <w:top w:val="nil"/>
              <w:left w:val="nil"/>
              <w:bottom w:val="nil"/>
              <w:right w:val="nil"/>
            </w:tcBorders>
            <w:shd w:val="clear" w:color="auto" w:fill="auto"/>
            <w:vAlign w:val="bottom"/>
          </w:tcPr>
          <w:p w14:paraId="7D4012D6" w14:textId="6BBB6934"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346</w:t>
            </w:r>
          </w:p>
        </w:tc>
        <w:tc>
          <w:tcPr>
            <w:tcW w:w="141" w:type="pct"/>
            <w:tcBorders>
              <w:top w:val="nil"/>
              <w:left w:val="nil"/>
              <w:bottom w:val="nil"/>
              <w:right w:val="nil"/>
            </w:tcBorders>
            <w:shd w:val="clear" w:color="auto" w:fill="auto"/>
            <w:vAlign w:val="bottom"/>
          </w:tcPr>
          <w:p w14:paraId="1E1F9248" w14:textId="0FBFCD8E"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364</w:t>
            </w:r>
          </w:p>
        </w:tc>
        <w:tc>
          <w:tcPr>
            <w:tcW w:w="141" w:type="pct"/>
            <w:tcBorders>
              <w:top w:val="nil"/>
              <w:left w:val="nil"/>
              <w:bottom w:val="nil"/>
              <w:right w:val="nil"/>
            </w:tcBorders>
            <w:shd w:val="clear" w:color="auto" w:fill="auto"/>
            <w:vAlign w:val="bottom"/>
          </w:tcPr>
          <w:p w14:paraId="3C3B956B" w14:textId="3C53C7CF"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391</w:t>
            </w:r>
          </w:p>
        </w:tc>
        <w:tc>
          <w:tcPr>
            <w:tcW w:w="141" w:type="pct"/>
            <w:tcBorders>
              <w:top w:val="nil"/>
              <w:left w:val="nil"/>
              <w:bottom w:val="nil"/>
              <w:right w:val="nil"/>
            </w:tcBorders>
            <w:shd w:val="clear" w:color="auto" w:fill="auto"/>
            <w:vAlign w:val="bottom"/>
          </w:tcPr>
          <w:p w14:paraId="54E00BBA" w14:textId="75252949"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416</w:t>
            </w:r>
          </w:p>
        </w:tc>
        <w:tc>
          <w:tcPr>
            <w:tcW w:w="141" w:type="pct"/>
            <w:tcBorders>
              <w:top w:val="nil"/>
              <w:left w:val="nil"/>
              <w:bottom w:val="nil"/>
              <w:right w:val="nil"/>
            </w:tcBorders>
            <w:shd w:val="clear" w:color="auto" w:fill="auto"/>
            <w:vAlign w:val="bottom"/>
          </w:tcPr>
          <w:p w14:paraId="322EC0F4" w14:textId="2DADD499"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467</w:t>
            </w:r>
          </w:p>
        </w:tc>
        <w:tc>
          <w:tcPr>
            <w:tcW w:w="141" w:type="pct"/>
            <w:tcBorders>
              <w:top w:val="nil"/>
              <w:left w:val="nil"/>
              <w:bottom w:val="nil"/>
              <w:right w:val="nil"/>
            </w:tcBorders>
            <w:shd w:val="clear" w:color="auto" w:fill="auto"/>
            <w:vAlign w:val="bottom"/>
          </w:tcPr>
          <w:p w14:paraId="46AD1713" w14:textId="00C1CDD3"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484</w:t>
            </w:r>
          </w:p>
        </w:tc>
        <w:tc>
          <w:tcPr>
            <w:tcW w:w="100" w:type="pct"/>
            <w:tcBorders>
              <w:top w:val="nil"/>
              <w:left w:val="nil"/>
              <w:bottom w:val="nil"/>
              <w:right w:val="nil"/>
            </w:tcBorders>
          </w:tcPr>
          <w:p w14:paraId="795B03D9"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33AF94C4"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71EB03A2"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5FF7554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2E8FC00A" w14:textId="07F05655"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5833</w:t>
            </w:r>
          </w:p>
        </w:tc>
      </w:tr>
      <w:tr w:rsidR="00F4063A" w:rsidRPr="00F830FB" w14:paraId="1B7BC7A8" w14:textId="77777777" w:rsidTr="00F4063A">
        <w:tc>
          <w:tcPr>
            <w:tcW w:w="188" w:type="pct"/>
            <w:tcBorders>
              <w:top w:val="nil"/>
              <w:left w:val="nil"/>
              <w:bottom w:val="nil"/>
              <w:right w:val="nil"/>
            </w:tcBorders>
          </w:tcPr>
          <w:p w14:paraId="7FB32DED"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35</w:t>
            </w:r>
          </w:p>
        </w:tc>
        <w:tc>
          <w:tcPr>
            <w:tcW w:w="141" w:type="pct"/>
            <w:tcBorders>
              <w:top w:val="nil"/>
              <w:left w:val="nil"/>
              <w:bottom w:val="nil"/>
              <w:right w:val="nil"/>
            </w:tcBorders>
            <w:shd w:val="clear" w:color="auto" w:fill="auto"/>
            <w:vAlign w:val="bottom"/>
          </w:tcPr>
          <w:p w14:paraId="17F5EC5D" w14:textId="4870F45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nil"/>
              <w:right w:val="nil"/>
            </w:tcBorders>
            <w:shd w:val="clear" w:color="auto" w:fill="auto"/>
            <w:vAlign w:val="bottom"/>
          </w:tcPr>
          <w:p w14:paraId="50796AA6" w14:textId="3059B83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nil"/>
              <w:right w:val="nil"/>
            </w:tcBorders>
            <w:shd w:val="clear" w:color="auto" w:fill="auto"/>
            <w:vAlign w:val="bottom"/>
          </w:tcPr>
          <w:p w14:paraId="5CFD4B5A" w14:textId="7CFC17C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nil"/>
              <w:right w:val="nil"/>
            </w:tcBorders>
            <w:shd w:val="clear" w:color="auto" w:fill="auto"/>
            <w:vAlign w:val="bottom"/>
          </w:tcPr>
          <w:p w14:paraId="7C40AEDB" w14:textId="6E29F1C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nil"/>
              <w:right w:val="nil"/>
            </w:tcBorders>
            <w:shd w:val="clear" w:color="auto" w:fill="auto"/>
            <w:vAlign w:val="bottom"/>
          </w:tcPr>
          <w:p w14:paraId="58810EBA" w14:textId="5A2E600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20</w:t>
            </w:r>
          </w:p>
        </w:tc>
        <w:tc>
          <w:tcPr>
            <w:tcW w:w="141" w:type="pct"/>
            <w:tcBorders>
              <w:top w:val="nil"/>
              <w:left w:val="nil"/>
              <w:bottom w:val="nil"/>
              <w:right w:val="nil"/>
            </w:tcBorders>
            <w:shd w:val="clear" w:color="auto" w:fill="auto"/>
            <w:vAlign w:val="bottom"/>
          </w:tcPr>
          <w:p w14:paraId="6A1EE97B" w14:textId="4C3D7629"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23</w:t>
            </w:r>
          </w:p>
        </w:tc>
        <w:tc>
          <w:tcPr>
            <w:tcW w:w="141" w:type="pct"/>
            <w:tcBorders>
              <w:top w:val="nil"/>
              <w:left w:val="nil"/>
              <w:bottom w:val="nil"/>
              <w:right w:val="nil"/>
            </w:tcBorders>
            <w:shd w:val="clear" w:color="auto" w:fill="auto"/>
            <w:vAlign w:val="bottom"/>
          </w:tcPr>
          <w:p w14:paraId="3EF013D0" w14:textId="6CEAD7DC"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32</w:t>
            </w:r>
          </w:p>
        </w:tc>
        <w:tc>
          <w:tcPr>
            <w:tcW w:w="141" w:type="pct"/>
            <w:tcBorders>
              <w:top w:val="nil"/>
              <w:left w:val="nil"/>
              <w:bottom w:val="nil"/>
              <w:right w:val="nil"/>
            </w:tcBorders>
            <w:shd w:val="clear" w:color="auto" w:fill="auto"/>
            <w:vAlign w:val="bottom"/>
          </w:tcPr>
          <w:p w14:paraId="1B34DD45" w14:textId="08681261"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39</w:t>
            </w:r>
          </w:p>
        </w:tc>
        <w:tc>
          <w:tcPr>
            <w:tcW w:w="141" w:type="pct"/>
            <w:tcBorders>
              <w:top w:val="nil"/>
              <w:left w:val="nil"/>
              <w:bottom w:val="nil"/>
              <w:right w:val="nil"/>
            </w:tcBorders>
            <w:shd w:val="clear" w:color="auto" w:fill="auto"/>
            <w:vAlign w:val="bottom"/>
          </w:tcPr>
          <w:p w14:paraId="56195736" w14:textId="1B95C5AB"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44</w:t>
            </w:r>
          </w:p>
        </w:tc>
        <w:tc>
          <w:tcPr>
            <w:tcW w:w="141" w:type="pct"/>
            <w:tcBorders>
              <w:top w:val="nil"/>
              <w:left w:val="nil"/>
              <w:bottom w:val="nil"/>
              <w:right w:val="nil"/>
            </w:tcBorders>
            <w:shd w:val="clear" w:color="auto" w:fill="auto"/>
            <w:vAlign w:val="bottom"/>
          </w:tcPr>
          <w:p w14:paraId="2533A6D5" w14:textId="5BCCEDF6"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63</w:t>
            </w:r>
          </w:p>
        </w:tc>
        <w:tc>
          <w:tcPr>
            <w:tcW w:w="141" w:type="pct"/>
            <w:tcBorders>
              <w:top w:val="nil"/>
              <w:left w:val="nil"/>
              <w:bottom w:val="nil"/>
              <w:right w:val="nil"/>
            </w:tcBorders>
            <w:shd w:val="clear" w:color="auto" w:fill="auto"/>
            <w:vAlign w:val="bottom"/>
          </w:tcPr>
          <w:p w14:paraId="499408A7" w14:textId="5FD1E316"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78</w:t>
            </w:r>
          </w:p>
        </w:tc>
        <w:tc>
          <w:tcPr>
            <w:tcW w:w="141" w:type="pct"/>
            <w:tcBorders>
              <w:top w:val="nil"/>
              <w:left w:val="nil"/>
              <w:bottom w:val="nil"/>
              <w:right w:val="nil"/>
            </w:tcBorders>
            <w:shd w:val="clear" w:color="auto" w:fill="auto"/>
            <w:vAlign w:val="bottom"/>
          </w:tcPr>
          <w:p w14:paraId="4F1CCF40" w14:textId="1201B25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85</w:t>
            </w:r>
          </w:p>
        </w:tc>
        <w:tc>
          <w:tcPr>
            <w:tcW w:w="141" w:type="pct"/>
            <w:tcBorders>
              <w:top w:val="nil"/>
              <w:left w:val="nil"/>
              <w:bottom w:val="nil"/>
              <w:right w:val="nil"/>
            </w:tcBorders>
            <w:shd w:val="clear" w:color="auto" w:fill="auto"/>
            <w:vAlign w:val="bottom"/>
          </w:tcPr>
          <w:p w14:paraId="1F47A943" w14:textId="662363EF"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88</w:t>
            </w:r>
          </w:p>
        </w:tc>
        <w:tc>
          <w:tcPr>
            <w:tcW w:w="141" w:type="pct"/>
            <w:tcBorders>
              <w:top w:val="nil"/>
              <w:left w:val="nil"/>
              <w:bottom w:val="nil"/>
              <w:right w:val="nil"/>
            </w:tcBorders>
            <w:shd w:val="clear" w:color="auto" w:fill="auto"/>
            <w:vAlign w:val="bottom"/>
          </w:tcPr>
          <w:p w14:paraId="1B352F1B" w14:textId="76BDA7BB"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97</w:t>
            </w:r>
          </w:p>
        </w:tc>
        <w:tc>
          <w:tcPr>
            <w:tcW w:w="141" w:type="pct"/>
            <w:tcBorders>
              <w:top w:val="nil"/>
              <w:left w:val="nil"/>
              <w:bottom w:val="nil"/>
              <w:right w:val="nil"/>
            </w:tcBorders>
            <w:shd w:val="clear" w:color="auto" w:fill="auto"/>
            <w:vAlign w:val="bottom"/>
          </w:tcPr>
          <w:p w14:paraId="625CE863" w14:textId="64D89DF4"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124</w:t>
            </w:r>
          </w:p>
        </w:tc>
        <w:tc>
          <w:tcPr>
            <w:tcW w:w="141" w:type="pct"/>
            <w:tcBorders>
              <w:top w:val="nil"/>
              <w:left w:val="nil"/>
              <w:bottom w:val="nil"/>
              <w:right w:val="nil"/>
            </w:tcBorders>
            <w:shd w:val="clear" w:color="auto" w:fill="auto"/>
            <w:vAlign w:val="bottom"/>
          </w:tcPr>
          <w:p w14:paraId="214C060B" w14:textId="65307E91"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123</w:t>
            </w:r>
          </w:p>
        </w:tc>
        <w:tc>
          <w:tcPr>
            <w:tcW w:w="141" w:type="pct"/>
            <w:tcBorders>
              <w:top w:val="nil"/>
              <w:left w:val="nil"/>
              <w:bottom w:val="nil"/>
              <w:right w:val="nil"/>
            </w:tcBorders>
            <w:shd w:val="clear" w:color="auto" w:fill="auto"/>
            <w:vAlign w:val="bottom"/>
          </w:tcPr>
          <w:p w14:paraId="7C9092EF" w14:textId="10747438"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108</w:t>
            </w:r>
          </w:p>
        </w:tc>
        <w:tc>
          <w:tcPr>
            <w:tcW w:w="141" w:type="pct"/>
            <w:tcBorders>
              <w:top w:val="nil"/>
              <w:left w:val="nil"/>
              <w:bottom w:val="nil"/>
              <w:right w:val="nil"/>
            </w:tcBorders>
            <w:shd w:val="clear" w:color="auto" w:fill="auto"/>
            <w:vAlign w:val="bottom"/>
          </w:tcPr>
          <w:p w14:paraId="5161CAD7" w14:textId="5E9B3F44"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112</w:t>
            </w:r>
          </w:p>
        </w:tc>
        <w:tc>
          <w:tcPr>
            <w:tcW w:w="141" w:type="pct"/>
            <w:tcBorders>
              <w:top w:val="nil"/>
              <w:left w:val="nil"/>
              <w:bottom w:val="nil"/>
              <w:right w:val="nil"/>
            </w:tcBorders>
            <w:shd w:val="clear" w:color="auto" w:fill="auto"/>
            <w:vAlign w:val="bottom"/>
          </w:tcPr>
          <w:p w14:paraId="2FAF893A" w14:textId="04D6F304"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108</w:t>
            </w:r>
          </w:p>
        </w:tc>
        <w:tc>
          <w:tcPr>
            <w:tcW w:w="141" w:type="pct"/>
            <w:tcBorders>
              <w:top w:val="nil"/>
              <w:left w:val="nil"/>
              <w:bottom w:val="nil"/>
              <w:right w:val="nil"/>
            </w:tcBorders>
            <w:shd w:val="clear" w:color="auto" w:fill="auto"/>
            <w:vAlign w:val="bottom"/>
          </w:tcPr>
          <w:p w14:paraId="7C3037DB" w14:textId="453595B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139</w:t>
            </w:r>
          </w:p>
        </w:tc>
        <w:tc>
          <w:tcPr>
            <w:tcW w:w="141" w:type="pct"/>
            <w:tcBorders>
              <w:top w:val="nil"/>
              <w:left w:val="nil"/>
              <w:bottom w:val="nil"/>
              <w:right w:val="nil"/>
            </w:tcBorders>
            <w:shd w:val="clear" w:color="auto" w:fill="auto"/>
            <w:vAlign w:val="bottom"/>
          </w:tcPr>
          <w:p w14:paraId="60DBB8D4" w14:textId="33BDE008"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163</w:t>
            </w:r>
          </w:p>
        </w:tc>
        <w:tc>
          <w:tcPr>
            <w:tcW w:w="141" w:type="pct"/>
            <w:tcBorders>
              <w:top w:val="nil"/>
              <w:left w:val="nil"/>
              <w:bottom w:val="nil"/>
              <w:right w:val="nil"/>
            </w:tcBorders>
            <w:shd w:val="clear" w:color="auto" w:fill="auto"/>
            <w:vAlign w:val="bottom"/>
          </w:tcPr>
          <w:p w14:paraId="684E88FC" w14:textId="1648561F"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178</w:t>
            </w:r>
          </w:p>
        </w:tc>
        <w:tc>
          <w:tcPr>
            <w:tcW w:w="141" w:type="pct"/>
            <w:tcBorders>
              <w:top w:val="nil"/>
              <w:left w:val="nil"/>
              <w:bottom w:val="nil"/>
              <w:right w:val="nil"/>
            </w:tcBorders>
            <w:shd w:val="clear" w:color="auto" w:fill="auto"/>
            <w:vAlign w:val="bottom"/>
          </w:tcPr>
          <w:p w14:paraId="27EA21EF" w14:textId="701C941D"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181</w:t>
            </w:r>
          </w:p>
        </w:tc>
        <w:tc>
          <w:tcPr>
            <w:tcW w:w="141" w:type="pct"/>
            <w:tcBorders>
              <w:top w:val="nil"/>
              <w:left w:val="nil"/>
              <w:bottom w:val="nil"/>
              <w:right w:val="nil"/>
            </w:tcBorders>
            <w:shd w:val="clear" w:color="auto" w:fill="auto"/>
            <w:vAlign w:val="bottom"/>
          </w:tcPr>
          <w:p w14:paraId="5C24A75D" w14:textId="136B06DD"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242</w:t>
            </w:r>
          </w:p>
        </w:tc>
        <w:tc>
          <w:tcPr>
            <w:tcW w:w="141" w:type="pct"/>
            <w:tcBorders>
              <w:top w:val="nil"/>
              <w:left w:val="nil"/>
              <w:bottom w:val="nil"/>
              <w:right w:val="nil"/>
            </w:tcBorders>
            <w:shd w:val="clear" w:color="auto" w:fill="auto"/>
            <w:vAlign w:val="bottom"/>
          </w:tcPr>
          <w:p w14:paraId="053576F3" w14:textId="0BF2F62C"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332</w:t>
            </w:r>
          </w:p>
        </w:tc>
        <w:tc>
          <w:tcPr>
            <w:tcW w:w="141" w:type="pct"/>
            <w:tcBorders>
              <w:top w:val="nil"/>
              <w:left w:val="nil"/>
              <w:bottom w:val="nil"/>
              <w:right w:val="nil"/>
            </w:tcBorders>
            <w:shd w:val="clear" w:color="auto" w:fill="auto"/>
            <w:vAlign w:val="bottom"/>
          </w:tcPr>
          <w:p w14:paraId="6F210BC9" w14:textId="3AE35ACB"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348</w:t>
            </w:r>
          </w:p>
        </w:tc>
        <w:tc>
          <w:tcPr>
            <w:tcW w:w="141" w:type="pct"/>
            <w:tcBorders>
              <w:top w:val="nil"/>
              <w:left w:val="nil"/>
              <w:bottom w:val="nil"/>
              <w:right w:val="nil"/>
            </w:tcBorders>
            <w:shd w:val="clear" w:color="auto" w:fill="auto"/>
            <w:vAlign w:val="bottom"/>
          </w:tcPr>
          <w:p w14:paraId="61CE111C" w14:textId="3F1EE52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373</w:t>
            </w:r>
          </w:p>
        </w:tc>
        <w:tc>
          <w:tcPr>
            <w:tcW w:w="141" w:type="pct"/>
            <w:tcBorders>
              <w:top w:val="nil"/>
              <w:left w:val="nil"/>
              <w:bottom w:val="nil"/>
              <w:right w:val="nil"/>
            </w:tcBorders>
            <w:shd w:val="clear" w:color="auto" w:fill="auto"/>
            <w:vAlign w:val="bottom"/>
          </w:tcPr>
          <w:p w14:paraId="39733903" w14:textId="1F49E6FB"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395</w:t>
            </w:r>
          </w:p>
        </w:tc>
        <w:tc>
          <w:tcPr>
            <w:tcW w:w="141" w:type="pct"/>
            <w:tcBorders>
              <w:top w:val="nil"/>
              <w:left w:val="nil"/>
              <w:bottom w:val="nil"/>
              <w:right w:val="nil"/>
            </w:tcBorders>
            <w:shd w:val="clear" w:color="auto" w:fill="auto"/>
            <w:vAlign w:val="bottom"/>
          </w:tcPr>
          <w:p w14:paraId="145EF9C4" w14:textId="712EEE8B"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442</w:t>
            </w:r>
          </w:p>
        </w:tc>
        <w:tc>
          <w:tcPr>
            <w:tcW w:w="100" w:type="pct"/>
            <w:tcBorders>
              <w:top w:val="nil"/>
              <w:left w:val="nil"/>
              <w:bottom w:val="nil"/>
              <w:right w:val="nil"/>
            </w:tcBorders>
          </w:tcPr>
          <w:p w14:paraId="1AA0873B"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1B70B0A9"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4D360F26"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129" w:type="pct"/>
            <w:tcBorders>
              <w:top w:val="nil"/>
              <w:left w:val="nil"/>
              <w:bottom w:val="nil"/>
              <w:right w:val="single" w:sz="6" w:space="0" w:color="auto"/>
            </w:tcBorders>
            <w:shd w:val="clear" w:color="auto" w:fill="auto"/>
            <w:vAlign w:val="bottom"/>
          </w:tcPr>
          <w:p w14:paraId="2DEFF0C9"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68F50989" w14:textId="2A2CA032"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5599</w:t>
            </w:r>
          </w:p>
        </w:tc>
      </w:tr>
      <w:tr w:rsidR="00F4063A" w:rsidRPr="00F830FB" w14:paraId="10386C74" w14:textId="77777777" w:rsidTr="00F4063A">
        <w:tc>
          <w:tcPr>
            <w:tcW w:w="188" w:type="pct"/>
            <w:tcBorders>
              <w:top w:val="nil"/>
              <w:left w:val="nil"/>
              <w:bottom w:val="nil"/>
              <w:right w:val="nil"/>
            </w:tcBorders>
          </w:tcPr>
          <w:p w14:paraId="76A7274F"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36</w:t>
            </w:r>
          </w:p>
        </w:tc>
        <w:tc>
          <w:tcPr>
            <w:tcW w:w="141" w:type="pct"/>
            <w:tcBorders>
              <w:top w:val="nil"/>
              <w:left w:val="nil"/>
              <w:bottom w:val="nil"/>
              <w:right w:val="nil"/>
            </w:tcBorders>
            <w:shd w:val="clear" w:color="auto" w:fill="auto"/>
            <w:vAlign w:val="bottom"/>
          </w:tcPr>
          <w:p w14:paraId="059BF325" w14:textId="4027A21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nil"/>
              <w:right w:val="nil"/>
            </w:tcBorders>
            <w:shd w:val="clear" w:color="auto" w:fill="auto"/>
            <w:vAlign w:val="bottom"/>
          </w:tcPr>
          <w:p w14:paraId="4ACB8637" w14:textId="4B81741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nil"/>
              <w:right w:val="nil"/>
            </w:tcBorders>
            <w:shd w:val="clear" w:color="auto" w:fill="auto"/>
            <w:vAlign w:val="bottom"/>
          </w:tcPr>
          <w:p w14:paraId="7CE8D986" w14:textId="404F713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nil"/>
              <w:right w:val="nil"/>
            </w:tcBorders>
            <w:shd w:val="clear" w:color="auto" w:fill="auto"/>
            <w:vAlign w:val="bottom"/>
          </w:tcPr>
          <w:p w14:paraId="0BEDD8F4" w14:textId="42B83E07"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nil"/>
              <w:right w:val="nil"/>
            </w:tcBorders>
            <w:shd w:val="clear" w:color="auto" w:fill="auto"/>
            <w:vAlign w:val="bottom"/>
          </w:tcPr>
          <w:p w14:paraId="3EA8B214" w14:textId="3130589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nil"/>
              <w:right w:val="nil"/>
            </w:tcBorders>
            <w:shd w:val="clear" w:color="auto" w:fill="auto"/>
            <w:vAlign w:val="bottom"/>
          </w:tcPr>
          <w:p w14:paraId="68C46DE6" w14:textId="02DABE12"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21</w:t>
            </w:r>
          </w:p>
        </w:tc>
        <w:tc>
          <w:tcPr>
            <w:tcW w:w="141" w:type="pct"/>
            <w:tcBorders>
              <w:top w:val="nil"/>
              <w:left w:val="nil"/>
              <w:bottom w:val="nil"/>
              <w:right w:val="nil"/>
            </w:tcBorders>
            <w:shd w:val="clear" w:color="auto" w:fill="auto"/>
            <w:vAlign w:val="bottom"/>
          </w:tcPr>
          <w:p w14:paraId="52B8F914" w14:textId="1CBA61F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24</w:t>
            </w:r>
          </w:p>
        </w:tc>
        <w:tc>
          <w:tcPr>
            <w:tcW w:w="141" w:type="pct"/>
            <w:tcBorders>
              <w:top w:val="nil"/>
              <w:left w:val="nil"/>
              <w:bottom w:val="nil"/>
              <w:right w:val="nil"/>
            </w:tcBorders>
            <w:shd w:val="clear" w:color="auto" w:fill="auto"/>
            <w:vAlign w:val="bottom"/>
          </w:tcPr>
          <w:p w14:paraId="1D385D05" w14:textId="354D7875"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33</w:t>
            </w:r>
          </w:p>
        </w:tc>
        <w:tc>
          <w:tcPr>
            <w:tcW w:w="141" w:type="pct"/>
            <w:tcBorders>
              <w:top w:val="nil"/>
              <w:left w:val="nil"/>
              <w:bottom w:val="nil"/>
              <w:right w:val="nil"/>
            </w:tcBorders>
            <w:shd w:val="clear" w:color="auto" w:fill="auto"/>
            <w:vAlign w:val="bottom"/>
          </w:tcPr>
          <w:p w14:paraId="165539BF" w14:textId="7812F9A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40</w:t>
            </w:r>
          </w:p>
        </w:tc>
        <w:tc>
          <w:tcPr>
            <w:tcW w:w="141" w:type="pct"/>
            <w:tcBorders>
              <w:top w:val="nil"/>
              <w:left w:val="nil"/>
              <w:bottom w:val="nil"/>
              <w:right w:val="nil"/>
            </w:tcBorders>
            <w:shd w:val="clear" w:color="auto" w:fill="auto"/>
            <w:vAlign w:val="bottom"/>
          </w:tcPr>
          <w:p w14:paraId="5E951F50" w14:textId="0B00F4CF"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46</w:t>
            </w:r>
          </w:p>
        </w:tc>
        <w:tc>
          <w:tcPr>
            <w:tcW w:w="141" w:type="pct"/>
            <w:tcBorders>
              <w:top w:val="nil"/>
              <w:left w:val="nil"/>
              <w:bottom w:val="nil"/>
              <w:right w:val="nil"/>
            </w:tcBorders>
            <w:shd w:val="clear" w:color="auto" w:fill="auto"/>
            <w:vAlign w:val="bottom"/>
          </w:tcPr>
          <w:p w14:paraId="19DF327B" w14:textId="3EBC5B0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66</w:t>
            </w:r>
          </w:p>
        </w:tc>
        <w:tc>
          <w:tcPr>
            <w:tcW w:w="141" w:type="pct"/>
            <w:tcBorders>
              <w:top w:val="nil"/>
              <w:left w:val="nil"/>
              <w:bottom w:val="nil"/>
              <w:right w:val="nil"/>
            </w:tcBorders>
            <w:shd w:val="clear" w:color="auto" w:fill="auto"/>
            <w:vAlign w:val="bottom"/>
          </w:tcPr>
          <w:p w14:paraId="22A05A2C" w14:textId="5AFCED5D"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82</w:t>
            </w:r>
          </w:p>
        </w:tc>
        <w:tc>
          <w:tcPr>
            <w:tcW w:w="141" w:type="pct"/>
            <w:tcBorders>
              <w:top w:val="nil"/>
              <w:left w:val="nil"/>
              <w:bottom w:val="nil"/>
              <w:right w:val="nil"/>
            </w:tcBorders>
            <w:shd w:val="clear" w:color="auto" w:fill="auto"/>
            <w:vAlign w:val="bottom"/>
          </w:tcPr>
          <w:p w14:paraId="7CB01A61" w14:textId="342AF01D"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88</w:t>
            </w:r>
          </w:p>
        </w:tc>
        <w:tc>
          <w:tcPr>
            <w:tcW w:w="141" w:type="pct"/>
            <w:tcBorders>
              <w:top w:val="nil"/>
              <w:left w:val="nil"/>
              <w:bottom w:val="nil"/>
              <w:right w:val="nil"/>
            </w:tcBorders>
            <w:shd w:val="clear" w:color="auto" w:fill="auto"/>
            <w:vAlign w:val="bottom"/>
          </w:tcPr>
          <w:p w14:paraId="0AF0F79F" w14:textId="6E4A4E84"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92</w:t>
            </w:r>
          </w:p>
        </w:tc>
        <w:tc>
          <w:tcPr>
            <w:tcW w:w="141" w:type="pct"/>
            <w:tcBorders>
              <w:top w:val="nil"/>
              <w:left w:val="nil"/>
              <w:bottom w:val="nil"/>
              <w:right w:val="nil"/>
            </w:tcBorders>
            <w:shd w:val="clear" w:color="auto" w:fill="auto"/>
            <w:vAlign w:val="bottom"/>
          </w:tcPr>
          <w:p w14:paraId="59585651" w14:textId="33B310D2"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98</w:t>
            </w:r>
          </w:p>
        </w:tc>
        <w:tc>
          <w:tcPr>
            <w:tcW w:w="141" w:type="pct"/>
            <w:tcBorders>
              <w:top w:val="nil"/>
              <w:left w:val="nil"/>
              <w:bottom w:val="nil"/>
              <w:right w:val="nil"/>
            </w:tcBorders>
            <w:shd w:val="clear" w:color="auto" w:fill="auto"/>
            <w:vAlign w:val="bottom"/>
          </w:tcPr>
          <w:p w14:paraId="2CF44D2D" w14:textId="77990D4C"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121</w:t>
            </w:r>
          </w:p>
        </w:tc>
        <w:tc>
          <w:tcPr>
            <w:tcW w:w="141" w:type="pct"/>
            <w:tcBorders>
              <w:top w:val="nil"/>
              <w:left w:val="nil"/>
              <w:bottom w:val="nil"/>
              <w:right w:val="nil"/>
            </w:tcBorders>
            <w:shd w:val="clear" w:color="auto" w:fill="auto"/>
            <w:vAlign w:val="bottom"/>
          </w:tcPr>
          <w:p w14:paraId="33417278" w14:textId="45A0019D"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120</w:t>
            </w:r>
          </w:p>
        </w:tc>
        <w:tc>
          <w:tcPr>
            <w:tcW w:w="141" w:type="pct"/>
            <w:tcBorders>
              <w:top w:val="nil"/>
              <w:left w:val="nil"/>
              <w:bottom w:val="nil"/>
              <w:right w:val="nil"/>
            </w:tcBorders>
            <w:shd w:val="clear" w:color="auto" w:fill="auto"/>
            <w:vAlign w:val="bottom"/>
          </w:tcPr>
          <w:p w14:paraId="70D12521" w14:textId="266AB82E"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105</w:t>
            </w:r>
          </w:p>
        </w:tc>
        <w:tc>
          <w:tcPr>
            <w:tcW w:w="141" w:type="pct"/>
            <w:tcBorders>
              <w:top w:val="nil"/>
              <w:left w:val="nil"/>
              <w:bottom w:val="nil"/>
              <w:right w:val="nil"/>
            </w:tcBorders>
            <w:shd w:val="clear" w:color="auto" w:fill="auto"/>
            <w:vAlign w:val="bottom"/>
          </w:tcPr>
          <w:p w14:paraId="228A6464" w14:textId="672895E0"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108</w:t>
            </w:r>
          </w:p>
        </w:tc>
        <w:tc>
          <w:tcPr>
            <w:tcW w:w="141" w:type="pct"/>
            <w:tcBorders>
              <w:top w:val="nil"/>
              <w:left w:val="nil"/>
              <w:bottom w:val="nil"/>
              <w:right w:val="nil"/>
            </w:tcBorders>
            <w:shd w:val="clear" w:color="auto" w:fill="auto"/>
            <w:vAlign w:val="bottom"/>
          </w:tcPr>
          <w:p w14:paraId="323A1E7B" w14:textId="1B0A9210"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104</w:t>
            </w:r>
          </w:p>
        </w:tc>
        <w:tc>
          <w:tcPr>
            <w:tcW w:w="141" w:type="pct"/>
            <w:tcBorders>
              <w:top w:val="nil"/>
              <w:left w:val="nil"/>
              <w:bottom w:val="nil"/>
              <w:right w:val="nil"/>
            </w:tcBorders>
            <w:shd w:val="clear" w:color="auto" w:fill="auto"/>
            <w:vAlign w:val="bottom"/>
          </w:tcPr>
          <w:p w14:paraId="7AB01977" w14:textId="7F922190"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135</w:t>
            </w:r>
          </w:p>
        </w:tc>
        <w:tc>
          <w:tcPr>
            <w:tcW w:w="141" w:type="pct"/>
            <w:tcBorders>
              <w:top w:val="nil"/>
              <w:left w:val="nil"/>
              <w:bottom w:val="nil"/>
              <w:right w:val="nil"/>
            </w:tcBorders>
            <w:shd w:val="clear" w:color="auto" w:fill="auto"/>
            <w:vAlign w:val="bottom"/>
          </w:tcPr>
          <w:p w14:paraId="50CDE0B1" w14:textId="241E8288"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158</w:t>
            </w:r>
          </w:p>
        </w:tc>
        <w:tc>
          <w:tcPr>
            <w:tcW w:w="141" w:type="pct"/>
            <w:tcBorders>
              <w:top w:val="nil"/>
              <w:left w:val="nil"/>
              <w:bottom w:val="nil"/>
              <w:right w:val="nil"/>
            </w:tcBorders>
            <w:shd w:val="clear" w:color="auto" w:fill="auto"/>
            <w:vAlign w:val="bottom"/>
          </w:tcPr>
          <w:p w14:paraId="0531C6E3" w14:textId="41826091"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172</w:t>
            </w:r>
          </w:p>
        </w:tc>
        <w:tc>
          <w:tcPr>
            <w:tcW w:w="141" w:type="pct"/>
            <w:tcBorders>
              <w:top w:val="nil"/>
              <w:left w:val="nil"/>
              <w:bottom w:val="nil"/>
              <w:right w:val="nil"/>
            </w:tcBorders>
            <w:shd w:val="clear" w:color="auto" w:fill="auto"/>
            <w:vAlign w:val="bottom"/>
          </w:tcPr>
          <w:p w14:paraId="61A7AB1C" w14:textId="41BF6741"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174</w:t>
            </w:r>
          </w:p>
        </w:tc>
        <w:tc>
          <w:tcPr>
            <w:tcW w:w="141" w:type="pct"/>
            <w:tcBorders>
              <w:top w:val="nil"/>
              <w:left w:val="nil"/>
              <w:bottom w:val="nil"/>
              <w:right w:val="nil"/>
            </w:tcBorders>
            <w:shd w:val="clear" w:color="auto" w:fill="auto"/>
            <w:vAlign w:val="bottom"/>
          </w:tcPr>
          <w:p w14:paraId="785C374C" w14:textId="66E8F483"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232</w:t>
            </w:r>
          </w:p>
        </w:tc>
        <w:tc>
          <w:tcPr>
            <w:tcW w:w="141" w:type="pct"/>
            <w:tcBorders>
              <w:top w:val="nil"/>
              <w:left w:val="nil"/>
              <w:bottom w:val="nil"/>
              <w:right w:val="nil"/>
            </w:tcBorders>
            <w:shd w:val="clear" w:color="auto" w:fill="auto"/>
            <w:vAlign w:val="bottom"/>
          </w:tcPr>
          <w:p w14:paraId="04C24E8E" w14:textId="255B1FB9"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318</w:t>
            </w:r>
          </w:p>
        </w:tc>
        <w:tc>
          <w:tcPr>
            <w:tcW w:w="141" w:type="pct"/>
            <w:tcBorders>
              <w:top w:val="nil"/>
              <w:left w:val="nil"/>
              <w:bottom w:val="nil"/>
              <w:right w:val="nil"/>
            </w:tcBorders>
            <w:shd w:val="clear" w:color="auto" w:fill="auto"/>
            <w:vAlign w:val="bottom"/>
          </w:tcPr>
          <w:p w14:paraId="2D4C5F73" w14:textId="33DCC4A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332</w:t>
            </w:r>
          </w:p>
        </w:tc>
        <w:tc>
          <w:tcPr>
            <w:tcW w:w="141" w:type="pct"/>
            <w:tcBorders>
              <w:top w:val="nil"/>
              <w:left w:val="nil"/>
              <w:bottom w:val="nil"/>
              <w:right w:val="nil"/>
            </w:tcBorders>
            <w:shd w:val="clear" w:color="auto" w:fill="auto"/>
            <w:vAlign w:val="bottom"/>
          </w:tcPr>
          <w:p w14:paraId="65F68BA7" w14:textId="37717A09"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355</w:t>
            </w:r>
          </w:p>
        </w:tc>
        <w:tc>
          <w:tcPr>
            <w:tcW w:w="141" w:type="pct"/>
            <w:tcBorders>
              <w:top w:val="nil"/>
              <w:left w:val="nil"/>
              <w:bottom w:val="nil"/>
              <w:right w:val="nil"/>
            </w:tcBorders>
            <w:shd w:val="clear" w:color="auto" w:fill="auto"/>
            <w:vAlign w:val="bottom"/>
          </w:tcPr>
          <w:p w14:paraId="3E586D72" w14:textId="176381A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374</w:t>
            </w:r>
          </w:p>
        </w:tc>
        <w:tc>
          <w:tcPr>
            <w:tcW w:w="100" w:type="pct"/>
            <w:tcBorders>
              <w:top w:val="nil"/>
              <w:left w:val="nil"/>
              <w:bottom w:val="nil"/>
              <w:right w:val="nil"/>
            </w:tcBorders>
          </w:tcPr>
          <w:p w14:paraId="616B77D8"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nil"/>
              <w:right w:val="nil"/>
            </w:tcBorders>
          </w:tcPr>
          <w:p w14:paraId="72E1739B"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nil"/>
              <w:right w:val="nil"/>
            </w:tcBorders>
            <w:shd w:val="clear" w:color="auto" w:fill="auto"/>
            <w:vAlign w:val="bottom"/>
          </w:tcPr>
          <w:p w14:paraId="4E1CEEDA" w14:textId="1A4FF8BD"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36</w:t>
            </w:r>
          </w:p>
        </w:tc>
        <w:tc>
          <w:tcPr>
            <w:tcW w:w="129" w:type="pct"/>
            <w:tcBorders>
              <w:top w:val="nil"/>
              <w:left w:val="nil"/>
              <w:bottom w:val="nil"/>
              <w:right w:val="single" w:sz="6" w:space="0" w:color="auto"/>
            </w:tcBorders>
            <w:shd w:val="clear" w:color="auto" w:fill="auto"/>
            <w:vAlign w:val="bottom"/>
          </w:tcPr>
          <w:p w14:paraId="4704109D" w14:textId="77777777" w:rsidR="00F830FB" w:rsidRPr="00F830FB" w:rsidRDefault="00F830FB" w:rsidP="00F830FB">
            <w:pPr>
              <w:keepLines/>
              <w:tabs>
                <w:tab w:val="left" w:pos="720"/>
              </w:tabs>
              <w:suppressAutoHyphens w:val="0"/>
              <w:spacing w:line="264" w:lineRule="auto"/>
              <w:rPr>
                <w:snapToGrid w:val="0"/>
                <w:kern w:val="0"/>
                <w:sz w:val="12"/>
                <w:szCs w:val="16"/>
              </w:rPr>
            </w:pPr>
          </w:p>
        </w:tc>
        <w:tc>
          <w:tcPr>
            <w:tcW w:w="253" w:type="pct"/>
            <w:tcBorders>
              <w:top w:val="nil"/>
              <w:left w:val="single" w:sz="6" w:space="0" w:color="auto"/>
              <w:bottom w:val="nil"/>
              <w:right w:val="single" w:sz="6" w:space="0" w:color="auto"/>
            </w:tcBorders>
            <w:shd w:val="clear" w:color="auto" w:fill="auto"/>
            <w:vAlign w:val="bottom"/>
          </w:tcPr>
          <w:p w14:paraId="01FE34B3" w14:textId="0D0A632D"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5355</w:t>
            </w:r>
          </w:p>
        </w:tc>
      </w:tr>
      <w:tr w:rsidR="00F830FB" w:rsidRPr="00F830FB" w14:paraId="5D557DBE" w14:textId="77777777" w:rsidTr="00F4063A">
        <w:tc>
          <w:tcPr>
            <w:tcW w:w="188" w:type="pct"/>
            <w:tcBorders>
              <w:top w:val="nil"/>
              <w:left w:val="nil"/>
              <w:bottom w:val="single" w:sz="6" w:space="0" w:color="auto"/>
              <w:right w:val="nil"/>
            </w:tcBorders>
          </w:tcPr>
          <w:p w14:paraId="5FA5652C" w14:textId="77777777" w:rsidR="00F830FB" w:rsidRPr="00F830FB" w:rsidRDefault="00F830FB" w:rsidP="00F830FB">
            <w:pPr>
              <w:keepLines/>
              <w:tabs>
                <w:tab w:val="left" w:pos="720"/>
              </w:tabs>
              <w:suppressAutoHyphens w:val="0"/>
              <w:spacing w:line="264" w:lineRule="auto"/>
              <w:rPr>
                <w:b/>
                <w:snapToGrid w:val="0"/>
                <w:kern w:val="0"/>
                <w:sz w:val="12"/>
                <w:szCs w:val="16"/>
              </w:rPr>
            </w:pPr>
            <w:r w:rsidRPr="00F830FB">
              <w:rPr>
                <w:b/>
                <w:snapToGrid w:val="0"/>
                <w:kern w:val="0"/>
                <w:sz w:val="12"/>
                <w:szCs w:val="16"/>
              </w:rPr>
              <w:t>37</w:t>
            </w:r>
          </w:p>
        </w:tc>
        <w:tc>
          <w:tcPr>
            <w:tcW w:w="141" w:type="pct"/>
            <w:tcBorders>
              <w:top w:val="nil"/>
              <w:left w:val="nil"/>
              <w:bottom w:val="single" w:sz="6" w:space="0" w:color="auto"/>
              <w:right w:val="nil"/>
            </w:tcBorders>
            <w:shd w:val="clear" w:color="auto" w:fill="auto"/>
            <w:vAlign w:val="bottom"/>
          </w:tcPr>
          <w:p w14:paraId="67274151" w14:textId="26C3DF6B"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single" w:sz="6" w:space="0" w:color="auto"/>
              <w:right w:val="nil"/>
            </w:tcBorders>
            <w:shd w:val="clear" w:color="auto" w:fill="auto"/>
            <w:vAlign w:val="bottom"/>
          </w:tcPr>
          <w:p w14:paraId="6801B5B0" w14:textId="435ECCAF"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single" w:sz="6" w:space="0" w:color="auto"/>
              <w:right w:val="nil"/>
            </w:tcBorders>
            <w:shd w:val="clear" w:color="auto" w:fill="auto"/>
            <w:vAlign w:val="bottom"/>
          </w:tcPr>
          <w:p w14:paraId="24A4050B" w14:textId="26DF33FC"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single" w:sz="6" w:space="0" w:color="auto"/>
              <w:right w:val="nil"/>
            </w:tcBorders>
            <w:shd w:val="clear" w:color="auto" w:fill="auto"/>
            <w:vAlign w:val="bottom"/>
          </w:tcPr>
          <w:p w14:paraId="4362443F" w14:textId="5BDA1F4A"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single" w:sz="6" w:space="0" w:color="auto"/>
              <w:right w:val="nil"/>
            </w:tcBorders>
            <w:shd w:val="clear" w:color="auto" w:fill="auto"/>
            <w:vAlign w:val="bottom"/>
          </w:tcPr>
          <w:p w14:paraId="2BE10924" w14:textId="59EF446E"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0</w:t>
            </w:r>
          </w:p>
        </w:tc>
        <w:tc>
          <w:tcPr>
            <w:tcW w:w="141" w:type="pct"/>
            <w:tcBorders>
              <w:top w:val="nil"/>
              <w:left w:val="nil"/>
              <w:bottom w:val="single" w:sz="6" w:space="0" w:color="auto"/>
              <w:right w:val="nil"/>
            </w:tcBorders>
            <w:shd w:val="clear" w:color="auto" w:fill="auto"/>
            <w:vAlign w:val="bottom"/>
          </w:tcPr>
          <w:p w14:paraId="73288543" w14:textId="11F945DF"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0</w:t>
            </w:r>
          </w:p>
        </w:tc>
        <w:tc>
          <w:tcPr>
            <w:tcW w:w="141" w:type="pct"/>
            <w:tcBorders>
              <w:top w:val="nil"/>
              <w:left w:val="nil"/>
              <w:bottom w:val="single" w:sz="6" w:space="0" w:color="auto"/>
              <w:right w:val="nil"/>
            </w:tcBorders>
            <w:shd w:val="clear" w:color="auto" w:fill="auto"/>
            <w:vAlign w:val="bottom"/>
          </w:tcPr>
          <w:p w14:paraId="748D5DB6" w14:textId="22FA2E4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22</w:t>
            </w:r>
          </w:p>
        </w:tc>
        <w:tc>
          <w:tcPr>
            <w:tcW w:w="141" w:type="pct"/>
            <w:tcBorders>
              <w:top w:val="nil"/>
              <w:left w:val="nil"/>
              <w:bottom w:val="single" w:sz="6" w:space="0" w:color="auto"/>
              <w:right w:val="nil"/>
            </w:tcBorders>
            <w:shd w:val="clear" w:color="auto" w:fill="auto"/>
            <w:vAlign w:val="bottom"/>
          </w:tcPr>
          <w:p w14:paraId="6E51116A" w14:textId="72CEA226"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25</w:t>
            </w:r>
          </w:p>
        </w:tc>
        <w:tc>
          <w:tcPr>
            <w:tcW w:w="141" w:type="pct"/>
            <w:tcBorders>
              <w:top w:val="nil"/>
              <w:left w:val="nil"/>
              <w:bottom w:val="single" w:sz="6" w:space="0" w:color="auto"/>
              <w:right w:val="nil"/>
            </w:tcBorders>
            <w:shd w:val="clear" w:color="auto" w:fill="auto"/>
            <w:vAlign w:val="bottom"/>
          </w:tcPr>
          <w:p w14:paraId="37160AEA" w14:textId="7C2F80C4"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35</w:t>
            </w:r>
          </w:p>
        </w:tc>
        <w:tc>
          <w:tcPr>
            <w:tcW w:w="141" w:type="pct"/>
            <w:tcBorders>
              <w:top w:val="nil"/>
              <w:left w:val="nil"/>
              <w:bottom w:val="single" w:sz="6" w:space="0" w:color="auto"/>
              <w:right w:val="nil"/>
            </w:tcBorders>
            <w:shd w:val="clear" w:color="auto" w:fill="auto"/>
            <w:vAlign w:val="bottom"/>
          </w:tcPr>
          <w:p w14:paraId="63AD9324" w14:textId="456BCDDF"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42</w:t>
            </w:r>
          </w:p>
        </w:tc>
        <w:tc>
          <w:tcPr>
            <w:tcW w:w="141" w:type="pct"/>
            <w:tcBorders>
              <w:top w:val="nil"/>
              <w:left w:val="nil"/>
              <w:bottom w:val="single" w:sz="6" w:space="0" w:color="auto"/>
              <w:right w:val="nil"/>
            </w:tcBorders>
            <w:shd w:val="clear" w:color="auto" w:fill="auto"/>
            <w:vAlign w:val="bottom"/>
          </w:tcPr>
          <w:p w14:paraId="14F2A7A5" w14:textId="53C5C8C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48</w:t>
            </w:r>
          </w:p>
        </w:tc>
        <w:tc>
          <w:tcPr>
            <w:tcW w:w="141" w:type="pct"/>
            <w:tcBorders>
              <w:top w:val="nil"/>
              <w:left w:val="nil"/>
              <w:bottom w:val="single" w:sz="6" w:space="0" w:color="auto"/>
              <w:right w:val="nil"/>
            </w:tcBorders>
            <w:shd w:val="clear" w:color="auto" w:fill="auto"/>
            <w:vAlign w:val="bottom"/>
          </w:tcPr>
          <w:p w14:paraId="3C161712" w14:textId="65B4D2FC"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69</w:t>
            </w:r>
          </w:p>
        </w:tc>
        <w:tc>
          <w:tcPr>
            <w:tcW w:w="141" w:type="pct"/>
            <w:tcBorders>
              <w:top w:val="nil"/>
              <w:left w:val="nil"/>
              <w:bottom w:val="single" w:sz="6" w:space="0" w:color="auto"/>
              <w:right w:val="nil"/>
            </w:tcBorders>
            <w:shd w:val="clear" w:color="auto" w:fill="auto"/>
            <w:vAlign w:val="bottom"/>
          </w:tcPr>
          <w:p w14:paraId="367FD4DF" w14:textId="650EF313"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85</w:t>
            </w:r>
          </w:p>
        </w:tc>
        <w:tc>
          <w:tcPr>
            <w:tcW w:w="141" w:type="pct"/>
            <w:tcBorders>
              <w:top w:val="nil"/>
              <w:left w:val="nil"/>
              <w:bottom w:val="single" w:sz="6" w:space="0" w:color="auto"/>
              <w:right w:val="nil"/>
            </w:tcBorders>
            <w:shd w:val="clear" w:color="auto" w:fill="auto"/>
            <w:vAlign w:val="bottom"/>
          </w:tcPr>
          <w:p w14:paraId="611645DA" w14:textId="098FFE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92</w:t>
            </w:r>
          </w:p>
        </w:tc>
        <w:tc>
          <w:tcPr>
            <w:tcW w:w="141" w:type="pct"/>
            <w:tcBorders>
              <w:top w:val="nil"/>
              <w:left w:val="nil"/>
              <w:bottom w:val="single" w:sz="6" w:space="0" w:color="auto"/>
              <w:right w:val="nil"/>
            </w:tcBorders>
            <w:shd w:val="clear" w:color="auto" w:fill="auto"/>
            <w:vAlign w:val="bottom"/>
          </w:tcPr>
          <w:p w14:paraId="2E82AA0B" w14:textId="7421D78B"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93</w:t>
            </w:r>
          </w:p>
        </w:tc>
        <w:tc>
          <w:tcPr>
            <w:tcW w:w="141" w:type="pct"/>
            <w:tcBorders>
              <w:top w:val="nil"/>
              <w:left w:val="nil"/>
              <w:bottom w:val="single" w:sz="6" w:space="0" w:color="auto"/>
              <w:right w:val="nil"/>
            </w:tcBorders>
            <w:shd w:val="clear" w:color="auto" w:fill="auto"/>
            <w:vAlign w:val="bottom"/>
          </w:tcPr>
          <w:p w14:paraId="65C22669" w14:textId="5156F82A"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96</w:t>
            </w:r>
          </w:p>
        </w:tc>
        <w:tc>
          <w:tcPr>
            <w:tcW w:w="141" w:type="pct"/>
            <w:tcBorders>
              <w:top w:val="nil"/>
              <w:left w:val="nil"/>
              <w:bottom w:val="single" w:sz="6" w:space="0" w:color="auto"/>
              <w:right w:val="nil"/>
            </w:tcBorders>
            <w:shd w:val="clear" w:color="auto" w:fill="auto"/>
            <w:vAlign w:val="bottom"/>
          </w:tcPr>
          <w:p w14:paraId="64486FBF" w14:textId="107B491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118</w:t>
            </w:r>
          </w:p>
        </w:tc>
        <w:tc>
          <w:tcPr>
            <w:tcW w:w="141" w:type="pct"/>
            <w:tcBorders>
              <w:top w:val="nil"/>
              <w:left w:val="nil"/>
              <w:bottom w:val="single" w:sz="6" w:space="0" w:color="auto"/>
              <w:right w:val="nil"/>
            </w:tcBorders>
            <w:shd w:val="clear" w:color="auto" w:fill="auto"/>
            <w:vAlign w:val="bottom"/>
          </w:tcPr>
          <w:p w14:paraId="49F3D7EA" w14:textId="64AFA50F"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117</w:t>
            </w:r>
          </w:p>
        </w:tc>
        <w:tc>
          <w:tcPr>
            <w:tcW w:w="141" w:type="pct"/>
            <w:tcBorders>
              <w:top w:val="nil"/>
              <w:left w:val="nil"/>
              <w:bottom w:val="single" w:sz="6" w:space="0" w:color="auto"/>
              <w:right w:val="nil"/>
            </w:tcBorders>
            <w:shd w:val="clear" w:color="auto" w:fill="auto"/>
            <w:vAlign w:val="bottom"/>
          </w:tcPr>
          <w:p w14:paraId="2AAF0A92" w14:textId="415C2902"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102</w:t>
            </w:r>
          </w:p>
        </w:tc>
        <w:tc>
          <w:tcPr>
            <w:tcW w:w="141" w:type="pct"/>
            <w:tcBorders>
              <w:top w:val="nil"/>
              <w:left w:val="nil"/>
              <w:bottom w:val="single" w:sz="6" w:space="0" w:color="auto"/>
              <w:right w:val="nil"/>
            </w:tcBorders>
            <w:shd w:val="clear" w:color="auto" w:fill="auto"/>
            <w:vAlign w:val="bottom"/>
          </w:tcPr>
          <w:p w14:paraId="18353F5C" w14:textId="079E1589"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105</w:t>
            </w:r>
          </w:p>
        </w:tc>
        <w:tc>
          <w:tcPr>
            <w:tcW w:w="141" w:type="pct"/>
            <w:tcBorders>
              <w:top w:val="nil"/>
              <w:left w:val="nil"/>
              <w:bottom w:val="single" w:sz="6" w:space="0" w:color="auto"/>
              <w:right w:val="nil"/>
            </w:tcBorders>
            <w:shd w:val="clear" w:color="auto" w:fill="auto"/>
            <w:vAlign w:val="bottom"/>
          </w:tcPr>
          <w:p w14:paraId="4DCC685D" w14:textId="56ACDA25"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101</w:t>
            </w:r>
          </w:p>
        </w:tc>
        <w:tc>
          <w:tcPr>
            <w:tcW w:w="141" w:type="pct"/>
            <w:tcBorders>
              <w:top w:val="nil"/>
              <w:left w:val="nil"/>
              <w:bottom w:val="single" w:sz="6" w:space="0" w:color="auto"/>
              <w:right w:val="nil"/>
            </w:tcBorders>
            <w:shd w:val="clear" w:color="auto" w:fill="auto"/>
            <w:vAlign w:val="bottom"/>
          </w:tcPr>
          <w:p w14:paraId="35CC9D9D" w14:textId="4039B22E"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130</w:t>
            </w:r>
          </w:p>
        </w:tc>
        <w:tc>
          <w:tcPr>
            <w:tcW w:w="141" w:type="pct"/>
            <w:tcBorders>
              <w:top w:val="nil"/>
              <w:left w:val="nil"/>
              <w:bottom w:val="single" w:sz="6" w:space="0" w:color="auto"/>
              <w:right w:val="nil"/>
            </w:tcBorders>
            <w:shd w:val="clear" w:color="auto" w:fill="auto"/>
            <w:vAlign w:val="bottom"/>
          </w:tcPr>
          <w:p w14:paraId="05C7641C" w14:textId="00756868"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152</w:t>
            </w:r>
          </w:p>
        </w:tc>
        <w:tc>
          <w:tcPr>
            <w:tcW w:w="141" w:type="pct"/>
            <w:tcBorders>
              <w:top w:val="nil"/>
              <w:left w:val="nil"/>
              <w:bottom w:val="single" w:sz="6" w:space="0" w:color="auto"/>
              <w:right w:val="nil"/>
            </w:tcBorders>
            <w:shd w:val="clear" w:color="auto" w:fill="auto"/>
            <w:vAlign w:val="bottom"/>
          </w:tcPr>
          <w:p w14:paraId="4D583201" w14:textId="3332FB2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166</w:t>
            </w:r>
          </w:p>
        </w:tc>
        <w:tc>
          <w:tcPr>
            <w:tcW w:w="141" w:type="pct"/>
            <w:tcBorders>
              <w:top w:val="nil"/>
              <w:left w:val="nil"/>
              <w:bottom w:val="single" w:sz="6" w:space="0" w:color="auto"/>
              <w:right w:val="nil"/>
            </w:tcBorders>
            <w:shd w:val="clear" w:color="auto" w:fill="auto"/>
            <w:vAlign w:val="bottom"/>
          </w:tcPr>
          <w:p w14:paraId="4B83342B" w14:textId="45D9E8CD"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167</w:t>
            </w:r>
          </w:p>
        </w:tc>
        <w:tc>
          <w:tcPr>
            <w:tcW w:w="141" w:type="pct"/>
            <w:tcBorders>
              <w:top w:val="nil"/>
              <w:left w:val="nil"/>
              <w:bottom w:val="single" w:sz="6" w:space="0" w:color="auto"/>
              <w:right w:val="nil"/>
            </w:tcBorders>
            <w:shd w:val="clear" w:color="auto" w:fill="auto"/>
            <w:vAlign w:val="bottom"/>
          </w:tcPr>
          <w:p w14:paraId="03752D5E" w14:textId="15F3152E"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222</w:t>
            </w:r>
          </w:p>
        </w:tc>
        <w:tc>
          <w:tcPr>
            <w:tcW w:w="141" w:type="pct"/>
            <w:tcBorders>
              <w:top w:val="nil"/>
              <w:left w:val="nil"/>
              <w:bottom w:val="single" w:sz="6" w:space="0" w:color="auto"/>
              <w:right w:val="nil"/>
            </w:tcBorders>
            <w:shd w:val="clear" w:color="auto" w:fill="auto"/>
            <w:vAlign w:val="bottom"/>
          </w:tcPr>
          <w:p w14:paraId="415A1729" w14:textId="29803C2F"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303</w:t>
            </w:r>
          </w:p>
        </w:tc>
        <w:tc>
          <w:tcPr>
            <w:tcW w:w="141" w:type="pct"/>
            <w:tcBorders>
              <w:top w:val="nil"/>
              <w:left w:val="nil"/>
              <w:bottom w:val="single" w:sz="6" w:space="0" w:color="auto"/>
              <w:right w:val="nil"/>
            </w:tcBorders>
            <w:shd w:val="clear" w:color="auto" w:fill="auto"/>
            <w:vAlign w:val="bottom"/>
          </w:tcPr>
          <w:p w14:paraId="38375996" w14:textId="3791B2F0"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316</w:t>
            </w:r>
          </w:p>
        </w:tc>
        <w:tc>
          <w:tcPr>
            <w:tcW w:w="141" w:type="pct"/>
            <w:tcBorders>
              <w:top w:val="nil"/>
              <w:left w:val="nil"/>
              <w:bottom w:val="single" w:sz="6" w:space="0" w:color="auto"/>
              <w:right w:val="nil"/>
            </w:tcBorders>
            <w:shd w:val="clear" w:color="auto" w:fill="auto"/>
            <w:vAlign w:val="bottom"/>
          </w:tcPr>
          <w:p w14:paraId="3E74933A" w14:textId="6B8A6F2F"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336</w:t>
            </w:r>
          </w:p>
        </w:tc>
        <w:tc>
          <w:tcPr>
            <w:tcW w:w="100" w:type="pct"/>
            <w:tcBorders>
              <w:top w:val="nil"/>
              <w:left w:val="nil"/>
              <w:bottom w:val="single" w:sz="6" w:space="0" w:color="auto"/>
              <w:right w:val="nil"/>
            </w:tcBorders>
          </w:tcPr>
          <w:p w14:paraId="1940F9B4"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00" w:type="pct"/>
            <w:tcBorders>
              <w:top w:val="nil"/>
              <w:left w:val="nil"/>
              <w:bottom w:val="single" w:sz="6" w:space="0" w:color="auto"/>
              <w:right w:val="nil"/>
            </w:tcBorders>
          </w:tcPr>
          <w:p w14:paraId="6CB83BDD" w14:textId="77777777" w:rsidR="00F830FB" w:rsidRPr="00F830FB" w:rsidRDefault="00F830FB" w:rsidP="00F830FB">
            <w:pPr>
              <w:keepLines/>
              <w:tabs>
                <w:tab w:val="left" w:pos="720"/>
              </w:tabs>
              <w:suppressAutoHyphens w:val="0"/>
              <w:spacing w:line="264" w:lineRule="auto"/>
              <w:rPr>
                <w:snapToGrid w:val="0"/>
                <w:kern w:val="0"/>
                <w:sz w:val="12"/>
                <w:szCs w:val="16"/>
              </w:rPr>
            </w:pPr>
            <w:r w:rsidRPr="00F830FB">
              <w:rPr>
                <w:snapToGrid w:val="0"/>
                <w:kern w:val="0"/>
                <w:sz w:val="12"/>
                <w:szCs w:val="16"/>
              </w:rPr>
              <w:t>..</w:t>
            </w:r>
          </w:p>
        </w:tc>
        <w:tc>
          <w:tcPr>
            <w:tcW w:w="141" w:type="pct"/>
            <w:tcBorders>
              <w:top w:val="nil"/>
              <w:left w:val="nil"/>
              <w:bottom w:val="single" w:sz="6" w:space="0" w:color="auto"/>
              <w:right w:val="nil"/>
            </w:tcBorders>
            <w:shd w:val="clear" w:color="auto" w:fill="auto"/>
            <w:vAlign w:val="bottom"/>
          </w:tcPr>
          <w:p w14:paraId="72DD8671" w14:textId="09063943"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138</w:t>
            </w:r>
          </w:p>
        </w:tc>
        <w:tc>
          <w:tcPr>
            <w:tcW w:w="129" w:type="pct"/>
            <w:tcBorders>
              <w:top w:val="nil"/>
              <w:left w:val="nil"/>
              <w:bottom w:val="single" w:sz="6" w:space="0" w:color="auto"/>
              <w:right w:val="single" w:sz="6" w:space="0" w:color="auto"/>
            </w:tcBorders>
            <w:shd w:val="clear" w:color="auto" w:fill="auto"/>
            <w:vAlign w:val="bottom"/>
          </w:tcPr>
          <w:p w14:paraId="377B9250" w14:textId="4ECF8792" w:rsidR="00F830FB" w:rsidRPr="00F830FB" w:rsidRDefault="00F830FB" w:rsidP="00F830FB">
            <w:pPr>
              <w:keepLines/>
              <w:tabs>
                <w:tab w:val="left" w:pos="720"/>
              </w:tabs>
              <w:suppressAutoHyphens w:val="0"/>
              <w:spacing w:line="264" w:lineRule="auto"/>
              <w:rPr>
                <w:snapToGrid w:val="0"/>
                <w:kern w:val="0"/>
                <w:sz w:val="12"/>
                <w:szCs w:val="16"/>
              </w:rPr>
            </w:pPr>
            <w:r w:rsidRPr="00F830FB">
              <w:rPr>
                <w:rFonts w:ascii="Arial" w:hAnsi="Arial" w:cs="Arial"/>
                <w:sz w:val="12"/>
                <w:szCs w:val="16"/>
              </w:rPr>
              <w:t>31</w:t>
            </w:r>
          </w:p>
        </w:tc>
        <w:tc>
          <w:tcPr>
            <w:tcW w:w="253" w:type="pct"/>
            <w:tcBorders>
              <w:top w:val="nil"/>
              <w:left w:val="single" w:sz="6" w:space="0" w:color="auto"/>
              <w:bottom w:val="single" w:sz="6" w:space="0" w:color="auto"/>
              <w:right w:val="single" w:sz="6" w:space="0" w:color="auto"/>
            </w:tcBorders>
            <w:shd w:val="clear" w:color="auto" w:fill="auto"/>
            <w:vAlign w:val="bottom"/>
          </w:tcPr>
          <w:p w14:paraId="1AA8EB3F" w14:textId="628B73FC" w:rsidR="00F830FB" w:rsidRPr="00F830FB" w:rsidRDefault="00F830FB" w:rsidP="00F830FB">
            <w:pPr>
              <w:keepLines/>
              <w:tabs>
                <w:tab w:val="left" w:pos="720"/>
              </w:tabs>
              <w:suppressAutoHyphens w:val="0"/>
              <w:spacing w:line="264" w:lineRule="auto"/>
              <w:jc w:val="center"/>
              <w:rPr>
                <w:snapToGrid w:val="0"/>
                <w:kern w:val="0"/>
                <w:sz w:val="12"/>
                <w:szCs w:val="16"/>
              </w:rPr>
            </w:pPr>
            <w:r w:rsidRPr="00F830FB">
              <w:rPr>
                <w:rFonts w:ascii="Arial" w:hAnsi="Arial" w:cs="Arial"/>
                <w:sz w:val="12"/>
                <w:szCs w:val="16"/>
              </w:rPr>
              <w:t>5099</w:t>
            </w:r>
          </w:p>
        </w:tc>
      </w:tr>
    </w:tbl>
    <w:p w14:paraId="500BB8D6" w14:textId="3D0D8D8B" w:rsidR="005E29AD" w:rsidRPr="00F830FB" w:rsidRDefault="005E29AD" w:rsidP="004551C6">
      <w:pPr>
        <w:rPr>
          <w:sz w:val="16"/>
          <w:lang w:val="x-none"/>
        </w:rPr>
      </w:pPr>
    </w:p>
    <w:p w14:paraId="6199726E" w14:textId="77777777" w:rsidR="00B04B1E" w:rsidRDefault="00B04B1E" w:rsidP="004551C6">
      <w:pPr>
        <w:rPr>
          <w:lang w:val="x-none"/>
        </w:rPr>
        <w:sectPr w:rsidR="00B04B1E" w:rsidSect="009F1B54">
          <w:pgSz w:w="16838" w:h="11906" w:orient="landscape" w:code="9"/>
          <w:pgMar w:top="1021" w:right="1021" w:bottom="1021" w:left="1021" w:header="510" w:footer="567" w:gutter="0"/>
          <w:cols w:space="708"/>
          <w:docGrid w:linePitch="360"/>
        </w:sectPr>
      </w:pPr>
    </w:p>
    <w:p w14:paraId="4BFBD474" w14:textId="72754A5C" w:rsidR="00B04B1E" w:rsidRPr="00735D96" w:rsidRDefault="00B04B1E" w:rsidP="00CB0804">
      <w:pPr>
        <w:pStyle w:val="ListParagraph"/>
        <w:numPr>
          <w:ilvl w:val="0"/>
          <w:numId w:val="21"/>
        </w:numPr>
        <w:rPr>
          <w:rFonts w:asciiTheme="minorHAnsi" w:hAnsiTheme="minorHAnsi" w:cstheme="minorHAnsi"/>
          <w:sz w:val="20"/>
          <w:szCs w:val="20"/>
          <w:lang w:val="x-none"/>
        </w:rPr>
      </w:pPr>
      <w:r w:rsidRPr="00735D96">
        <w:rPr>
          <w:rFonts w:asciiTheme="minorHAnsi" w:hAnsiTheme="minorHAnsi" w:cstheme="minorHAnsi"/>
          <w:sz w:val="20"/>
          <w:szCs w:val="20"/>
          <w:lang w:val="en-US"/>
        </w:rPr>
        <w:lastRenderedPageBreak/>
        <w:t>From the number of crashed affected determined in the previous step, the trauma alleviated by Option 2 by year as the product of effectiveness for each trauma type and the impact of the technology</w:t>
      </w:r>
      <w:r w:rsidR="001C0B42" w:rsidRPr="00735D96">
        <w:rPr>
          <w:rFonts w:asciiTheme="minorHAnsi" w:hAnsiTheme="minorHAnsi" w:cstheme="minorHAnsi"/>
          <w:sz w:val="20"/>
          <w:szCs w:val="20"/>
          <w:lang w:val="en-US"/>
        </w:rPr>
        <w:t xml:space="preserve"> is determined</w:t>
      </w:r>
      <w:r w:rsidRPr="00735D96">
        <w:rPr>
          <w:rFonts w:asciiTheme="minorHAnsi" w:hAnsiTheme="minorHAnsi" w:cstheme="minorHAnsi"/>
          <w:sz w:val="20"/>
          <w:szCs w:val="20"/>
          <w:lang w:val="en-US"/>
        </w:rPr>
        <w:t>:</w:t>
      </w:r>
    </w:p>
    <w:tbl>
      <w:tblPr>
        <w:tblW w:w="0" w:type="auto"/>
        <w:jc w:val="center"/>
        <w:tblBorders>
          <w:top w:val="single" w:sz="4" w:space="0" w:color="auto"/>
          <w:insideH w:val="single" w:sz="4" w:space="0" w:color="auto"/>
          <w:insideV w:val="single" w:sz="4" w:space="0" w:color="auto"/>
        </w:tblBorders>
        <w:tblLayout w:type="fixed"/>
        <w:tblLook w:val="04A0" w:firstRow="1" w:lastRow="0" w:firstColumn="1" w:lastColumn="0" w:noHBand="0" w:noVBand="1"/>
      </w:tblPr>
      <w:tblGrid>
        <w:gridCol w:w="622"/>
        <w:gridCol w:w="624"/>
        <w:gridCol w:w="720"/>
        <w:gridCol w:w="774"/>
      </w:tblGrid>
      <w:tr w:rsidR="001C0B42" w:rsidRPr="00BB4565" w14:paraId="230FF18D" w14:textId="77777777" w:rsidTr="00735D96">
        <w:trPr>
          <w:trHeight w:val="481"/>
          <w:jc w:val="center"/>
        </w:trPr>
        <w:tc>
          <w:tcPr>
            <w:tcW w:w="622" w:type="dxa"/>
            <w:vMerge w:val="restart"/>
            <w:shd w:val="clear" w:color="auto" w:fill="C6D9F1"/>
            <w:vAlign w:val="center"/>
          </w:tcPr>
          <w:p w14:paraId="429A0AED" w14:textId="77777777" w:rsidR="001C0B42" w:rsidRPr="00735D96" w:rsidRDefault="001C0B42" w:rsidP="001C0B42">
            <w:pPr>
              <w:suppressAutoHyphens w:val="0"/>
              <w:spacing w:before="0" w:after="0"/>
              <w:jc w:val="center"/>
              <w:rPr>
                <w:rFonts w:eastAsia="Times New Roman" w:cstheme="minorHAnsi"/>
                <w:b/>
                <w:bCs/>
                <w:color w:val="auto"/>
                <w:kern w:val="0"/>
                <w:lang w:eastAsia="en-AU"/>
              </w:rPr>
            </w:pPr>
            <w:r w:rsidRPr="00735D96">
              <w:rPr>
                <w:rFonts w:eastAsia="Times New Roman" w:cstheme="minorHAnsi"/>
                <w:b/>
                <w:bCs/>
                <w:color w:val="auto"/>
                <w:kern w:val="0"/>
                <w:lang w:eastAsia="en-AU"/>
              </w:rPr>
              <w:t>Year</w:t>
            </w:r>
          </w:p>
        </w:tc>
        <w:tc>
          <w:tcPr>
            <w:tcW w:w="2118" w:type="dxa"/>
            <w:gridSpan w:val="3"/>
            <w:shd w:val="clear" w:color="auto" w:fill="C6D9F1"/>
            <w:vAlign w:val="center"/>
          </w:tcPr>
          <w:p w14:paraId="78CB1C77" w14:textId="7A7A8153" w:rsidR="001C0B42" w:rsidRPr="00735D96" w:rsidRDefault="001C0B42" w:rsidP="00AE6164">
            <w:pPr>
              <w:suppressAutoHyphens w:val="0"/>
              <w:spacing w:before="0" w:after="200" w:line="276" w:lineRule="auto"/>
              <w:jc w:val="center"/>
              <w:rPr>
                <w:rFonts w:eastAsia="Times New Roman" w:cstheme="minorHAnsi"/>
                <w:b/>
                <w:color w:val="auto"/>
                <w:kern w:val="0"/>
                <w:lang w:eastAsia="en-AU"/>
              </w:rPr>
            </w:pPr>
            <w:r w:rsidRPr="00735D96">
              <w:rPr>
                <w:rFonts w:eastAsia="Times New Roman" w:cstheme="minorHAnsi"/>
                <w:b/>
                <w:color w:val="auto"/>
                <w:kern w:val="0"/>
                <w:lang w:eastAsia="en-AU"/>
              </w:rPr>
              <w:t xml:space="preserve">Option </w:t>
            </w:r>
            <w:r w:rsidR="00AE6164" w:rsidRPr="00735D96">
              <w:rPr>
                <w:rFonts w:eastAsia="Times New Roman" w:cstheme="minorHAnsi"/>
                <w:b/>
                <w:color w:val="auto"/>
                <w:kern w:val="0"/>
                <w:lang w:eastAsia="en-AU"/>
              </w:rPr>
              <w:t>2</w:t>
            </w:r>
          </w:p>
        </w:tc>
      </w:tr>
      <w:tr w:rsidR="001C0B42" w:rsidRPr="00BB4565" w14:paraId="08FE4035" w14:textId="77777777" w:rsidTr="00735D96">
        <w:trPr>
          <w:trHeight w:val="481"/>
          <w:jc w:val="center"/>
        </w:trPr>
        <w:tc>
          <w:tcPr>
            <w:tcW w:w="622" w:type="dxa"/>
            <w:vMerge/>
            <w:shd w:val="clear" w:color="auto" w:fill="C6D9F1"/>
          </w:tcPr>
          <w:p w14:paraId="35B26C7D" w14:textId="77777777" w:rsidR="001C0B42" w:rsidRPr="00735D96" w:rsidRDefault="001C0B42" w:rsidP="001C0B42">
            <w:pPr>
              <w:suppressAutoHyphens w:val="0"/>
              <w:spacing w:before="0" w:after="0"/>
              <w:jc w:val="center"/>
              <w:rPr>
                <w:rFonts w:eastAsia="Times New Roman" w:cstheme="minorHAnsi"/>
                <w:b/>
                <w:bCs/>
                <w:color w:val="auto"/>
                <w:kern w:val="0"/>
                <w:lang w:eastAsia="en-AU"/>
              </w:rPr>
            </w:pPr>
          </w:p>
        </w:tc>
        <w:tc>
          <w:tcPr>
            <w:tcW w:w="624" w:type="dxa"/>
            <w:shd w:val="clear" w:color="auto" w:fill="C6D9F1"/>
            <w:vAlign w:val="center"/>
          </w:tcPr>
          <w:p w14:paraId="39B45724" w14:textId="77777777" w:rsidR="001C0B42" w:rsidRPr="00735D96" w:rsidRDefault="001C0B42" w:rsidP="001C0B42">
            <w:pPr>
              <w:suppressAutoHyphens w:val="0"/>
              <w:spacing w:before="0" w:after="200" w:line="276" w:lineRule="auto"/>
              <w:jc w:val="center"/>
              <w:rPr>
                <w:rFonts w:eastAsia="Times New Roman" w:cstheme="minorHAnsi"/>
                <w:b/>
                <w:color w:val="auto"/>
                <w:kern w:val="0"/>
                <w:lang w:eastAsia="en-AU"/>
              </w:rPr>
            </w:pPr>
            <w:r w:rsidRPr="00735D96">
              <w:rPr>
                <w:rFonts w:eastAsia="Calibri" w:cstheme="minorHAnsi"/>
                <w:b/>
                <w:bCs/>
                <w:color w:val="auto"/>
                <w:kern w:val="0"/>
              </w:rPr>
              <w:t>Fatal</w:t>
            </w:r>
          </w:p>
        </w:tc>
        <w:tc>
          <w:tcPr>
            <w:tcW w:w="720" w:type="dxa"/>
            <w:shd w:val="clear" w:color="auto" w:fill="C6D9F1"/>
            <w:vAlign w:val="center"/>
          </w:tcPr>
          <w:p w14:paraId="567FC8E8" w14:textId="77777777" w:rsidR="001C0B42" w:rsidRPr="00735D96" w:rsidRDefault="001C0B42" w:rsidP="001C0B42">
            <w:pPr>
              <w:suppressAutoHyphens w:val="0"/>
              <w:spacing w:before="0" w:after="200" w:line="276" w:lineRule="auto"/>
              <w:jc w:val="center"/>
              <w:rPr>
                <w:rFonts w:eastAsia="Times New Roman" w:cstheme="minorHAnsi"/>
                <w:b/>
                <w:color w:val="auto"/>
                <w:kern w:val="0"/>
                <w:lang w:eastAsia="en-AU"/>
              </w:rPr>
            </w:pPr>
            <w:r w:rsidRPr="00735D96">
              <w:rPr>
                <w:rFonts w:eastAsia="Calibri" w:cstheme="minorHAnsi"/>
                <w:b/>
                <w:bCs/>
                <w:color w:val="auto"/>
                <w:kern w:val="0"/>
              </w:rPr>
              <w:t>Major</w:t>
            </w:r>
          </w:p>
        </w:tc>
        <w:tc>
          <w:tcPr>
            <w:tcW w:w="774" w:type="dxa"/>
            <w:shd w:val="clear" w:color="auto" w:fill="C6D9F1"/>
            <w:vAlign w:val="center"/>
          </w:tcPr>
          <w:p w14:paraId="7F4B5B65" w14:textId="77777777" w:rsidR="001C0B42" w:rsidRPr="00735D96" w:rsidRDefault="001C0B42" w:rsidP="001C0B42">
            <w:pPr>
              <w:suppressAutoHyphens w:val="0"/>
              <w:spacing w:before="0" w:after="200" w:line="276" w:lineRule="auto"/>
              <w:jc w:val="center"/>
              <w:rPr>
                <w:rFonts w:eastAsia="Times New Roman" w:cstheme="minorHAnsi"/>
                <w:b/>
                <w:color w:val="auto"/>
                <w:kern w:val="0"/>
                <w:lang w:eastAsia="en-AU"/>
              </w:rPr>
            </w:pPr>
            <w:r w:rsidRPr="00735D96">
              <w:rPr>
                <w:rFonts w:eastAsia="Calibri" w:cstheme="minorHAnsi"/>
                <w:b/>
                <w:bCs/>
                <w:color w:val="auto"/>
                <w:kern w:val="0"/>
              </w:rPr>
              <w:t>Minor</w:t>
            </w:r>
          </w:p>
        </w:tc>
      </w:tr>
      <w:tr w:rsidR="001C0B42" w:rsidRPr="00BB4565" w14:paraId="011DB60F" w14:textId="77777777" w:rsidTr="00735D96">
        <w:trPr>
          <w:trHeight w:hRule="exact" w:val="284"/>
          <w:jc w:val="center"/>
        </w:trPr>
        <w:tc>
          <w:tcPr>
            <w:tcW w:w="622" w:type="dxa"/>
          </w:tcPr>
          <w:p w14:paraId="7D14C470"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2024</w:t>
            </w:r>
          </w:p>
        </w:tc>
        <w:tc>
          <w:tcPr>
            <w:tcW w:w="624" w:type="dxa"/>
            <w:vAlign w:val="bottom"/>
          </w:tcPr>
          <w:p w14:paraId="058AFB32"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0.40</w:t>
            </w:r>
          </w:p>
        </w:tc>
        <w:tc>
          <w:tcPr>
            <w:tcW w:w="720" w:type="dxa"/>
            <w:vAlign w:val="bottom"/>
          </w:tcPr>
          <w:p w14:paraId="3FD35148"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11.08</w:t>
            </w:r>
          </w:p>
        </w:tc>
        <w:tc>
          <w:tcPr>
            <w:tcW w:w="774" w:type="dxa"/>
            <w:vAlign w:val="bottom"/>
          </w:tcPr>
          <w:p w14:paraId="28E1FFC3"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34.48</w:t>
            </w:r>
          </w:p>
        </w:tc>
      </w:tr>
      <w:tr w:rsidR="001C0B42" w:rsidRPr="00BB4565" w14:paraId="4A3CE1DC" w14:textId="77777777" w:rsidTr="00735D96">
        <w:trPr>
          <w:trHeight w:hRule="exact" w:val="284"/>
          <w:jc w:val="center"/>
        </w:trPr>
        <w:tc>
          <w:tcPr>
            <w:tcW w:w="622" w:type="dxa"/>
          </w:tcPr>
          <w:p w14:paraId="6BDE053C"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2025</w:t>
            </w:r>
          </w:p>
        </w:tc>
        <w:tc>
          <w:tcPr>
            <w:tcW w:w="624" w:type="dxa"/>
            <w:vAlign w:val="bottom"/>
          </w:tcPr>
          <w:p w14:paraId="697F75EE"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0.61</w:t>
            </w:r>
          </w:p>
        </w:tc>
        <w:tc>
          <w:tcPr>
            <w:tcW w:w="720" w:type="dxa"/>
            <w:vAlign w:val="bottom"/>
          </w:tcPr>
          <w:p w14:paraId="59DC2059"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16.76</w:t>
            </w:r>
          </w:p>
        </w:tc>
        <w:tc>
          <w:tcPr>
            <w:tcW w:w="774" w:type="dxa"/>
            <w:vAlign w:val="bottom"/>
          </w:tcPr>
          <w:p w14:paraId="6CD1DDF5"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52.16</w:t>
            </w:r>
          </w:p>
        </w:tc>
      </w:tr>
      <w:tr w:rsidR="001C0B42" w:rsidRPr="00BB4565" w14:paraId="04ACDE3F" w14:textId="77777777" w:rsidTr="00735D96">
        <w:trPr>
          <w:trHeight w:hRule="exact" w:val="284"/>
          <w:jc w:val="center"/>
        </w:trPr>
        <w:tc>
          <w:tcPr>
            <w:tcW w:w="622" w:type="dxa"/>
          </w:tcPr>
          <w:p w14:paraId="1CB19774"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2026</w:t>
            </w:r>
          </w:p>
        </w:tc>
        <w:tc>
          <w:tcPr>
            <w:tcW w:w="624" w:type="dxa"/>
            <w:vAlign w:val="bottom"/>
          </w:tcPr>
          <w:p w14:paraId="52485DA7"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0.81</w:t>
            </w:r>
          </w:p>
        </w:tc>
        <w:tc>
          <w:tcPr>
            <w:tcW w:w="720" w:type="dxa"/>
            <w:vAlign w:val="bottom"/>
          </w:tcPr>
          <w:p w14:paraId="3D3DBA7B"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22.23</w:t>
            </w:r>
          </w:p>
        </w:tc>
        <w:tc>
          <w:tcPr>
            <w:tcW w:w="774" w:type="dxa"/>
            <w:vAlign w:val="bottom"/>
          </w:tcPr>
          <w:p w14:paraId="0427C493"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69.16</w:t>
            </w:r>
          </w:p>
        </w:tc>
      </w:tr>
      <w:tr w:rsidR="001C0B42" w:rsidRPr="00BB4565" w14:paraId="2CD85BEF" w14:textId="77777777" w:rsidTr="00735D96">
        <w:trPr>
          <w:trHeight w:hRule="exact" w:val="284"/>
          <w:jc w:val="center"/>
        </w:trPr>
        <w:tc>
          <w:tcPr>
            <w:tcW w:w="622" w:type="dxa"/>
          </w:tcPr>
          <w:p w14:paraId="76D6DC1E"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2027</w:t>
            </w:r>
          </w:p>
        </w:tc>
        <w:tc>
          <w:tcPr>
            <w:tcW w:w="624" w:type="dxa"/>
            <w:vAlign w:val="bottom"/>
          </w:tcPr>
          <w:p w14:paraId="05635689"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1.00</w:t>
            </w:r>
          </w:p>
        </w:tc>
        <w:tc>
          <w:tcPr>
            <w:tcW w:w="720" w:type="dxa"/>
            <w:vAlign w:val="bottom"/>
          </w:tcPr>
          <w:p w14:paraId="4EFB7AE5"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27.41</w:t>
            </w:r>
          </w:p>
        </w:tc>
        <w:tc>
          <w:tcPr>
            <w:tcW w:w="774" w:type="dxa"/>
            <w:vAlign w:val="bottom"/>
          </w:tcPr>
          <w:p w14:paraId="20A674B7"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85.28</w:t>
            </w:r>
          </w:p>
        </w:tc>
      </w:tr>
      <w:tr w:rsidR="001C0B42" w:rsidRPr="00BB4565" w14:paraId="3C4959AF" w14:textId="77777777" w:rsidTr="00735D96">
        <w:trPr>
          <w:trHeight w:hRule="exact" w:val="284"/>
          <w:jc w:val="center"/>
        </w:trPr>
        <w:tc>
          <w:tcPr>
            <w:tcW w:w="622" w:type="dxa"/>
          </w:tcPr>
          <w:p w14:paraId="034BB64C"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2028</w:t>
            </w:r>
          </w:p>
        </w:tc>
        <w:tc>
          <w:tcPr>
            <w:tcW w:w="624" w:type="dxa"/>
            <w:vAlign w:val="bottom"/>
          </w:tcPr>
          <w:p w14:paraId="5B810EE9"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1.18</w:t>
            </w:r>
          </w:p>
        </w:tc>
        <w:tc>
          <w:tcPr>
            <w:tcW w:w="720" w:type="dxa"/>
            <w:vAlign w:val="bottom"/>
          </w:tcPr>
          <w:p w14:paraId="0125F22A"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32.38</w:t>
            </w:r>
          </w:p>
        </w:tc>
        <w:tc>
          <w:tcPr>
            <w:tcW w:w="774" w:type="dxa"/>
            <w:vAlign w:val="bottom"/>
          </w:tcPr>
          <w:p w14:paraId="27C7EFDB"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100.76</w:t>
            </w:r>
          </w:p>
        </w:tc>
      </w:tr>
      <w:tr w:rsidR="001C0B42" w:rsidRPr="00BB4565" w14:paraId="75F8B715" w14:textId="77777777" w:rsidTr="00735D96">
        <w:trPr>
          <w:trHeight w:hRule="exact" w:val="284"/>
          <w:jc w:val="center"/>
        </w:trPr>
        <w:tc>
          <w:tcPr>
            <w:tcW w:w="622" w:type="dxa"/>
          </w:tcPr>
          <w:p w14:paraId="65026B99"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2029</w:t>
            </w:r>
          </w:p>
        </w:tc>
        <w:tc>
          <w:tcPr>
            <w:tcW w:w="624" w:type="dxa"/>
            <w:vAlign w:val="bottom"/>
          </w:tcPr>
          <w:p w14:paraId="08C51CD7"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1.35</w:t>
            </w:r>
          </w:p>
        </w:tc>
        <w:tc>
          <w:tcPr>
            <w:tcW w:w="720" w:type="dxa"/>
            <w:vAlign w:val="bottom"/>
          </w:tcPr>
          <w:p w14:paraId="0CF01C3B"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37.13</w:t>
            </w:r>
          </w:p>
        </w:tc>
        <w:tc>
          <w:tcPr>
            <w:tcW w:w="774" w:type="dxa"/>
            <w:vAlign w:val="bottom"/>
          </w:tcPr>
          <w:p w14:paraId="7277B8C8"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115.53</w:t>
            </w:r>
          </w:p>
        </w:tc>
      </w:tr>
      <w:tr w:rsidR="001C0B42" w:rsidRPr="00BB4565" w14:paraId="07796863" w14:textId="77777777" w:rsidTr="00735D96">
        <w:trPr>
          <w:trHeight w:hRule="exact" w:val="284"/>
          <w:jc w:val="center"/>
        </w:trPr>
        <w:tc>
          <w:tcPr>
            <w:tcW w:w="622" w:type="dxa"/>
          </w:tcPr>
          <w:p w14:paraId="61948628"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2030</w:t>
            </w:r>
          </w:p>
        </w:tc>
        <w:tc>
          <w:tcPr>
            <w:tcW w:w="624" w:type="dxa"/>
            <w:vAlign w:val="bottom"/>
          </w:tcPr>
          <w:p w14:paraId="544437A4"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1.51</w:t>
            </w:r>
          </w:p>
        </w:tc>
        <w:tc>
          <w:tcPr>
            <w:tcW w:w="720" w:type="dxa"/>
            <w:vAlign w:val="bottom"/>
          </w:tcPr>
          <w:p w14:paraId="5817821E"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41.42</w:t>
            </w:r>
          </w:p>
        </w:tc>
        <w:tc>
          <w:tcPr>
            <w:tcW w:w="774" w:type="dxa"/>
            <w:vAlign w:val="bottom"/>
          </w:tcPr>
          <w:p w14:paraId="18E79630"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128.89</w:t>
            </w:r>
          </w:p>
        </w:tc>
      </w:tr>
      <w:tr w:rsidR="001C0B42" w:rsidRPr="00BB4565" w14:paraId="0ED2A07D" w14:textId="77777777" w:rsidTr="00735D96">
        <w:trPr>
          <w:trHeight w:hRule="exact" w:val="284"/>
          <w:jc w:val="center"/>
        </w:trPr>
        <w:tc>
          <w:tcPr>
            <w:tcW w:w="622" w:type="dxa"/>
          </w:tcPr>
          <w:p w14:paraId="57A6533D"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2031</w:t>
            </w:r>
          </w:p>
        </w:tc>
        <w:tc>
          <w:tcPr>
            <w:tcW w:w="624" w:type="dxa"/>
            <w:vAlign w:val="bottom"/>
          </w:tcPr>
          <w:p w14:paraId="015D9D8A"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1.64</w:t>
            </w:r>
          </w:p>
        </w:tc>
        <w:tc>
          <w:tcPr>
            <w:tcW w:w="720" w:type="dxa"/>
            <w:vAlign w:val="bottom"/>
          </w:tcPr>
          <w:p w14:paraId="7F7162AA"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45.21</w:t>
            </w:r>
          </w:p>
        </w:tc>
        <w:tc>
          <w:tcPr>
            <w:tcW w:w="774" w:type="dxa"/>
            <w:vAlign w:val="bottom"/>
          </w:tcPr>
          <w:p w14:paraId="3BE3020E"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140.67</w:t>
            </w:r>
          </w:p>
        </w:tc>
      </w:tr>
      <w:tr w:rsidR="001C0B42" w:rsidRPr="00BB4565" w14:paraId="42F89BB7" w14:textId="77777777" w:rsidTr="00735D96">
        <w:trPr>
          <w:trHeight w:hRule="exact" w:val="284"/>
          <w:jc w:val="center"/>
        </w:trPr>
        <w:tc>
          <w:tcPr>
            <w:tcW w:w="622" w:type="dxa"/>
          </w:tcPr>
          <w:p w14:paraId="4163A73D"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2032</w:t>
            </w:r>
          </w:p>
        </w:tc>
        <w:tc>
          <w:tcPr>
            <w:tcW w:w="624" w:type="dxa"/>
            <w:vAlign w:val="bottom"/>
          </w:tcPr>
          <w:p w14:paraId="0F125DF1"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1.77</w:t>
            </w:r>
          </w:p>
        </w:tc>
        <w:tc>
          <w:tcPr>
            <w:tcW w:w="720" w:type="dxa"/>
            <w:vAlign w:val="bottom"/>
          </w:tcPr>
          <w:p w14:paraId="4EAA9F45"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48.64</w:t>
            </w:r>
          </w:p>
        </w:tc>
        <w:tc>
          <w:tcPr>
            <w:tcW w:w="774" w:type="dxa"/>
            <w:vAlign w:val="bottom"/>
          </w:tcPr>
          <w:p w14:paraId="02AD072B"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151.37</w:t>
            </w:r>
          </w:p>
        </w:tc>
      </w:tr>
      <w:tr w:rsidR="001C0B42" w:rsidRPr="00BB4565" w14:paraId="5E8B2A4E" w14:textId="77777777" w:rsidTr="00735D96">
        <w:trPr>
          <w:trHeight w:hRule="exact" w:val="284"/>
          <w:jc w:val="center"/>
        </w:trPr>
        <w:tc>
          <w:tcPr>
            <w:tcW w:w="622" w:type="dxa"/>
          </w:tcPr>
          <w:p w14:paraId="567AA3EF"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2033</w:t>
            </w:r>
          </w:p>
        </w:tc>
        <w:tc>
          <w:tcPr>
            <w:tcW w:w="624" w:type="dxa"/>
            <w:vAlign w:val="bottom"/>
          </w:tcPr>
          <w:p w14:paraId="1C70A487"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1.89</w:t>
            </w:r>
          </w:p>
        </w:tc>
        <w:tc>
          <w:tcPr>
            <w:tcW w:w="720" w:type="dxa"/>
            <w:vAlign w:val="bottom"/>
          </w:tcPr>
          <w:p w14:paraId="28648C1C"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51.94</w:t>
            </w:r>
          </w:p>
        </w:tc>
        <w:tc>
          <w:tcPr>
            <w:tcW w:w="774" w:type="dxa"/>
            <w:vAlign w:val="bottom"/>
          </w:tcPr>
          <w:p w14:paraId="345FE970"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161.64</w:t>
            </w:r>
          </w:p>
        </w:tc>
      </w:tr>
      <w:tr w:rsidR="001C0B42" w:rsidRPr="00BB4565" w14:paraId="63DFBF39" w14:textId="77777777" w:rsidTr="00735D96">
        <w:trPr>
          <w:trHeight w:hRule="exact" w:val="284"/>
          <w:jc w:val="center"/>
        </w:trPr>
        <w:tc>
          <w:tcPr>
            <w:tcW w:w="622" w:type="dxa"/>
          </w:tcPr>
          <w:p w14:paraId="1BE2CA28"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2034</w:t>
            </w:r>
          </w:p>
        </w:tc>
        <w:tc>
          <w:tcPr>
            <w:tcW w:w="624" w:type="dxa"/>
            <w:vAlign w:val="bottom"/>
          </w:tcPr>
          <w:p w14:paraId="57C568A1"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2.01</w:t>
            </w:r>
          </w:p>
        </w:tc>
        <w:tc>
          <w:tcPr>
            <w:tcW w:w="720" w:type="dxa"/>
            <w:vAlign w:val="bottom"/>
          </w:tcPr>
          <w:p w14:paraId="4B4BC570"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55.26</w:t>
            </w:r>
          </w:p>
        </w:tc>
        <w:tc>
          <w:tcPr>
            <w:tcW w:w="774" w:type="dxa"/>
            <w:vAlign w:val="bottom"/>
          </w:tcPr>
          <w:p w14:paraId="34E22CDC"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171.97</w:t>
            </w:r>
          </w:p>
        </w:tc>
      </w:tr>
      <w:tr w:rsidR="001C0B42" w:rsidRPr="00BB4565" w14:paraId="05B499E2" w14:textId="77777777" w:rsidTr="00735D96">
        <w:trPr>
          <w:trHeight w:hRule="exact" w:val="284"/>
          <w:jc w:val="center"/>
        </w:trPr>
        <w:tc>
          <w:tcPr>
            <w:tcW w:w="622" w:type="dxa"/>
          </w:tcPr>
          <w:p w14:paraId="19B7DC9B"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2035</w:t>
            </w:r>
          </w:p>
        </w:tc>
        <w:tc>
          <w:tcPr>
            <w:tcW w:w="624" w:type="dxa"/>
            <w:vAlign w:val="bottom"/>
          </w:tcPr>
          <w:p w14:paraId="71EAB9FB"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2.13</w:t>
            </w:r>
          </w:p>
        </w:tc>
        <w:tc>
          <w:tcPr>
            <w:tcW w:w="720" w:type="dxa"/>
            <w:vAlign w:val="bottom"/>
          </w:tcPr>
          <w:p w14:paraId="54EDD0BD"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58.64</w:t>
            </w:r>
          </w:p>
        </w:tc>
        <w:tc>
          <w:tcPr>
            <w:tcW w:w="774" w:type="dxa"/>
            <w:vAlign w:val="bottom"/>
          </w:tcPr>
          <w:p w14:paraId="426DB48F"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182.49</w:t>
            </w:r>
          </w:p>
        </w:tc>
      </w:tr>
      <w:tr w:rsidR="001C0B42" w:rsidRPr="00BB4565" w14:paraId="50F1820F" w14:textId="77777777" w:rsidTr="00735D96">
        <w:trPr>
          <w:trHeight w:hRule="exact" w:val="284"/>
          <w:jc w:val="center"/>
        </w:trPr>
        <w:tc>
          <w:tcPr>
            <w:tcW w:w="622" w:type="dxa"/>
          </w:tcPr>
          <w:p w14:paraId="7C8034F6"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2036</w:t>
            </w:r>
          </w:p>
        </w:tc>
        <w:tc>
          <w:tcPr>
            <w:tcW w:w="624" w:type="dxa"/>
            <w:vAlign w:val="bottom"/>
          </w:tcPr>
          <w:p w14:paraId="5CF10642"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2.25</w:t>
            </w:r>
          </w:p>
        </w:tc>
        <w:tc>
          <w:tcPr>
            <w:tcW w:w="720" w:type="dxa"/>
            <w:vAlign w:val="bottom"/>
          </w:tcPr>
          <w:p w14:paraId="258A025F"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61.90</w:t>
            </w:r>
          </w:p>
        </w:tc>
        <w:tc>
          <w:tcPr>
            <w:tcW w:w="774" w:type="dxa"/>
            <w:vAlign w:val="bottom"/>
          </w:tcPr>
          <w:p w14:paraId="3A89BBAC"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192.63</w:t>
            </w:r>
          </w:p>
        </w:tc>
      </w:tr>
      <w:tr w:rsidR="001C0B42" w:rsidRPr="00BB4565" w14:paraId="07792AEF" w14:textId="77777777" w:rsidTr="00735D96">
        <w:trPr>
          <w:trHeight w:hRule="exact" w:val="284"/>
          <w:jc w:val="center"/>
        </w:trPr>
        <w:tc>
          <w:tcPr>
            <w:tcW w:w="622" w:type="dxa"/>
          </w:tcPr>
          <w:p w14:paraId="5C176BB7"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2037</w:t>
            </w:r>
          </w:p>
        </w:tc>
        <w:tc>
          <w:tcPr>
            <w:tcW w:w="624" w:type="dxa"/>
            <w:vAlign w:val="bottom"/>
          </w:tcPr>
          <w:p w14:paraId="0B970A32"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2.36</w:t>
            </w:r>
          </w:p>
        </w:tc>
        <w:tc>
          <w:tcPr>
            <w:tcW w:w="720" w:type="dxa"/>
            <w:vAlign w:val="bottom"/>
          </w:tcPr>
          <w:p w14:paraId="3C6EC87A"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64.77</w:t>
            </w:r>
          </w:p>
        </w:tc>
        <w:tc>
          <w:tcPr>
            <w:tcW w:w="774" w:type="dxa"/>
            <w:vAlign w:val="bottom"/>
          </w:tcPr>
          <w:p w14:paraId="010DBF86"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201.55</w:t>
            </w:r>
          </w:p>
        </w:tc>
      </w:tr>
      <w:tr w:rsidR="001C0B42" w:rsidRPr="00BB4565" w14:paraId="11987C00" w14:textId="77777777" w:rsidTr="00735D96">
        <w:trPr>
          <w:trHeight w:hRule="exact" w:val="284"/>
          <w:jc w:val="center"/>
        </w:trPr>
        <w:tc>
          <w:tcPr>
            <w:tcW w:w="622" w:type="dxa"/>
          </w:tcPr>
          <w:p w14:paraId="4E70CF97"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2038</w:t>
            </w:r>
          </w:p>
        </w:tc>
        <w:tc>
          <w:tcPr>
            <w:tcW w:w="624" w:type="dxa"/>
            <w:vAlign w:val="bottom"/>
          </w:tcPr>
          <w:p w14:paraId="18C0A3E8"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2.44</w:t>
            </w:r>
          </w:p>
        </w:tc>
        <w:tc>
          <w:tcPr>
            <w:tcW w:w="720" w:type="dxa"/>
            <w:vAlign w:val="bottom"/>
          </w:tcPr>
          <w:p w14:paraId="315CB92C"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67.14</w:t>
            </w:r>
          </w:p>
        </w:tc>
        <w:tc>
          <w:tcPr>
            <w:tcW w:w="774" w:type="dxa"/>
            <w:vAlign w:val="bottom"/>
          </w:tcPr>
          <w:p w14:paraId="4D38A82C"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208.93</w:t>
            </w:r>
          </w:p>
        </w:tc>
      </w:tr>
      <w:tr w:rsidR="001C0B42" w:rsidRPr="00BB4565" w14:paraId="6893B794" w14:textId="77777777" w:rsidTr="00735D96">
        <w:trPr>
          <w:trHeight w:hRule="exact" w:val="284"/>
          <w:jc w:val="center"/>
        </w:trPr>
        <w:tc>
          <w:tcPr>
            <w:tcW w:w="622" w:type="dxa"/>
          </w:tcPr>
          <w:p w14:paraId="21D9C193"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2039</w:t>
            </w:r>
          </w:p>
        </w:tc>
        <w:tc>
          <w:tcPr>
            <w:tcW w:w="624" w:type="dxa"/>
            <w:vAlign w:val="bottom"/>
          </w:tcPr>
          <w:p w14:paraId="12A3A455"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2.51</w:t>
            </w:r>
          </w:p>
        </w:tc>
        <w:tc>
          <w:tcPr>
            <w:tcW w:w="720" w:type="dxa"/>
            <w:vAlign w:val="bottom"/>
          </w:tcPr>
          <w:p w14:paraId="2AE40F25"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69.01</w:t>
            </w:r>
          </w:p>
        </w:tc>
        <w:tc>
          <w:tcPr>
            <w:tcW w:w="774" w:type="dxa"/>
            <w:vAlign w:val="bottom"/>
          </w:tcPr>
          <w:p w14:paraId="0A25D61C"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214.76</w:t>
            </w:r>
          </w:p>
        </w:tc>
      </w:tr>
      <w:tr w:rsidR="001C0B42" w:rsidRPr="00BB4565" w14:paraId="539CDC3D" w14:textId="77777777" w:rsidTr="00735D96">
        <w:trPr>
          <w:trHeight w:hRule="exact" w:val="284"/>
          <w:jc w:val="center"/>
        </w:trPr>
        <w:tc>
          <w:tcPr>
            <w:tcW w:w="622" w:type="dxa"/>
          </w:tcPr>
          <w:p w14:paraId="05F68694"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2040</w:t>
            </w:r>
          </w:p>
        </w:tc>
        <w:tc>
          <w:tcPr>
            <w:tcW w:w="624" w:type="dxa"/>
            <w:vAlign w:val="bottom"/>
          </w:tcPr>
          <w:p w14:paraId="43616ABD"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2.56</w:t>
            </w:r>
          </w:p>
        </w:tc>
        <w:tc>
          <w:tcPr>
            <w:tcW w:w="720" w:type="dxa"/>
            <w:vAlign w:val="bottom"/>
          </w:tcPr>
          <w:p w14:paraId="0B489AB9"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70.45</w:t>
            </w:r>
          </w:p>
        </w:tc>
        <w:tc>
          <w:tcPr>
            <w:tcW w:w="774" w:type="dxa"/>
            <w:vAlign w:val="bottom"/>
          </w:tcPr>
          <w:p w14:paraId="7B645850"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219.24</w:t>
            </w:r>
          </w:p>
        </w:tc>
      </w:tr>
      <w:tr w:rsidR="001C0B42" w:rsidRPr="00BB4565" w14:paraId="4431DBCF" w14:textId="77777777" w:rsidTr="00735D96">
        <w:trPr>
          <w:trHeight w:hRule="exact" w:val="284"/>
          <w:jc w:val="center"/>
        </w:trPr>
        <w:tc>
          <w:tcPr>
            <w:tcW w:w="622" w:type="dxa"/>
          </w:tcPr>
          <w:p w14:paraId="43B9EEA5"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2041</w:t>
            </w:r>
          </w:p>
        </w:tc>
        <w:tc>
          <w:tcPr>
            <w:tcW w:w="624" w:type="dxa"/>
            <w:vAlign w:val="bottom"/>
          </w:tcPr>
          <w:p w14:paraId="0B74B317"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2.60</w:t>
            </w:r>
          </w:p>
        </w:tc>
        <w:tc>
          <w:tcPr>
            <w:tcW w:w="720" w:type="dxa"/>
            <w:vAlign w:val="bottom"/>
          </w:tcPr>
          <w:p w14:paraId="170740EA"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71.46</w:t>
            </w:r>
          </w:p>
        </w:tc>
        <w:tc>
          <w:tcPr>
            <w:tcW w:w="774" w:type="dxa"/>
            <w:vAlign w:val="bottom"/>
          </w:tcPr>
          <w:p w14:paraId="0C521665"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222.38</w:t>
            </w:r>
          </w:p>
        </w:tc>
      </w:tr>
      <w:tr w:rsidR="001C0B42" w:rsidRPr="00BB4565" w14:paraId="42CA2A21" w14:textId="77777777" w:rsidTr="00735D96">
        <w:trPr>
          <w:trHeight w:hRule="exact" w:val="284"/>
          <w:jc w:val="center"/>
        </w:trPr>
        <w:tc>
          <w:tcPr>
            <w:tcW w:w="622" w:type="dxa"/>
          </w:tcPr>
          <w:p w14:paraId="47CA7A1A"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2042</w:t>
            </w:r>
          </w:p>
        </w:tc>
        <w:tc>
          <w:tcPr>
            <w:tcW w:w="624" w:type="dxa"/>
            <w:vAlign w:val="bottom"/>
          </w:tcPr>
          <w:p w14:paraId="1858E4EE"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2.62</w:t>
            </w:r>
          </w:p>
        </w:tc>
        <w:tc>
          <w:tcPr>
            <w:tcW w:w="720" w:type="dxa"/>
            <w:vAlign w:val="bottom"/>
          </w:tcPr>
          <w:p w14:paraId="25533D07"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72.01</w:t>
            </w:r>
          </w:p>
        </w:tc>
        <w:tc>
          <w:tcPr>
            <w:tcW w:w="774" w:type="dxa"/>
            <w:vAlign w:val="bottom"/>
          </w:tcPr>
          <w:p w14:paraId="055902B9"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224.07</w:t>
            </w:r>
          </w:p>
        </w:tc>
      </w:tr>
      <w:tr w:rsidR="001C0B42" w:rsidRPr="00BB4565" w14:paraId="31022708" w14:textId="77777777" w:rsidTr="00735D96">
        <w:trPr>
          <w:trHeight w:hRule="exact" w:val="284"/>
          <w:jc w:val="center"/>
        </w:trPr>
        <w:tc>
          <w:tcPr>
            <w:tcW w:w="622" w:type="dxa"/>
          </w:tcPr>
          <w:p w14:paraId="60BF134C"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2043</w:t>
            </w:r>
          </w:p>
        </w:tc>
        <w:tc>
          <w:tcPr>
            <w:tcW w:w="624" w:type="dxa"/>
            <w:vAlign w:val="bottom"/>
          </w:tcPr>
          <w:p w14:paraId="54A4943D"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2.62</w:t>
            </w:r>
          </w:p>
        </w:tc>
        <w:tc>
          <w:tcPr>
            <w:tcW w:w="720" w:type="dxa"/>
            <w:vAlign w:val="bottom"/>
          </w:tcPr>
          <w:p w14:paraId="48D7BF27"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72.09</w:t>
            </w:r>
          </w:p>
        </w:tc>
        <w:tc>
          <w:tcPr>
            <w:tcW w:w="774" w:type="dxa"/>
            <w:vAlign w:val="bottom"/>
          </w:tcPr>
          <w:p w14:paraId="17CD1097"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224.34</w:t>
            </w:r>
          </w:p>
        </w:tc>
      </w:tr>
      <w:tr w:rsidR="001C0B42" w:rsidRPr="00BB4565" w14:paraId="0FE503B9" w14:textId="77777777" w:rsidTr="00735D96">
        <w:trPr>
          <w:trHeight w:hRule="exact" w:val="284"/>
          <w:jc w:val="center"/>
        </w:trPr>
        <w:tc>
          <w:tcPr>
            <w:tcW w:w="622" w:type="dxa"/>
          </w:tcPr>
          <w:p w14:paraId="3AA01DE5"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2044</w:t>
            </w:r>
          </w:p>
        </w:tc>
        <w:tc>
          <w:tcPr>
            <w:tcW w:w="624" w:type="dxa"/>
            <w:vAlign w:val="bottom"/>
          </w:tcPr>
          <w:p w14:paraId="4B79820F"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2.61</w:t>
            </w:r>
          </w:p>
        </w:tc>
        <w:tc>
          <w:tcPr>
            <w:tcW w:w="720" w:type="dxa"/>
            <w:vAlign w:val="bottom"/>
          </w:tcPr>
          <w:p w14:paraId="0F7F4880"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71.82</w:t>
            </w:r>
          </w:p>
        </w:tc>
        <w:tc>
          <w:tcPr>
            <w:tcW w:w="774" w:type="dxa"/>
            <w:vAlign w:val="bottom"/>
          </w:tcPr>
          <w:p w14:paraId="210D222E"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223.49</w:t>
            </w:r>
          </w:p>
        </w:tc>
      </w:tr>
      <w:tr w:rsidR="001C0B42" w:rsidRPr="00BB4565" w14:paraId="33FF68EC" w14:textId="77777777" w:rsidTr="00735D96">
        <w:trPr>
          <w:trHeight w:hRule="exact" w:val="284"/>
          <w:jc w:val="center"/>
        </w:trPr>
        <w:tc>
          <w:tcPr>
            <w:tcW w:w="622" w:type="dxa"/>
          </w:tcPr>
          <w:p w14:paraId="5FCC8ED8"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2045</w:t>
            </w:r>
          </w:p>
        </w:tc>
        <w:tc>
          <w:tcPr>
            <w:tcW w:w="624" w:type="dxa"/>
            <w:vAlign w:val="bottom"/>
          </w:tcPr>
          <w:p w14:paraId="624F3887"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2.59</w:t>
            </w:r>
          </w:p>
        </w:tc>
        <w:tc>
          <w:tcPr>
            <w:tcW w:w="720" w:type="dxa"/>
            <w:vAlign w:val="bottom"/>
          </w:tcPr>
          <w:p w14:paraId="14387CEB"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71.32</w:t>
            </w:r>
          </w:p>
        </w:tc>
        <w:tc>
          <w:tcPr>
            <w:tcW w:w="774" w:type="dxa"/>
            <w:vAlign w:val="bottom"/>
          </w:tcPr>
          <w:p w14:paraId="561D1019"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221.92</w:t>
            </w:r>
          </w:p>
        </w:tc>
      </w:tr>
      <w:tr w:rsidR="001C0B42" w:rsidRPr="00BB4565" w14:paraId="7CB77A4A" w14:textId="77777777" w:rsidTr="00735D96">
        <w:trPr>
          <w:trHeight w:hRule="exact" w:val="284"/>
          <w:jc w:val="center"/>
        </w:trPr>
        <w:tc>
          <w:tcPr>
            <w:tcW w:w="622" w:type="dxa"/>
          </w:tcPr>
          <w:p w14:paraId="6868F767"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2046</w:t>
            </w:r>
          </w:p>
        </w:tc>
        <w:tc>
          <w:tcPr>
            <w:tcW w:w="624" w:type="dxa"/>
            <w:vAlign w:val="bottom"/>
          </w:tcPr>
          <w:p w14:paraId="78CC81C3"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2.57</w:t>
            </w:r>
          </w:p>
        </w:tc>
        <w:tc>
          <w:tcPr>
            <w:tcW w:w="720" w:type="dxa"/>
            <w:vAlign w:val="bottom"/>
          </w:tcPr>
          <w:p w14:paraId="589B09AE"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70.61</w:t>
            </w:r>
          </w:p>
        </w:tc>
        <w:tc>
          <w:tcPr>
            <w:tcW w:w="774" w:type="dxa"/>
            <w:vAlign w:val="bottom"/>
          </w:tcPr>
          <w:p w14:paraId="4ECF2B28"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219.73</w:t>
            </w:r>
          </w:p>
        </w:tc>
      </w:tr>
      <w:tr w:rsidR="001C0B42" w:rsidRPr="00BB4565" w14:paraId="5852E5FF" w14:textId="77777777" w:rsidTr="00735D96">
        <w:trPr>
          <w:trHeight w:hRule="exact" w:val="284"/>
          <w:jc w:val="center"/>
        </w:trPr>
        <w:tc>
          <w:tcPr>
            <w:tcW w:w="622" w:type="dxa"/>
          </w:tcPr>
          <w:p w14:paraId="25DB6424"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2047</w:t>
            </w:r>
          </w:p>
        </w:tc>
        <w:tc>
          <w:tcPr>
            <w:tcW w:w="624" w:type="dxa"/>
            <w:vAlign w:val="bottom"/>
          </w:tcPr>
          <w:p w14:paraId="4B24E116"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2.53</w:t>
            </w:r>
          </w:p>
        </w:tc>
        <w:tc>
          <w:tcPr>
            <w:tcW w:w="720" w:type="dxa"/>
            <w:vAlign w:val="bottom"/>
          </w:tcPr>
          <w:p w14:paraId="60DBD485"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69.66</w:t>
            </w:r>
          </w:p>
        </w:tc>
        <w:tc>
          <w:tcPr>
            <w:tcW w:w="774" w:type="dxa"/>
            <w:vAlign w:val="bottom"/>
          </w:tcPr>
          <w:p w14:paraId="6C74CFC0"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216.78</w:t>
            </w:r>
          </w:p>
        </w:tc>
      </w:tr>
      <w:tr w:rsidR="001C0B42" w:rsidRPr="00BB4565" w14:paraId="66125FA3" w14:textId="77777777" w:rsidTr="00735D96">
        <w:trPr>
          <w:trHeight w:hRule="exact" w:val="284"/>
          <w:jc w:val="center"/>
        </w:trPr>
        <w:tc>
          <w:tcPr>
            <w:tcW w:w="622" w:type="dxa"/>
          </w:tcPr>
          <w:p w14:paraId="7F4E3B2E"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2048</w:t>
            </w:r>
          </w:p>
        </w:tc>
        <w:tc>
          <w:tcPr>
            <w:tcW w:w="624" w:type="dxa"/>
            <w:vAlign w:val="bottom"/>
          </w:tcPr>
          <w:p w14:paraId="114337E2"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2.49</w:t>
            </w:r>
          </w:p>
        </w:tc>
        <w:tc>
          <w:tcPr>
            <w:tcW w:w="720" w:type="dxa"/>
            <w:vAlign w:val="bottom"/>
          </w:tcPr>
          <w:p w14:paraId="5AC38815"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68.48</w:t>
            </w:r>
          </w:p>
        </w:tc>
        <w:tc>
          <w:tcPr>
            <w:tcW w:w="774" w:type="dxa"/>
            <w:vAlign w:val="bottom"/>
          </w:tcPr>
          <w:p w14:paraId="1A486333"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213.09</w:t>
            </w:r>
          </w:p>
        </w:tc>
      </w:tr>
      <w:tr w:rsidR="001C0B42" w:rsidRPr="00BB4565" w14:paraId="72EFD03B" w14:textId="77777777" w:rsidTr="00735D96">
        <w:trPr>
          <w:trHeight w:hRule="exact" w:val="284"/>
          <w:jc w:val="center"/>
        </w:trPr>
        <w:tc>
          <w:tcPr>
            <w:tcW w:w="622" w:type="dxa"/>
          </w:tcPr>
          <w:p w14:paraId="69EBCE53"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2049</w:t>
            </w:r>
          </w:p>
        </w:tc>
        <w:tc>
          <w:tcPr>
            <w:tcW w:w="624" w:type="dxa"/>
            <w:vAlign w:val="bottom"/>
          </w:tcPr>
          <w:p w14:paraId="53E345EE"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2.44</w:t>
            </w:r>
          </w:p>
        </w:tc>
        <w:tc>
          <w:tcPr>
            <w:tcW w:w="720" w:type="dxa"/>
            <w:vAlign w:val="bottom"/>
          </w:tcPr>
          <w:p w14:paraId="50FE8C75"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67.10</w:t>
            </w:r>
          </w:p>
        </w:tc>
        <w:tc>
          <w:tcPr>
            <w:tcW w:w="774" w:type="dxa"/>
            <w:vAlign w:val="bottom"/>
          </w:tcPr>
          <w:p w14:paraId="505F4BE7"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208.79</w:t>
            </w:r>
          </w:p>
        </w:tc>
      </w:tr>
      <w:tr w:rsidR="001C0B42" w:rsidRPr="00BB4565" w14:paraId="59D08F9C" w14:textId="77777777" w:rsidTr="00735D96">
        <w:trPr>
          <w:trHeight w:hRule="exact" w:val="284"/>
          <w:jc w:val="center"/>
        </w:trPr>
        <w:tc>
          <w:tcPr>
            <w:tcW w:w="622" w:type="dxa"/>
          </w:tcPr>
          <w:p w14:paraId="7514562D"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2050</w:t>
            </w:r>
          </w:p>
        </w:tc>
        <w:tc>
          <w:tcPr>
            <w:tcW w:w="624" w:type="dxa"/>
            <w:vAlign w:val="bottom"/>
          </w:tcPr>
          <w:p w14:paraId="3F11C53A"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2.38</w:t>
            </w:r>
          </w:p>
        </w:tc>
        <w:tc>
          <w:tcPr>
            <w:tcW w:w="720" w:type="dxa"/>
            <w:vAlign w:val="bottom"/>
          </w:tcPr>
          <w:p w14:paraId="27C817F1"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65.55</w:t>
            </w:r>
          </w:p>
        </w:tc>
        <w:tc>
          <w:tcPr>
            <w:tcW w:w="774" w:type="dxa"/>
            <w:vAlign w:val="bottom"/>
          </w:tcPr>
          <w:p w14:paraId="424B322C"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203.98</w:t>
            </w:r>
          </w:p>
        </w:tc>
      </w:tr>
      <w:tr w:rsidR="001C0B42" w:rsidRPr="00BB4565" w14:paraId="2B7071D1" w14:textId="77777777" w:rsidTr="00735D96">
        <w:trPr>
          <w:trHeight w:hRule="exact" w:val="284"/>
          <w:jc w:val="center"/>
        </w:trPr>
        <w:tc>
          <w:tcPr>
            <w:tcW w:w="622" w:type="dxa"/>
          </w:tcPr>
          <w:p w14:paraId="31223468"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2051</w:t>
            </w:r>
          </w:p>
        </w:tc>
        <w:tc>
          <w:tcPr>
            <w:tcW w:w="624" w:type="dxa"/>
            <w:vAlign w:val="bottom"/>
          </w:tcPr>
          <w:p w14:paraId="37D08748"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2.32</w:t>
            </w:r>
          </w:p>
        </w:tc>
        <w:tc>
          <w:tcPr>
            <w:tcW w:w="720" w:type="dxa"/>
            <w:vAlign w:val="bottom"/>
          </w:tcPr>
          <w:p w14:paraId="55E2A7B0"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63.85</w:t>
            </w:r>
          </w:p>
        </w:tc>
        <w:tc>
          <w:tcPr>
            <w:tcW w:w="774" w:type="dxa"/>
            <w:vAlign w:val="bottom"/>
          </w:tcPr>
          <w:p w14:paraId="7347FAE1"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198.68</w:t>
            </w:r>
          </w:p>
        </w:tc>
      </w:tr>
      <w:tr w:rsidR="001C0B42" w:rsidRPr="00BB4565" w14:paraId="52290C30" w14:textId="77777777" w:rsidTr="00735D96">
        <w:trPr>
          <w:trHeight w:hRule="exact" w:val="284"/>
          <w:jc w:val="center"/>
        </w:trPr>
        <w:tc>
          <w:tcPr>
            <w:tcW w:w="622" w:type="dxa"/>
          </w:tcPr>
          <w:p w14:paraId="13CB1DF2"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2052</w:t>
            </w:r>
          </w:p>
        </w:tc>
        <w:tc>
          <w:tcPr>
            <w:tcW w:w="624" w:type="dxa"/>
            <w:vAlign w:val="bottom"/>
          </w:tcPr>
          <w:p w14:paraId="2B80D3F4"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2.25</w:t>
            </w:r>
          </w:p>
        </w:tc>
        <w:tc>
          <w:tcPr>
            <w:tcW w:w="720" w:type="dxa"/>
            <w:vAlign w:val="bottom"/>
          </w:tcPr>
          <w:p w14:paraId="085001E6"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61.94</w:t>
            </w:r>
          </w:p>
        </w:tc>
        <w:tc>
          <w:tcPr>
            <w:tcW w:w="774" w:type="dxa"/>
            <w:vAlign w:val="bottom"/>
          </w:tcPr>
          <w:p w14:paraId="00658842"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192.74</w:t>
            </w:r>
          </w:p>
        </w:tc>
      </w:tr>
      <w:tr w:rsidR="001C0B42" w:rsidRPr="00BB4565" w14:paraId="211937EF" w14:textId="77777777" w:rsidTr="00735D96">
        <w:trPr>
          <w:trHeight w:hRule="exact" w:val="284"/>
          <w:jc w:val="center"/>
        </w:trPr>
        <w:tc>
          <w:tcPr>
            <w:tcW w:w="622" w:type="dxa"/>
          </w:tcPr>
          <w:p w14:paraId="0BC580D5"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2053</w:t>
            </w:r>
          </w:p>
        </w:tc>
        <w:tc>
          <w:tcPr>
            <w:tcW w:w="624" w:type="dxa"/>
            <w:vAlign w:val="bottom"/>
          </w:tcPr>
          <w:p w14:paraId="4109F655"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2.18</w:t>
            </w:r>
          </w:p>
        </w:tc>
        <w:tc>
          <w:tcPr>
            <w:tcW w:w="720" w:type="dxa"/>
            <w:vAlign w:val="bottom"/>
          </w:tcPr>
          <w:p w14:paraId="363BE7FB"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59.82</w:t>
            </w:r>
          </w:p>
        </w:tc>
        <w:tc>
          <w:tcPr>
            <w:tcW w:w="774" w:type="dxa"/>
            <w:vAlign w:val="bottom"/>
          </w:tcPr>
          <w:p w14:paraId="333F5E81"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186.15</w:t>
            </w:r>
          </w:p>
        </w:tc>
      </w:tr>
      <w:tr w:rsidR="001C0B42" w:rsidRPr="00BB4565" w14:paraId="44BA9507" w14:textId="77777777" w:rsidTr="00735D96">
        <w:trPr>
          <w:trHeight w:hRule="exact" w:val="284"/>
          <w:jc w:val="center"/>
        </w:trPr>
        <w:tc>
          <w:tcPr>
            <w:tcW w:w="622" w:type="dxa"/>
          </w:tcPr>
          <w:p w14:paraId="5F8380B9"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2054</w:t>
            </w:r>
          </w:p>
        </w:tc>
        <w:tc>
          <w:tcPr>
            <w:tcW w:w="624" w:type="dxa"/>
            <w:vAlign w:val="bottom"/>
          </w:tcPr>
          <w:p w14:paraId="53369D6D"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2.09</w:t>
            </w:r>
          </w:p>
        </w:tc>
        <w:tc>
          <w:tcPr>
            <w:tcW w:w="720" w:type="dxa"/>
            <w:vAlign w:val="bottom"/>
          </w:tcPr>
          <w:p w14:paraId="714239B5"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57.53</w:t>
            </w:r>
          </w:p>
        </w:tc>
        <w:tc>
          <w:tcPr>
            <w:tcW w:w="774" w:type="dxa"/>
            <w:vAlign w:val="bottom"/>
          </w:tcPr>
          <w:p w14:paraId="14ACD02A"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179.03</w:t>
            </w:r>
          </w:p>
        </w:tc>
      </w:tr>
      <w:tr w:rsidR="001C0B42" w:rsidRPr="00BB4565" w14:paraId="1944558D" w14:textId="77777777" w:rsidTr="00735D96">
        <w:trPr>
          <w:trHeight w:hRule="exact" w:val="284"/>
          <w:jc w:val="center"/>
        </w:trPr>
        <w:tc>
          <w:tcPr>
            <w:tcW w:w="622" w:type="dxa"/>
          </w:tcPr>
          <w:p w14:paraId="44F4091B"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2055</w:t>
            </w:r>
          </w:p>
        </w:tc>
        <w:tc>
          <w:tcPr>
            <w:tcW w:w="624" w:type="dxa"/>
            <w:vAlign w:val="bottom"/>
          </w:tcPr>
          <w:p w14:paraId="31DD1E21"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2.01</w:t>
            </w:r>
          </w:p>
        </w:tc>
        <w:tc>
          <w:tcPr>
            <w:tcW w:w="720" w:type="dxa"/>
            <w:vAlign w:val="bottom"/>
          </w:tcPr>
          <w:p w14:paraId="0AD9B67A"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55.13</w:t>
            </w:r>
          </w:p>
        </w:tc>
        <w:tc>
          <w:tcPr>
            <w:tcW w:w="774" w:type="dxa"/>
            <w:vAlign w:val="bottom"/>
          </w:tcPr>
          <w:p w14:paraId="5D3A1BAB"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171.54</w:t>
            </w:r>
          </w:p>
        </w:tc>
      </w:tr>
      <w:tr w:rsidR="001C0B42" w:rsidRPr="00BB4565" w14:paraId="29148648" w14:textId="77777777" w:rsidTr="00735D96">
        <w:trPr>
          <w:trHeight w:hRule="exact" w:val="284"/>
          <w:jc w:val="center"/>
        </w:trPr>
        <w:tc>
          <w:tcPr>
            <w:tcW w:w="622" w:type="dxa"/>
          </w:tcPr>
          <w:p w14:paraId="6D92C14F"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2056</w:t>
            </w:r>
          </w:p>
        </w:tc>
        <w:tc>
          <w:tcPr>
            <w:tcW w:w="624" w:type="dxa"/>
            <w:vAlign w:val="bottom"/>
          </w:tcPr>
          <w:p w14:paraId="0EA6C049"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1.91</w:t>
            </w:r>
          </w:p>
        </w:tc>
        <w:tc>
          <w:tcPr>
            <w:tcW w:w="720" w:type="dxa"/>
            <w:vAlign w:val="bottom"/>
          </w:tcPr>
          <w:p w14:paraId="2E2B674B"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52.62</w:t>
            </w:r>
          </w:p>
        </w:tc>
        <w:tc>
          <w:tcPr>
            <w:tcW w:w="774" w:type="dxa"/>
            <w:vAlign w:val="bottom"/>
          </w:tcPr>
          <w:p w14:paraId="5226799E"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163.73</w:t>
            </w:r>
          </w:p>
        </w:tc>
      </w:tr>
      <w:tr w:rsidR="001C0B42" w:rsidRPr="00BB4565" w14:paraId="623A907D" w14:textId="77777777" w:rsidTr="00735D96">
        <w:trPr>
          <w:trHeight w:hRule="exact" w:val="284"/>
          <w:jc w:val="center"/>
        </w:trPr>
        <w:tc>
          <w:tcPr>
            <w:tcW w:w="622" w:type="dxa"/>
          </w:tcPr>
          <w:p w14:paraId="13703081"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2057</w:t>
            </w:r>
          </w:p>
        </w:tc>
        <w:tc>
          <w:tcPr>
            <w:tcW w:w="624" w:type="dxa"/>
            <w:vAlign w:val="bottom"/>
          </w:tcPr>
          <w:p w14:paraId="79498FAE"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1.82</w:t>
            </w:r>
          </w:p>
        </w:tc>
        <w:tc>
          <w:tcPr>
            <w:tcW w:w="720" w:type="dxa"/>
            <w:vAlign w:val="bottom"/>
          </w:tcPr>
          <w:p w14:paraId="1619ED64"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49.99</w:t>
            </w:r>
          </w:p>
        </w:tc>
        <w:tc>
          <w:tcPr>
            <w:tcW w:w="774" w:type="dxa"/>
            <w:vAlign w:val="bottom"/>
          </w:tcPr>
          <w:p w14:paraId="7BB4CD72"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155.55</w:t>
            </w:r>
          </w:p>
        </w:tc>
      </w:tr>
      <w:tr w:rsidR="001C0B42" w:rsidRPr="00BB4565" w14:paraId="4AAA551F" w14:textId="77777777" w:rsidTr="00735D96">
        <w:trPr>
          <w:trHeight w:hRule="exact" w:val="284"/>
          <w:jc w:val="center"/>
        </w:trPr>
        <w:tc>
          <w:tcPr>
            <w:tcW w:w="622" w:type="dxa"/>
          </w:tcPr>
          <w:p w14:paraId="7BC5F1D5" w14:textId="77777777" w:rsidR="001C0B42" w:rsidRPr="00735D96" w:rsidRDefault="001C0B42" w:rsidP="001C0B42">
            <w:pPr>
              <w:suppressAutoHyphens w:val="0"/>
              <w:spacing w:before="0" w:after="0"/>
              <w:jc w:val="center"/>
              <w:rPr>
                <w:rFonts w:eastAsia="Times New Roman" w:cstheme="minorHAnsi"/>
                <w:color w:val="auto"/>
                <w:kern w:val="0"/>
                <w:lang w:eastAsia="en-AU"/>
              </w:rPr>
            </w:pPr>
            <w:r w:rsidRPr="00735D96">
              <w:rPr>
                <w:rFonts w:eastAsia="Times New Roman" w:cstheme="minorHAnsi"/>
                <w:color w:val="auto"/>
                <w:kern w:val="0"/>
                <w:lang w:eastAsia="en-AU"/>
              </w:rPr>
              <w:t>2058</w:t>
            </w:r>
          </w:p>
        </w:tc>
        <w:tc>
          <w:tcPr>
            <w:tcW w:w="624" w:type="dxa"/>
            <w:vAlign w:val="bottom"/>
          </w:tcPr>
          <w:p w14:paraId="0BF8E358"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1.72</w:t>
            </w:r>
          </w:p>
        </w:tc>
        <w:tc>
          <w:tcPr>
            <w:tcW w:w="720" w:type="dxa"/>
            <w:vAlign w:val="bottom"/>
          </w:tcPr>
          <w:p w14:paraId="66366229"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47.24</w:t>
            </w:r>
          </w:p>
        </w:tc>
        <w:tc>
          <w:tcPr>
            <w:tcW w:w="774" w:type="dxa"/>
            <w:vAlign w:val="bottom"/>
          </w:tcPr>
          <w:p w14:paraId="4F60ABC4" w14:textId="77777777" w:rsidR="001C0B42" w:rsidRPr="00735D96" w:rsidRDefault="001C0B42" w:rsidP="001C0B42">
            <w:pPr>
              <w:suppressAutoHyphens w:val="0"/>
              <w:spacing w:before="0" w:after="200" w:line="276" w:lineRule="auto"/>
              <w:jc w:val="center"/>
              <w:rPr>
                <w:rFonts w:eastAsia="Times New Roman" w:cstheme="minorHAnsi"/>
                <w:color w:val="auto"/>
                <w:kern w:val="0"/>
                <w:lang w:eastAsia="en-AU"/>
              </w:rPr>
            </w:pPr>
            <w:r w:rsidRPr="00735D96">
              <w:rPr>
                <w:rFonts w:eastAsia="Calibri" w:cstheme="minorHAnsi"/>
                <w:color w:val="auto"/>
                <w:kern w:val="0"/>
              </w:rPr>
              <w:t>146.99</w:t>
            </w:r>
          </w:p>
        </w:tc>
      </w:tr>
    </w:tbl>
    <w:p w14:paraId="7C35E05B" w14:textId="4E8BFBF3" w:rsidR="00ED009B" w:rsidRDefault="00ED009B" w:rsidP="00ED009B">
      <w:pPr>
        <w:pStyle w:val="ListParagraph"/>
        <w:numPr>
          <w:ilvl w:val="0"/>
          <w:numId w:val="21"/>
        </w:numPr>
        <w:rPr>
          <w:rFonts w:asciiTheme="minorHAnsi" w:hAnsiTheme="minorHAnsi" w:cstheme="minorHAnsi"/>
          <w:sz w:val="20"/>
          <w:szCs w:val="20"/>
          <w:lang w:val="en-US"/>
        </w:rPr>
        <w:sectPr w:rsidR="00ED009B" w:rsidSect="001C0B42">
          <w:pgSz w:w="11906" w:h="16838" w:code="9"/>
          <w:pgMar w:top="1021" w:right="1021" w:bottom="1021" w:left="1021" w:header="510" w:footer="567" w:gutter="0"/>
          <w:cols w:space="708"/>
          <w:docGrid w:linePitch="360"/>
        </w:sectPr>
      </w:pPr>
      <w:r w:rsidRPr="00ED009B">
        <w:rPr>
          <w:rFonts w:asciiTheme="minorHAnsi" w:hAnsiTheme="minorHAnsi" w:cstheme="minorHAnsi"/>
          <w:sz w:val="20"/>
          <w:szCs w:val="20"/>
          <w:lang w:val="en-US"/>
        </w:rPr>
        <w:t>From demographic information provided by MUARC (MUARC, 201</w:t>
      </w:r>
      <w:r>
        <w:rPr>
          <w:rFonts w:asciiTheme="minorHAnsi" w:hAnsiTheme="minorHAnsi" w:cstheme="minorHAnsi"/>
          <w:sz w:val="20"/>
          <w:szCs w:val="20"/>
          <w:lang w:val="en-US"/>
        </w:rPr>
        <w:t>9</w:t>
      </w:r>
      <w:r w:rsidRPr="00ED009B">
        <w:rPr>
          <w:rFonts w:asciiTheme="minorHAnsi" w:hAnsiTheme="minorHAnsi" w:cstheme="minorHAnsi"/>
          <w:sz w:val="20"/>
          <w:szCs w:val="20"/>
          <w:lang w:val="en-US"/>
        </w:rPr>
        <w:t>) and the totals established in step 9, the typical age of a sensitive fatality was used to determine the cost to society due to loss of life according to the Willingness to Pay (WTP) method. The typical cost of a serious and minor injury was established using methods outlined in BITRE Report 102.</w:t>
      </w:r>
    </w:p>
    <w:p w14:paraId="07A34515" w14:textId="05383F4D" w:rsidR="00ED009B" w:rsidRDefault="00ED009B" w:rsidP="00ED009B">
      <w:pPr>
        <w:pStyle w:val="ListParagraph"/>
        <w:numPr>
          <w:ilvl w:val="0"/>
          <w:numId w:val="21"/>
        </w:numPr>
        <w:rPr>
          <w:rFonts w:asciiTheme="minorHAnsi" w:hAnsiTheme="minorHAnsi" w:cstheme="minorHAnsi"/>
          <w:sz w:val="20"/>
          <w:szCs w:val="20"/>
          <w:lang w:val="en-US"/>
        </w:rPr>
      </w:pPr>
      <w:r>
        <w:rPr>
          <w:rFonts w:asciiTheme="minorHAnsi" w:hAnsiTheme="minorHAnsi" w:cstheme="minorHAnsi"/>
          <w:sz w:val="20"/>
          <w:szCs w:val="20"/>
          <w:lang w:val="en-US"/>
        </w:rPr>
        <w:lastRenderedPageBreak/>
        <w:t>Summary plot for Option 2 by year:</w:t>
      </w:r>
    </w:p>
    <w:p w14:paraId="59E10F37" w14:textId="50FC7B62" w:rsidR="00ED009B" w:rsidRPr="00ED009B" w:rsidRDefault="00ED009B" w:rsidP="00FE2D46">
      <w:pPr>
        <w:jc w:val="center"/>
        <w:rPr>
          <w:rFonts w:cstheme="minorHAnsi"/>
          <w:lang w:val="en-US"/>
        </w:rPr>
      </w:pPr>
      <w:r>
        <w:rPr>
          <w:rFonts w:cstheme="minorHAnsi"/>
          <w:noProof/>
          <w:lang w:eastAsia="en-AU"/>
        </w:rPr>
        <w:drawing>
          <wp:inline distT="0" distB="0" distL="0" distR="0" wp14:anchorId="4180381B" wp14:editId="7ADEDC42">
            <wp:extent cx="3908323" cy="2289927"/>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3916019" cy="2294436"/>
                    </a:xfrm>
                    <a:prstGeom prst="rect">
                      <a:avLst/>
                    </a:prstGeom>
                    <a:noFill/>
                  </pic:spPr>
                </pic:pic>
              </a:graphicData>
            </a:graphic>
          </wp:inline>
        </w:drawing>
      </w:r>
    </w:p>
    <w:p w14:paraId="03C3047B" w14:textId="77777777" w:rsidR="00ED009B" w:rsidRDefault="00ED009B" w:rsidP="00B04B1E">
      <w:pPr>
        <w:rPr>
          <w:lang w:val="x-none"/>
        </w:rPr>
      </w:pPr>
    </w:p>
    <w:p w14:paraId="28F441E7" w14:textId="77777777" w:rsidR="00CB0804" w:rsidRPr="00CB0804" w:rsidRDefault="00CB0804">
      <w:pPr>
        <w:rPr>
          <w:lang w:val="x-none"/>
        </w:rPr>
        <w:sectPr w:rsidR="00CB0804" w:rsidRPr="00CB0804" w:rsidSect="001C0B42">
          <w:pgSz w:w="11906" w:h="16838" w:code="9"/>
          <w:pgMar w:top="1021" w:right="1021" w:bottom="1021" w:left="1021" w:header="510" w:footer="567" w:gutter="0"/>
          <w:cols w:space="708"/>
          <w:docGrid w:linePitch="360"/>
        </w:sectPr>
      </w:pPr>
    </w:p>
    <w:p w14:paraId="3FA9B87C" w14:textId="77777777" w:rsidR="008A23AD" w:rsidRDefault="00762DE0" w:rsidP="008A23AD">
      <w:pPr>
        <w:pStyle w:val="AppendixHeading1"/>
      </w:pPr>
      <w:bookmarkStart w:id="62" w:name="_Toc100326822"/>
      <w:r>
        <w:lastRenderedPageBreak/>
        <w:t>Acronyms and abbreviations</w:t>
      </w:r>
      <w:bookmarkEnd w:id="62"/>
    </w:p>
    <w:p w14:paraId="6D174E9A" w14:textId="77777777" w:rsidR="00FD318B" w:rsidRPr="00735D96" w:rsidRDefault="00FD318B" w:rsidP="000B46D4">
      <w:pPr>
        <w:pStyle w:val="Glossarylist"/>
        <w:rPr>
          <w:rFonts w:asciiTheme="minorHAnsi" w:hAnsiTheme="minorHAnsi" w:cstheme="minorHAnsi"/>
          <w:sz w:val="20"/>
          <w:szCs w:val="20"/>
        </w:rPr>
      </w:pPr>
      <w:r w:rsidRPr="00735D96">
        <w:rPr>
          <w:rFonts w:asciiTheme="minorHAnsi" w:hAnsiTheme="minorHAnsi" w:cstheme="minorHAnsi"/>
          <w:sz w:val="20"/>
          <w:szCs w:val="20"/>
        </w:rPr>
        <w:t>ABS</w:t>
      </w:r>
      <w:r w:rsidRPr="00735D96">
        <w:rPr>
          <w:rFonts w:asciiTheme="minorHAnsi" w:hAnsiTheme="minorHAnsi" w:cstheme="minorHAnsi"/>
          <w:sz w:val="20"/>
          <w:szCs w:val="20"/>
        </w:rPr>
        <w:tab/>
        <w:t>Antilock Brake System</w:t>
      </w:r>
    </w:p>
    <w:p w14:paraId="322F56D1" w14:textId="77777777" w:rsidR="00FD318B" w:rsidRPr="00735D96" w:rsidRDefault="00FD318B" w:rsidP="00A9793F">
      <w:pPr>
        <w:pStyle w:val="Glossarylist"/>
        <w:rPr>
          <w:rFonts w:asciiTheme="minorHAnsi" w:hAnsiTheme="minorHAnsi" w:cstheme="minorHAnsi"/>
          <w:sz w:val="20"/>
          <w:szCs w:val="20"/>
        </w:rPr>
      </w:pPr>
      <w:r w:rsidRPr="00735D96">
        <w:rPr>
          <w:rFonts w:asciiTheme="minorHAnsi" w:hAnsiTheme="minorHAnsi" w:cstheme="minorHAnsi"/>
          <w:sz w:val="20"/>
          <w:szCs w:val="20"/>
        </w:rPr>
        <w:t>AEB/AEBS</w:t>
      </w:r>
      <w:r w:rsidRPr="00735D96">
        <w:rPr>
          <w:rFonts w:asciiTheme="minorHAnsi" w:hAnsiTheme="minorHAnsi" w:cstheme="minorHAnsi"/>
          <w:sz w:val="20"/>
          <w:szCs w:val="20"/>
        </w:rPr>
        <w:tab/>
        <w:t>Autonomous (Advanced) Emergency Braking (System)</w:t>
      </w:r>
    </w:p>
    <w:p w14:paraId="5D2266EB" w14:textId="77777777" w:rsidR="00C766D1" w:rsidRPr="00735D96" w:rsidRDefault="00C766D1" w:rsidP="007B6EB1">
      <w:pPr>
        <w:pStyle w:val="Glossarylist"/>
        <w:rPr>
          <w:rFonts w:asciiTheme="minorHAnsi" w:hAnsiTheme="minorHAnsi" w:cstheme="minorHAnsi"/>
          <w:sz w:val="20"/>
          <w:szCs w:val="20"/>
        </w:rPr>
      </w:pPr>
      <w:r w:rsidRPr="00735D96">
        <w:rPr>
          <w:rFonts w:asciiTheme="minorHAnsi" w:hAnsiTheme="minorHAnsi" w:cstheme="minorHAnsi"/>
          <w:sz w:val="20"/>
          <w:szCs w:val="20"/>
        </w:rPr>
        <w:t>ADAS</w:t>
      </w:r>
      <w:r w:rsidRPr="00735D96">
        <w:rPr>
          <w:rFonts w:asciiTheme="minorHAnsi" w:hAnsiTheme="minorHAnsi" w:cstheme="minorHAnsi"/>
          <w:sz w:val="20"/>
          <w:szCs w:val="20"/>
        </w:rPr>
        <w:tab/>
        <w:t>Advanced Driver Assistance Systems</w:t>
      </w:r>
    </w:p>
    <w:p w14:paraId="0BD31ACB" w14:textId="77777777" w:rsidR="00FD318B" w:rsidRPr="00735D96" w:rsidRDefault="00FD318B" w:rsidP="007B6EB1">
      <w:pPr>
        <w:pStyle w:val="Glossarylist"/>
        <w:rPr>
          <w:rFonts w:asciiTheme="minorHAnsi" w:hAnsiTheme="minorHAnsi" w:cstheme="minorHAnsi"/>
          <w:sz w:val="20"/>
          <w:szCs w:val="20"/>
        </w:rPr>
      </w:pPr>
      <w:r w:rsidRPr="00735D96">
        <w:rPr>
          <w:rFonts w:asciiTheme="minorHAnsi" w:hAnsiTheme="minorHAnsi" w:cstheme="minorHAnsi"/>
          <w:sz w:val="20"/>
          <w:szCs w:val="20"/>
        </w:rPr>
        <w:t>ADR</w:t>
      </w:r>
      <w:r w:rsidRPr="00735D96">
        <w:rPr>
          <w:rFonts w:asciiTheme="minorHAnsi" w:hAnsiTheme="minorHAnsi" w:cstheme="minorHAnsi"/>
          <w:sz w:val="20"/>
          <w:szCs w:val="20"/>
        </w:rPr>
        <w:tab/>
        <w:t>Australian Design Rule</w:t>
      </w:r>
    </w:p>
    <w:p w14:paraId="3CB793EB" w14:textId="77777777" w:rsidR="00FD318B" w:rsidRPr="00735D96" w:rsidRDefault="00FD318B" w:rsidP="006E37EF">
      <w:pPr>
        <w:pStyle w:val="Glossarylist"/>
        <w:rPr>
          <w:rFonts w:asciiTheme="minorHAnsi" w:hAnsiTheme="minorHAnsi" w:cstheme="minorHAnsi"/>
          <w:sz w:val="20"/>
          <w:szCs w:val="20"/>
        </w:rPr>
      </w:pPr>
      <w:r w:rsidRPr="00735D96">
        <w:rPr>
          <w:rFonts w:asciiTheme="minorHAnsi" w:hAnsiTheme="minorHAnsi" w:cstheme="minorHAnsi"/>
          <w:sz w:val="20"/>
          <w:szCs w:val="20"/>
        </w:rPr>
        <w:t>ALRTA</w:t>
      </w:r>
      <w:r w:rsidRPr="00735D96">
        <w:rPr>
          <w:rFonts w:asciiTheme="minorHAnsi" w:hAnsiTheme="minorHAnsi" w:cstheme="minorHAnsi"/>
          <w:sz w:val="20"/>
          <w:szCs w:val="20"/>
        </w:rPr>
        <w:tab/>
        <w:t>Australian Livestock and Rural Transporters Association</w:t>
      </w:r>
    </w:p>
    <w:p w14:paraId="69B284B9" w14:textId="77777777" w:rsidR="00FD318B" w:rsidRPr="00735D96" w:rsidRDefault="00FD318B" w:rsidP="006E37EF">
      <w:pPr>
        <w:pStyle w:val="Glossarylist"/>
        <w:rPr>
          <w:rFonts w:asciiTheme="minorHAnsi" w:hAnsiTheme="minorHAnsi" w:cstheme="minorHAnsi"/>
          <w:sz w:val="20"/>
          <w:szCs w:val="20"/>
        </w:rPr>
      </w:pPr>
      <w:r w:rsidRPr="00735D96">
        <w:rPr>
          <w:rFonts w:asciiTheme="minorHAnsi" w:hAnsiTheme="minorHAnsi" w:cstheme="minorHAnsi"/>
          <w:sz w:val="20"/>
          <w:szCs w:val="20"/>
        </w:rPr>
        <w:t>ARTSA</w:t>
      </w:r>
      <w:r w:rsidRPr="00735D96">
        <w:rPr>
          <w:rFonts w:asciiTheme="minorHAnsi" w:hAnsiTheme="minorHAnsi" w:cstheme="minorHAnsi"/>
          <w:sz w:val="20"/>
          <w:szCs w:val="20"/>
        </w:rPr>
        <w:tab/>
        <w:t>Australian Road Transport Suppliers Association</w:t>
      </w:r>
    </w:p>
    <w:p w14:paraId="009A8BB2" w14:textId="77777777" w:rsidR="00FD318B" w:rsidRPr="00735D96" w:rsidRDefault="00FD318B" w:rsidP="001A7411">
      <w:pPr>
        <w:pStyle w:val="Glossarylist"/>
        <w:rPr>
          <w:rFonts w:asciiTheme="minorHAnsi" w:hAnsiTheme="minorHAnsi" w:cstheme="minorHAnsi"/>
          <w:sz w:val="20"/>
          <w:szCs w:val="20"/>
        </w:rPr>
      </w:pPr>
      <w:r w:rsidRPr="00735D96">
        <w:rPr>
          <w:rFonts w:asciiTheme="minorHAnsi" w:hAnsiTheme="minorHAnsi" w:cstheme="minorHAnsi"/>
          <w:sz w:val="20"/>
          <w:szCs w:val="20"/>
        </w:rPr>
        <w:t>BAU</w:t>
      </w:r>
      <w:r w:rsidRPr="00735D96">
        <w:rPr>
          <w:rFonts w:asciiTheme="minorHAnsi" w:hAnsiTheme="minorHAnsi" w:cstheme="minorHAnsi"/>
          <w:sz w:val="20"/>
          <w:szCs w:val="20"/>
        </w:rPr>
        <w:tab/>
        <w:t>Business as Usual</w:t>
      </w:r>
    </w:p>
    <w:p w14:paraId="43EDE103" w14:textId="77777777" w:rsidR="00FD318B" w:rsidRPr="00735D96" w:rsidRDefault="00FD318B" w:rsidP="001A7411">
      <w:pPr>
        <w:pStyle w:val="Glossarylist"/>
        <w:rPr>
          <w:rFonts w:asciiTheme="minorHAnsi" w:hAnsiTheme="minorHAnsi" w:cstheme="minorHAnsi"/>
          <w:sz w:val="20"/>
          <w:szCs w:val="20"/>
        </w:rPr>
      </w:pPr>
      <w:r w:rsidRPr="00735D96">
        <w:rPr>
          <w:rFonts w:asciiTheme="minorHAnsi" w:hAnsiTheme="minorHAnsi" w:cstheme="minorHAnsi"/>
          <w:sz w:val="20"/>
          <w:szCs w:val="20"/>
        </w:rPr>
        <w:t>BCR</w:t>
      </w:r>
      <w:r w:rsidRPr="00735D96">
        <w:rPr>
          <w:rFonts w:asciiTheme="minorHAnsi" w:hAnsiTheme="minorHAnsi" w:cstheme="minorHAnsi"/>
          <w:sz w:val="20"/>
          <w:szCs w:val="20"/>
        </w:rPr>
        <w:tab/>
        <w:t>Benefit-Cost Ratio</w:t>
      </w:r>
    </w:p>
    <w:p w14:paraId="17DE1685" w14:textId="77777777" w:rsidR="00FD318B" w:rsidRPr="00735D96" w:rsidRDefault="00FD318B" w:rsidP="001A7411">
      <w:pPr>
        <w:pStyle w:val="Glossarylist"/>
        <w:rPr>
          <w:rFonts w:asciiTheme="minorHAnsi" w:hAnsiTheme="minorHAnsi" w:cstheme="minorHAnsi"/>
          <w:sz w:val="20"/>
          <w:szCs w:val="20"/>
        </w:rPr>
      </w:pPr>
      <w:r w:rsidRPr="00735D96">
        <w:rPr>
          <w:rFonts w:asciiTheme="minorHAnsi" w:hAnsiTheme="minorHAnsi" w:cstheme="minorHAnsi"/>
          <w:sz w:val="20"/>
          <w:szCs w:val="20"/>
        </w:rPr>
        <w:t>BIC</w:t>
      </w:r>
      <w:r w:rsidRPr="00735D96">
        <w:rPr>
          <w:rFonts w:asciiTheme="minorHAnsi" w:hAnsiTheme="minorHAnsi" w:cstheme="minorHAnsi"/>
          <w:sz w:val="20"/>
          <w:szCs w:val="20"/>
        </w:rPr>
        <w:tab/>
        <w:t>Bus Industry Confederation</w:t>
      </w:r>
    </w:p>
    <w:p w14:paraId="3E12B6DF" w14:textId="77777777" w:rsidR="00FD318B" w:rsidRPr="00735D96" w:rsidRDefault="00FD318B" w:rsidP="00BF05E5">
      <w:pPr>
        <w:pStyle w:val="Glossarylist"/>
        <w:rPr>
          <w:rFonts w:asciiTheme="minorHAnsi" w:hAnsiTheme="minorHAnsi" w:cstheme="minorHAnsi"/>
          <w:sz w:val="20"/>
          <w:szCs w:val="20"/>
        </w:rPr>
      </w:pPr>
      <w:r w:rsidRPr="00735D96">
        <w:rPr>
          <w:rFonts w:asciiTheme="minorHAnsi" w:hAnsiTheme="minorHAnsi" w:cstheme="minorHAnsi"/>
          <w:sz w:val="20"/>
          <w:szCs w:val="20"/>
        </w:rPr>
        <w:t>BITRE</w:t>
      </w:r>
      <w:r w:rsidRPr="00735D96">
        <w:rPr>
          <w:rFonts w:asciiTheme="minorHAnsi" w:hAnsiTheme="minorHAnsi" w:cstheme="minorHAnsi"/>
          <w:sz w:val="20"/>
          <w:szCs w:val="20"/>
        </w:rPr>
        <w:tab/>
        <w:t>Bureau of Infrastructure, Transport and Regional Economics</w:t>
      </w:r>
    </w:p>
    <w:p w14:paraId="6EFE5895" w14:textId="77777777" w:rsidR="00B410E5" w:rsidRPr="00735D96" w:rsidRDefault="00B410E5" w:rsidP="00BF05E5">
      <w:pPr>
        <w:pStyle w:val="Glossarylist"/>
        <w:rPr>
          <w:rFonts w:asciiTheme="minorHAnsi" w:hAnsiTheme="minorHAnsi" w:cstheme="minorHAnsi"/>
          <w:sz w:val="20"/>
          <w:szCs w:val="20"/>
        </w:rPr>
      </w:pPr>
      <w:r w:rsidRPr="00735D96">
        <w:rPr>
          <w:rFonts w:asciiTheme="minorHAnsi" w:hAnsiTheme="minorHAnsi" w:cstheme="minorHAnsi"/>
          <w:sz w:val="20"/>
          <w:szCs w:val="20"/>
        </w:rPr>
        <w:t>BSW</w:t>
      </w:r>
      <w:r w:rsidRPr="00735D96">
        <w:rPr>
          <w:rFonts w:asciiTheme="minorHAnsi" w:hAnsiTheme="minorHAnsi" w:cstheme="minorHAnsi"/>
          <w:sz w:val="20"/>
          <w:szCs w:val="20"/>
        </w:rPr>
        <w:tab/>
        <w:t>Blind Spot Warning</w:t>
      </w:r>
    </w:p>
    <w:p w14:paraId="2E994896" w14:textId="77777777" w:rsidR="00FD318B" w:rsidRPr="00735D96" w:rsidRDefault="00FD318B" w:rsidP="00BF05E5">
      <w:pPr>
        <w:pStyle w:val="Glossarylist"/>
        <w:rPr>
          <w:rFonts w:asciiTheme="minorHAnsi" w:hAnsiTheme="minorHAnsi" w:cstheme="minorHAnsi"/>
          <w:sz w:val="20"/>
          <w:szCs w:val="20"/>
        </w:rPr>
      </w:pPr>
      <w:r w:rsidRPr="00735D96">
        <w:rPr>
          <w:rFonts w:asciiTheme="minorHAnsi" w:hAnsiTheme="minorHAnsi" w:cstheme="minorHAnsi"/>
          <w:sz w:val="20"/>
          <w:szCs w:val="20"/>
        </w:rPr>
        <w:t>BTE</w:t>
      </w:r>
      <w:r w:rsidRPr="00735D96">
        <w:rPr>
          <w:rFonts w:asciiTheme="minorHAnsi" w:hAnsiTheme="minorHAnsi" w:cstheme="minorHAnsi"/>
          <w:sz w:val="20"/>
          <w:szCs w:val="20"/>
        </w:rPr>
        <w:tab/>
        <w:t>Bureau of Transport Economics (now BITRE)</w:t>
      </w:r>
    </w:p>
    <w:p w14:paraId="49827117" w14:textId="77777777" w:rsidR="00FD318B" w:rsidRPr="00735D96" w:rsidRDefault="00FD318B" w:rsidP="00FD17AC">
      <w:pPr>
        <w:pStyle w:val="Glossarylist"/>
        <w:rPr>
          <w:rFonts w:asciiTheme="minorHAnsi" w:hAnsiTheme="minorHAnsi" w:cstheme="minorHAnsi"/>
          <w:sz w:val="20"/>
          <w:szCs w:val="20"/>
        </w:rPr>
      </w:pPr>
      <w:r w:rsidRPr="00735D96">
        <w:rPr>
          <w:rFonts w:asciiTheme="minorHAnsi" w:hAnsiTheme="minorHAnsi" w:cstheme="minorHAnsi"/>
          <w:sz w:val="20"/>
          <w:szCs w:val="20"/>
        </w:rPr>
        <w:t>CCA</w:t>
      </w:r>
      <w:r w:rsidRPr="00735D96">
        <w:rPr>
          <w:rFonts w:asciiTheme="minorHAnsi" w:hAnsiTheme="minorHAnsi" w:cstheme="minorHAnsi"/>
          <w:sz w:val="20"/>
          <w:szCs w:val="20"/>
        </w:rPr>
        <w:tab/>
        <w:t>Competition and Consumer Act 2010</w:t>
      </w:r>
    </w:p>
    <w:p w14:paraId="2C396DF3" w14:textId="77777777" w:rsidR="00FD318B" w:rsidRPr="00735D96" w:rsidRDefault="00FD318B" w:rsidP="00FD17AC">
      <w:pPr>
        <w:pStyle w:val="Glossarylist"/>
        <w:rPr>
          <w:rFonts w:asciiTheme="minorHAnsi" w:hAnsiTheme="minorHAnsi" w:cstheme="minorHAnsi"/>
          <w:sz w:val="20"/>
          <w:szCs w:val="20"/>
        </w:rPr>
      </w:pPr>
      <w:r w:rsidRPr="00735D96">
        <w:rPr>
          <w:rFonts w:asciiTheme="minorHAnsi" w:hAnsiTheme="minorHAnsi" w:cstheme="minorHAnsi"/>
          <w:sz w:val="20"/>
          <w:szCs w:val="20"/>
        </w:rPr>
        <w:t>CEO</w:t>
      </w:r>
      <w:r w:rsidRPr="00735D96">
        <w:rPr>
          <w:rFonts w:asciiTheme="minorHAnsi" w:hAnsiTheme="minorHAnsi" w:cstheme="minorHAnsi"/>
          <w:sz w:val="20"/>
          <w:szCs w:val="20"/>
        </w:rPr>
        <w:tab/>
        <w:t>Chief Executive Officer</w:t>
      </w:r>
    </w:p>
    <w:p w14:paraId="323BE104" w14:textId="77777777" w:rsidR="00FD318B" w:rsidRPr="00735D96" w:rsidRDefault="00FD318B" w:rsidP="00FD17AC">
      <w:pPr>
        <w:pStyle w:val="Glossarylist"/>
        <w:rPr>
          <w:rFonts w:asciiTheme="minorHAnsi" w:hAnsiTheme="minorHAnsi" w:cstheme="minorHAnsi"/>
          <w:sz w:val="20"/>
          <w:szCs w:val="20"/>
        </w:rPr>
      </w:pPr>
      <w:proofErr w:type="spellStart"/>
      <w:r w:rsidRPr="00735D96">
        <w:rPr>
          <w:rFonts w:asciiTheme="minorHAnsi" w:hAnsiTheme="minorHAnsi" w:cstheme="minorHAnsi"/>
          <w:sz w:val="20"/>
          <w:szCs w:val="20"/>
        </w:rPr>
        <w:t>C’th</w:t>
      </w:r>
      <w:proofErr w:type="spellEnd"/>
      <w:r w:rsidRPr="00735D96">
        <w:rPr>
          <w:rFonts w:asciiTheme="minorHAnsi" w:hAnsiTheme="minorHAnsi" w:cstheme="minorHAnsi"/>
          <w:sz w:val="20"/>
          <w:szCs w:val="20"/>
        </w:rPr>
        <w:tab/>
        <w:t>Commonwealth</w:t>
      </w:r>
    </w:p>
    <w:p w14:paraId="3E3412D9" w14:textId="77777777" w:rsidR="00FD318B" w:rsidRPr="00735D96" w:rsidRDefault="00FD318B" w:rsidP="00FD17AC">
      <w:pPr>
        <w:pStyle w:val="Glossarylist"/>
        <w:rPr>
          <w:rFonts w:asciiTheme="minorHAnsi" w:hAnsiTheme="minorHAnsi" w:cstheme="minorHAnsi"/>
          <w:sz w:val="20"/>
          <w:szCs w:val="20"/>
        </w:rPr>
      </w:pPr>
      <w:r w:rsidRPr="00735D96">
        <w:rPr>
          <w:rFonts w:asciiTheme="minorHAnsi" w:hAnsiTheme="minorHAnsi" w:cstheme="minorHAnsi"/>
          <w:sz w:val="20"/>
          <w:szCs w:val="20"/>
        </w:rPr>
        <w:t>CVIAA</w:t>
      </w:r>
      <w:r w:rsidRPr="00735D96">
        <w:rPr>
          <w:rFonts w:asciiTheme="minorHAnsi" w:hAnsiTheme="minorHAnsi" w:cstheme="minorHAnsi"/>
          <w:sz w:val="20"/>
          <w:szCs w:val="20"/>
        </w:rPr>
        <w:tab/>
        <w:t>Commercial Vehicle Industry Association Australia</w:t>
      </w:r>
    </w:p>
    <w:p w14:paraId="6EC3D1BE" w14:textId="77777777" w:rsidR="00FD318B" w:rsidRPr="00735D96" w:rsidRDefault="00FD318B" w:rsidP="00FD17AC">
      <w:pPr>
        <w:pStyle w:val="Glossarylist"/>
        <w:rPr>
          <w:rFonts w:asciiTheme="minorHAnsi" w:hAnsiTheme="minorHAnsi" w:cstheme="minorHAnsi"/>
          <w:sz w:val="20"/>
          <w:szCs w:val="20"/>
        </w:rPr>
      </w:pPr>
      <w:r w:rsidRPr="00735D96">
        <w:rPr>
          <w:rFonts w:asciiTheme="minorHAnsi" w:hAnsiTheme="minorHAnsi" w:cstheme="minorHAnsi"/>
          <w:sz w:val="20"/>
          <w:szCs w:val="20"/>
        </w:rPr>
        <w:t>EPA</w:t>
      </w:r>
      <w:r w:rsidRPr="00735D96">
        <w:rPr>
          <w:rFonts w:asciiTheme="minorHAnsi" w:hAnsiTheme="minorHAnsi" w:cstheme="minorHAnsi"/>
          <w:sz w:val="20"/>
          <w:szCs w:val="20"/>
        </w:rPr>
        <w:tab/>
        <w:t>Environment Protection Authority</w:t>
      </w:r>
    </w:p>
    <w:p w14:paraId="695247BA" w14:textId="77777777" w:rsidR="00FD318B" w:rsidRPr="00735D96" w:rsidRDefault="00FD318B" w:rsidP="00FD17AC">
      <w:pPr>
        <w:pStyle w:val="Glossarylist"/>
        <w:rPr>
          <w:rFonts w:asciiTheme="minorHAnsi" w:hAnsiTheme="minorHAnsi" w:cstheme="minorHAnsi"/>
          <w:sz w:val="20"/>
          <w:szCs w:val="20"/>
        </w:rPr>
      </w:pPr>
      <w:r w:rsidRPr="00735D96">
        <w:rPr>
          <w:rFonts w:asciiTheme="minorHAnsi" w:hAnsiTheme="minorHAnsi" w:cstheme="minorHAnsi"/>
          <w:sz w:val="20"/>
          <w:szCs w:val="20"/>
        </w:rPr>
        <w:t>ESC</w:t>
      </w:r>
      <w:r w:rsidRPr="00735D96">
        <w:rPr>
          <w:rFonts w:asciiTheme="minorHAnsi" w:hAnsiTheme="minorHAnsi" w:cstheme="minorHAnsi"/>
          <w:sz w:val="20"/>
          <w:szCs w:val="20"/>
        </w:rPr>
        <w:tab/>
        <w:t>Electronic Stability Control</w:t>
      </w:r>
    </w:p>
    <w:p w14:paraId="1496A561" w14:textId="77777777" w:rsidR="005E2E77" w:rsidRPr="00735D96" w:rsidRDefault="005E2E77" w:rsidP="00FD17AC">
      <w:pPr>
        <w:pStyle w:val="Glossarylist"/>
        <w:rPr>
          <w:rFonts w:asciiTheme="minorHAnsi" w:hAnsiTheme="minorHAnsi" w:cstheme="minorHAnsi"/>
          <w:sz w:val="20"/>
          <w:szCs w:val="20"/>
        </w:rPr>
      </w:pPr>
      <w:r w:rsidRPr="00735D96">
        <w:rPr>
          <w:rFonts w:asciiTheme="minorHAnsi" w:hAnsiTheme="minorHAnsi" w:cstheme="minorHAnsi"/>
          <w:sz w:val="20"/>
          <w:szCs w:val="20"/>
        </w:rPr>
        <w:t>EU GSR</w:t>
      </w:r>
      <w:r w:rsidRPr="00735D96">
        <w:rPr>
          <w:rFonts w:asciiTheme="minorHAnsi" w:hAnsiTheme="minorHAnsi" w:cstheme="minorHAnsi"/>
          <w:sz w:val="20"/>
          <w:szCs w:val="20"/>
        </w:rPr>
        <w:tab/>
        <w:t>European Union General Safety Regulation</w:t>
      </w:r>
    </w:p>
    <w:p w14:paraId="725348E9" w14:textId="77777777" w:rsidR="00B410E5" w:rsidRPr="00735D96" w:rsidRDefault="00B410E5" w:rsidP="00FD17AC">
      <w:pPr>
        <w:pStyle w:val="Glossarylist"/>
        <w:rPr>
          <w:rFonts w:asciiTheme="minorHAnsi" w:hAnsiTheme="minorHAnsi" w:cstheme="minorHAnsi"/>
          <w:sz w:val="20"/>
          <w:szCs w:val="20"/>
        </w:rPr>
      </w:pPr>
      <w:r w:rsidRPr="00735D96">
        <w:rPr>
          <w:rFonts w:asciiTheme="minorHAnsi" w:hAnsiTheme="minorHAnsi" w:cstheme="minorHAnsi"/>
          <w:sz w:val="20"/>
          <w:szCs w:val="20"/>
        </w:rPr>
        <w:t>FCW</w:t>
      </w:r>
      <w:r w:rsidRPr="00735D96">
        <w:rPr>
          <w:rFonts w:asciiTheme="minorHAnsi" w:hAnsiTheme="minorHAnsi" w:cstheme="minorHAnsi"/>
          <w:sz w:val="20"/>
          <w:szCs w:val="20"/>
        </w:rPr>
        <w:tab/>
        <w:t>Forward Collision Warning</w:t>
      </w:r>
    </w:p>
    <w:p w14:paraId="00210836" w14:textId="77777777" w:rsidR="00FD318B" w:rsidRPr="00735D96" w:rsidRDefault="00FD318B" w:rsidP="00FF46B0">
      <w:pPr>
        <w:pStyle w:val="Glossarylist"/>
        <w:rPr>
          <w:rFonts w:asciiTheme="minorHAnsi" w:hAnsiTheme="minorHAnsi" w:cstheme="minorHAnsi"/>
          <w:sz w:val="20"/>
          <w:szCs w:val="20"/>
        </w:rPr>
      </w:pPr>
      <w:r w:rsidRPr="00735D96">
        <w:rPr>
          <w:rFonts w:asciiTheme="minorHAnsi" w:hAnsiTheme="minorHAnsi" w:cstheme="minorHAnsi"/>
          <w:sz w:val="20"/>
          <w:szCs w:val="20"/>
        </w:rPr>
        <w:t>FMVSS</w:t>
      </w:r>
      <w:r w:rsidRPr="00735D96">
        <w:rPr>
          <w:rFonts w:asciiTheme="minorHAnsi" w:hAnsiTheme="minorHAnsi" w:cstheme="minorHAnsi"/>
          <w:sz w:val="20"/>
          <w:szCs w:val="20"/>
        </w:rPr>
        <w:tab/>
        <w:t>Federal Motor Vehicle Safety Standard</w:t>
      </w:r>
    </w:p>
    <w:p w14:paraId="0E44B2F2" w14:textId="77777777" w:rsidR="00FD318B" w:rsidRPr="00735D96" w:rsidRDefault="00FD318B" w:rsidP="00583199">
      <w:pPr>
        <w:pStyle w:val="Glossarylist"/>
        <w:rPr>
          <w:rFonts w:asciiTheme="minorHAnsi" w:hAnsiTheme="minorHAnsi" w:cstheme="minorHAnsi"/>
          <w:sz w:val="20"/>
          <w:szCs w:val="20"/>
        </w:rPr>
      </w:pPr>
      <w:r w:rsidRPr="00735D96">
        <w:rPr>
          <w:rFonts w:asciiTheme="minorHAnsi" w:hAnsiTheme="minorHAnsi" w:cstheme="minorHAnsi"/>
          <w:sz w:val="20"/>
          <w:szCs w:val="20"/>
        </w:rPr>
        <w:t>GVM</w:t>
      </w:r>
      <w:r w:rsidRPr="00735D96">
        <w:rPr>
          <w:rFonts w:asciiTheme="minorHAnsi" w:hAnsiTheme="minorHAnsi" w:cstheme="minorHAnsi"/>
          <w:sz w:val="20"/>
          <w:szCs w:val="20"/>
        </w:rPr>
        <w:tab/>
        <w:t>Gross Vehicle Mass</w:t>
      </w:r>
    </w:p>
    <w:p w14:paraId="7C91B1A6" w14:textId="77777777" w:rsidR="00A13FC1" w:rsidRPr="00735D96" w:rsidRDefault="00A13FC1" w:rsidP="00583199">
      <w:pPr>
        <w:pStyle w:val="Glossarylist"/>
        <w:rPr>
          <w:rFonts w:asciiTheme="minorHAnsi" w:hAnsiTheme="minorHAnsi" w:cstheme="minorHAnsi"/>
          <w:sz w:val="20"/>
          <w:szCs w:val="20"/>
        </w:rPr>
      </w:pPr>
      <w:r w:rsidRPr="00735D96">
        <w:rPr>
          <w:rFonts w:asciiTheme="minorHAnsi" w:hAnsiTheme="minorHAnsi" w:cstheme="minorHAnsi"/>
          <w:sz w:val="20"/>
          <w:szCs w:val="20"/>
        </w:rPr>
        <w:t>ISA</w:t>
      </w:r>
      <w:r w:rsidRPr="00735D96">
        <w:rPr>
          <w:rFonts w:asciiTheme="minorHAnsi" w:hAnsiTheme="minorHAnsi" w:cstheme="minorHAnsi"/>
          <w:sz w:val="20"/>
          <w:szCs w:val="20"/>
        </w:rPr>
        <w:tab/>
        <w:t>Intelligent Speed Assist</w:t>
      </w:r>
    </w:p>
    <w:p w14:paraId="4679A105" w14:textId="1E4AE637" w:rsidR="0098344D" w:rsidRPr="00735D96" w:rsidRDefault="0098344D" w:rsidP="00990E26">
      <w:pPr>
        <w:pStyle w:val="Glossarylist"/>
        <w:rPr>
          <w:rFonts w:asciiTheme="minorHAnsi" w:hAnsiTheme="minorHAnsi" w:cstheme="minorHAnsi"/>
          <w:sz w:val="20"/>
          <w:szCs w:val="20"/>
        </w:rPr>
      </w:pPr>
      <w:r w:rsidRPr="00735D96">
        <w:rPr>
          <w:rFonts w:asciiTheme="minorHAnsi" w:hAnsiTheme="minorHAnsi" w:cstheme="minorHAnsi"/>
          <w:sz w:val="20"/>
          <w:szCs w:val="20"/>
        </w:rPr>
        <w:t>ITMM</w:t>
      </w:r>
      <w:r w:rsidRPr="00735D96">
        <w:rPr>
          <w:rFonts w:asciiTheme="minorHAnsi" w:hAnsiTheme="minorHAnsi" w:cstheme="minorHAnsi"/>
          <w:sz w:val="20"/>
          <w:szCs w:val="20"/>
        </w:rPr>
        <w:tab/>
        <w:t>Infrastructure and Transport Ministers Meeting</w:t>
      </w:r>
    </w:p>
    <w:p w14:paraId="57776EA8" w14:textId="1A3AD9A1" w:rsidR="0098344D" w:rsidRPr="00735D96" w:rsidRDefault="0098344D" w:rsidP="00BB4565">
      <w:pPr>
        <w:pStyle w:val="Glossarylist"/>
        <w:rPr>
          <w:rFonts w:asciiTheme="minorHAnsi" w:hAnsiTheme="minorHAnsi" w:cstheme="minorHAnsi"/>
          <w:sz w:val="20"/>
          <w:szCs w:val="20"/>
        </w:rPr>
      </w:pPr>
      <w:r w:rsidRPr="00735D96">
        <w:rPr>
          <w:rFonts w:asciiTheme="minorHAnsi" w:hAnsiTheme="minorHAnsi" w:cstheme="minorHAnsi"/>
          <w:sz w:val="20"/>
          <w:szCs w:val="20"/>
        </w:rPr>
        <w:t>ITSOC</w:t>
      </w:r>
      <w:r w:rsidRPr="00735D96">
        <w:rPr>
          <w:rFonts w:asciiTheme="minorHAnsi" w:hAnsiTheme="minorHAnsi" w:cstheme="minorHAnsi"/>
          <w:sz w:val="20"/>
          <w:szCs w:val="20"/>
        </w:rPr>
        <w:tab/>
        <w:t>Infrastructure and Transport Senior Officials’ Committee</w:t>
      </w:r>
    </w:p>
    <w:p w14:paraId="7C591D4D" w14:textId="6E1930F1" w:rsidR="00FD318B" w:rsidRPr="00735D96" w:rsidRDefault="00FD318B" w:rsidP="00BB4565">
      <w:pPr>
        <w:pStyle w:val="Glossarylist"/>
        <w:rPr>
          <w:rFonts w:asciiTheme="minorHAnsi" w:hAnsiTheme="minorHAnsi" w:cstheme="minorHAnsi"/>
          <w:sz w:val="20"/>
          <w:szCs w:val="20"/>
        </w:rPr>
      </w:pPr>
      <w:r w:rsidRPr="00735D96">
        <w:rPr>
          <w:rFonts w:asciiTheme="minorHAnsi" w:hAnsiTheme="minorHAnsi" w:cstheme="minorHAnsi"/>
          <w:sz w:val="20"/>
          <w:szCs w:val="20"/>
        </w:rPr>
        <w:t>LDWS</w:t>
      </w:r>
      <w:r w:rsidRPr="00735D96">
        <w:rPr>
          <w:rFonts w:asciiTheme="minorHAnsi" w:hAnsiTheme="minorHAnsi" w:cstheme="minorHAnsi"/>
          <w:sz w:val="20"/>
          <w:szCs w:val="20"/>
        </w:rPr>
        <w:tab/>
        <w:t>Lane Departure Warning System</w:t>
      </w:r>
    </w:p>
    <w:p w14:paraId="01C609E3" w14:textId="77777777" w:rsidR="00A13FC1" w:rsidRPr="00735D96" w:rsidRDefault="00A13FC1" w:rsidP="00BB4565">
      <w:pPr>
        <w:pStyle w:val="Glossarylist"/>
        <w:rPr>
          <w:rFonts w:asciiTheme="minorHAnsi" w:hAnsiTheme="minorHAnsi" w:cstheme="minorHAnsi"/>
          <w:sz w:val="20"/>
          <w:szCs w:val="20"/>
        </w:rPr>
      </w:pPr>
      <w:r w:rsidRPr="00735D96">
        <w:rPr>
          <w:rFonts w:asciiTheme="minorHAnsi" w:hAnsiTheme="minorHAnsi" w:cstheme="minorHAnsi"/>
          <w:sz w:val="20"/>
          <w:szCs w:val="20"/>
        </w:rPr>
        <w:t>LKA</w:t>
      </w:r>
      <w:r w:rsidRPr="00735D96">
        <w:rPr>
          <w:rFonts w:asciiTheme="minorHAnsi" w:hAnsiTheme="minorHAnsi" w:cstheme="minorHAnsi"/>
          <w:sz w:val="20"/>
          <w:szCs w:val="20"/>
        </w:rPr>
        <w:tab/>
        <w:t>Lane Keep Assist</w:t>
      </w:r>
    </w:p>
    <w:p w14:paraId="25760722" w14:textId="77777777" w:rsidR="00FD318B" w:rsidRPr="00735D96" w:rsidRDefault="00FD318B" w:rsidP="00BB4565">
      <w:pPr>
        <w:pStyle w:val="Glossarylist"/>
        <w:rPr>
          <w:rFonts w:asciiTheme="minorHAnsi" w:hAnsiTheme="minorHAnsi" w:cstheme="minorHAnsi"/>
          <w:sz w:val="20"/>
          <w:szCs w:val="20"/>
        </w:rPr>
      </w:pPr>
      <w:r w:rsidRPr="00735D96">
        <w:rPr>
          <w:rFonts w:asciiTheme="minorHAnsi" w:hAnsiTheme="minorHAnsi" w:cstheme="minorHAnsi"/>
          <w:sz w:val="20"/>
          <w:szCs w:val="20"/>
        </w:rPr>
        <w:t>MUARC</w:t>
      </w:r>
      <w:r w:rsidRPr="00735D96">
        <w:rPr>
          <w:rFonts w:asciiTheme="minorHAnsi" w:hAnsiTheme="minorHAnsi" w:cstheme="minorHAnsi"/>
          <w:sz w:val="20"/>
          <w:szCs w:val="20"/>
        </w:rPr>
        <w:tab/>
        <w:t>Monash University Accident Research Centre</w:t>
      </w:r>
    </w:p>
    <w:p w14:paraId="3BFC69A3" w14:textId="77777777" w:rsidR="00FD318B" w:rsidRPr="00735D96" w:rsidRDefault="00FD318B" w:rsidP="00BB4565">
      <w:pPr>
        <w:pStyle w:val="Glossarylist"/>
        <w:rPr>
          <w:rFonts w:asciiTheme="minorHAnsi" w:hAnsiTheme="minorHAnsi" w:cstheme="minorHAnsi"/>
          <w:sz w:val="20"/>
          <w:szCs w:val="20"/>
        </w:rPr>
      </w:pPr>
      <w:r w:rsidRPr="00735D96">
        <w:rPr>
          <w:rFonts w:asciiTheme="minorHAnsi" w:hAnsiTheme="minorHAnsi" w:cstheme="minorHAnsi"/>
          <w:sz w:val="20"/>
          <w:szCs w:val="20"/>
        </w:rPr>
        <w:t>MVSA</w:t>
      </w:r>
      <w:r w:rsidRPr="00735D96">
        <w:rPr>
          <w:rFonts w:asciiTheme="minorHAnsi" w:hAnsiTheme="minorHAnsi" w:cstheme="minorHAnsi"/>
          <w:sz w:val="20"/>
          <w:szCs w:val="20"/>
        </w:rPr>
        <w:tab/>
        <w:t>Motor Vehicle Standards Act 1989</w:t>
      </w:r>
    </w:p>
    <w:p w14:paraId="5D6D6B3A" w14:textId="77777777" w:rsidR="00FD318B" w:rsidRPr="00735D96" w:rsidRDefault="00FD318B" w:rsidP="00BB4565">
      <w:pPr>
        <w:pStyle w:val="Glossarylist"/>
        <w:rPr>
          <w:rFonts w:asciiTheme="minorHAnsi" w:hAnsiTheme="minorHAnsi" w:cstheme="minorHAnsi"/>
          <w:sz w:val="20"/>
          <w:szCs w:val="20"/>
        </w:rPr>
      </w:pPr>
      <w:r w:rsidRPr="00735D96">
        <w:rPr>
          <w:rFonts w:asciiTheme="minorHAnsi" w:hAnsiTheme="minorHAnsi" w:cstheme="minorHAnsi"/>
          <w:sz w:val="20"/>
          <w:szCs w:val="20"/>
        </w:rPr>
        <w:t>NHTSA</w:t>
      </w:r>
      <w:r w:rsidRPr="00735D96">
        <w:rPr>
          <w:rFonts w:asciiTheme="minorHAnsi" w:hAnsiTheme="minorHAnsi" w:cstheme="minorHAnsi"/>
          <w:sz w:val="20"/>
          <w:szCs w:val="20"/>
        </w:rPr>
        <w:tab/>
        <w:t>National Highway Traffic Safety Administration</w:t>
      </w:r>
    </w:p>
    <w:p w14:paraId="49B7882E" w14:textId="77777777" w:rsidR="00FD318B" w:rsidRPr="00735D96" w:rsidRDefault="00FD318B" w:rsidP="00BB4565">
      <w:pPr>
        <w:pStyle w:val="Glossarylist"/>
        <w:rPr>
          <w:rFonts w:asciiTheme="minorHAnsi" w:hAnsiTheme="minorHAnsi" w:cstheme="minorHAnsi"/>
          <w:sz w:val="20"/>
          <w:szCs w:val="20"/>
        </w:rPr>
      </w:pPr>
      <w:r w:rsidRPr="00735D96">
        <w:rPr>
          <w:rFonts w:asciiTheme="minorHAnsi" w:hAnsiTheme="minorHAnsi" w:cstheme="minorHAnsi"/>
          <w:sz w:val="20"/>
          <w:szCs w:val="20"/>
        </w:rPr>
        <w:t>NPV</w:t>
      </w:r>
      <w:r w:rsidRPr="00735D96">
        <w:rPr>
          <w:rFonts w:asciiTheme="minorHAnsi" w:hAnsiTheme="minorHAnsi" w:cstheme="minorHAnsi"/>
          <w:sz w:val="20"/>
          <w:szCs w:val="20"/>
        </w:rPr>
        <w:tab/>
        <w:t>Net Present Value</w:t>
      </w:r>
    </w:p>
    <w:p w14:paraId="20F02D12" w14:textId="77777777" w:rsidR="00FD318B" w:rsidRPr="00735D96" w:rsidRDefault="00FD318B" w:rsidP="00BB4565">
      <w:pPr>
        <w:pStyle w:val="Glossarylist"/>
        <w:rPr>
          <w:rFonts w:asciiTheme="minorHAnsi" w:hAnsiTheme="minorHAnsi" w:cstheme="minorHAnsi"/>
          <w:sz w:val="20"/>
          <w:szCs w:val="20"/>
        </w:rPr>
      </w:pPr>
      <w:r w:rsidRPr="00735D96">
        <w:rPr>
          <w:rFonts w:asciiTheme="minorHAnsi" w:hAnsiTheme="minorHAnsi" w:cstheme="minorHAnsi"/>
          <w:sz w:val="20"/>
          <w:szCs w:val="20"/>
        </w:rPr>
        <w:t>NRSS</w:t>
      </w:r>
      <w:r w:rsidRPr="00735D96">
        <w:rPr>
          <w:rFonts w:asciiTheme="minorHAnsi" w:hAnsiTheme="minorHAnsi" w:cstheme="minorHAnsi"/>
          <w:sz w:val="20"/>
          <w:szCs w:val="20"/>
        </w:rPr>
        <w:tab/>
        <w:t>National Road Safety Strategy 2021-2030</w:t>
      </w:r>
    </w:p>
    <w:p w14:paraId="38FDD5A5" w14:textId="77777777" w:rsidR="00FD318B" w:rsidRPr="00735D96" w:rsidRDefault="00FD318B" w:rsidP="00BB4565">
      <w:pPr>
        <w:pStyle w:val="Glossarylist"/>
        <w:rPr>
          <w:rFonts w:asciiTheme="minorHAnsi" w:hAnsiTheme="minorHAnsi" w:cstheme="minorHAnsi"/>
          <w:sz w:val="20"/>
          <w:szCs w:val="20"/>
        </w:rPr>
      </w:pPr>
      <w:r w:rsidRPr="00735D96">
        <w:rPr>
          <w:rFonts w:asciiTheme="minorHAnsi" w:hAnsiTheme="minorHAnsi" w:cstheme="minorHAnsi"/>
          <w:sz w:val="20"/>
          <w:szCs w:val="20"/>
        </w:rPr>
        <w:t>NTARC</w:t>
      </w:r>
      <w:r w:rsidRPr="00735D96">
        <w:rPr>
          <w:rFonts w:asciiTheme="minorHAnsi" w:hAnsiTheme="minorHAnsi" w:cstheme="minorHAnsi"/>
          <w:sz w:val="20"/>
          <w:szCs w:val="20"/>
        </w:rPr>
        <w:tab/>
        <w:t>National Truck Accident Research Centre</w:t>
      </w:r>
    </w:p>
    <w:p w14:paraId="7CF9E711" w14:textId="77777777" w:rsidR="00FD318B" w:rsidRPr="00735D96" w:rsidRDefault="00FD318B" w:rsidP="00BB4565">
      <w:pPr>
        <w:pStyle w:val="Glossarylist"/>
        <w:rPr>
          <w:rFonts w:asciiTheme="minorHAnsi" w:hAnsiTheme="minorHAnsi" w:cstheme="minorHAnsi"/>
          <w:sz w:val="20"/>
          <w:szCs w:val="20"/>
        </w:rPr>
      </w:pPr>
      <w:r w:rsidRPr="00735D96">
        <w:rPr>
          <w:rFonts w:asciiTheme="minorHAnsi" w:hAnsiTheme="minorHAnsi" w:cstheme="minorHAnsi"/>
          <w:sz w:val="20"/>
          <w:szCs w:val="20"/>
        </w:rPr>
        <w:t>NTC</w:t>
      </w:r>
      <w:r w:rsidRPr="00735D96">
        <w:rPr>
          <w:rFonts w:asciiTheme="minorHAnsi" w:hAnsiTheme="minorHAnsi" w:cstheme="minorHAnsi"/>
          <w:sz w:val="20"/>
          <w:szCs w:val="20"/>
        </w:rPr>
        <w:tab/>
        <w:t>National Transport Commission</w:t>
      </w:r>
    </w:p>
    <w:p w14:paraId="1A2265FF" w14:textId="77777777" w:rsidR="00B410E5" w:rsidRPr="00735D96" w:rsidRDefault="00B410E5" w:rsidP="00BB4565">
      <w:pPr>
        <w:pStyle w:val="Glossarylist"/>
        <w:rPr>
          <w:rFonts w:asciiTheme="minorHAnsi" w:hAnsiTheme="minorHAnsi" w:cstheme="minorHAnsi"/>
          <w:sz w:val="20"/>
          <w:szCs w:val="20"/>
        </w:rPr>
      </w:pPr>
      <w:r w:rsidRPr="00735D96">
        <w:rPr>
          <w:rFonts w:asciiTheme="minorHAnsi" w:hAnsiTheme="minorHAnsi" w:cstheme="minorHAnsi"/>
          <w:sz w:val="20"/>
          <w:szCs w:val="20"/>
        </w:rPr>
        <w:t>OEM</w:t>
      </w:r>
      <w:r w:rsidRPr="00735D96">
        <w:rPr>
          <w:rFonts w:asciiTheme="minorHAnsi" w:hAnsiTheme="minorHAnsi" w:cstheme="minorHAnsi"/>
          <w:sz w:val="20"/>
          <w:szCs w:val="20"/>
        </w:rPr>
        <w:tab/>
        <w:t>Original Equipment Manufacturer</w:t>
      </w:r>
    </w:p>
    <w:p w14:paraId="34AFB3FD" w14:textId="77777777" w:rsidR="00FD318B" w:rsidRPr="00735D96" w:rsidRDefault="00FD318B" w:rsidP="00BB4565">
      <w:pPr>
        <w:pStyle w:val="Glossarylist"/>
        <w:rPr>
          <w:rFonts w:asciiTheme="minorHAnsi" w:hAnsiTheme="minorHAnsi" w:cstheme="minorHAnsi"/>
          <w:sz w:val="20"/>
          <w:szCs w:val="20"/>
        </w:rPr>
      </w:pPr>
      <w:r w:rsidRPr="00735D96">
        <w:rPr>
          <w:rFonts w:asciiTheme="minorHAnsi" w:hAnsiTheme="minorHAnsi" w:cstheme="minorHAnsi"/>
          <w:sz w:val="20"/>
          <w:szCs w:val="20"/>
        </w:rPr>
        <w:t>OBPR</w:t>
      </w:r>
      <w:r w:rsidRPr="00735D96">
        <w:rPr>
          <w:rFonts w:asciiTheme="minorHAnsi" w:hAnsiTheme="minorHAnsi" w:cstheme="minorHAnsi"/>
          <w:sz w:val="20"/>
          <w:szCs w:val="20"/>
        </w:rPr>
        <w:tab/>
        <w:t>Office of Best Practice Regulation</w:t>
      </w:r>
    </w:p>
    <w:p w14:paraId="5398CE45" w14:textId="77777777" w:rsidR="00C766D1" w:rsidRPr="00735D96" w:rsidRDefault="00C766D1" w:rsidP="00BB4565">
      <w:pPr>
        <w:pStyle w:val="Glossarylist"/>
        <w:rPr>
          <w:rFonts w:asciiTheme="minorHAnsi" w:hAnsiTheme="minorHAnsi" w:cstheme="minorHAnsi"/>
          <w:sz w:val="20"/>
          <w:szCs w:val="20"/>
        </w:rPr>
      </w:pPr>
      <w:r w:rsidRPr="00735D96">
        <w:rPr>
          <w:rFonts w:asciiTheme="minorHAnsi" w:hAnsiTheme="minorHAnsi" w:cstheme="minorHAnsi"/>
          <w:sz w:val="20"/>
          <w:szCs w:val="20"/>
        </w:rPr>
        <w:t>ORS</w:t>
      </w:r>
      <w:r w:rsidRPr="00735D96">
        <w:rPr>
          <w:rFonts w:asciiTheme="minorHAnsi" w:hAnsiTheme="minorHAnsi" w:cstheme="minorHAnsi"/>
          <w:sz w:val="20"/>
          <w:szCs w:val="20"/>
        </w:rPr>
        <w:tab/>
        <w:t>Office of Road Safety</w:t>
      </w:r>
    </w:p>
    <w:p w14:paraId="282E1358" w14:textId="77777777" w:rsidR="00FD318B" w:rsidRPr="00735D96" w:rsidRDefault="00FD318B" w:rsidP="00BB4565">
      <w:pPr>
        <w:pStyle w:val="Glossarylist"/>
        <w:rPr>
          <w:rFonts w:asciiTheme="minorHAnsi" w:hAnsiTheme="minorHAnsi" w:cstheme="minorHAnsi"/>
          <w:sz w:val="20"/>
          <w:szCs w:val="20"/>
        </w:rPr>
      </w:pPr>
      <w:r w:rsidRPr="00735D96">
        <w:rPr>
          <w:rFonts w:asciiTheme="minorHAnsi" w:hAnsiTheme="minorHAnsi" w:cstheme="minorHAnsi"/>
          <w:sz w:val="20"/>
          <w:szCs w:val="20"/>
        </w:rPr>
        <w:t>PBS</w:t>
      </w:r>
      <w:r w:rsidRPr="00735D96">
        <w:rPr>
          <w:rFonts w:asciiTheme="minorHAnsi" w:hAnsiTheme="minorHAnsi" w:cstheme="minorHAnsi"/>
          <w:sz w:val="20"/>
          <w:szCs w:val="20"/>
        </w:rPr>
        <w:tab/>
        <w:t>Performance Based Standards</w:t>
      </w:r>
    </w:p>
    <w:p w14:paraId="0AA8EE7D" w14:textId="77777777" w:rsidR="00FD318B" w:rsidRPr="00735D96" w:rsidRDefault="00FD318B" w:rsidP="00FD318B">
      <w:pPr>
        <w:pStyle w:val="Glossarylist"/>
        <w:rPr>
          <w:rFonts w:asciiTheme="minorHAnsi" w:hAnsiTheme="minorHAnsi" w:cstheme="minorHAnsi"/>
          <w:sz w:val="20"/>
          <w:szCs w:val="20"/>
        </w:rPr>
      </w:pPr>
      <w:r w:rsidRPr="00735D96">
        <w:rPr>
          <w:rFonts w:asciiTheme="minorHAnsi" w:hAnsiTheme="minorHAnsi" w:cstheme="minorHAnsi"/>
          <w:sz w:val="20"/>
          <w:szCs w:val="20"/>
        </w:rPr>
        <w:t>RBM</w:t>
      </w:r>
      <w:r w:rsidRPr="00735D96">
        <w:rPr>
          <w:rFonts w:asciiTheme="minorHAnsi" w:hAnsiTheme="minorHAnsi" w:cstheme="minorHAnsi"/>
          <w:sz w:val="20"/>
          <w:szCs w:val="20"/>
        </w:rPr>
        <w:tab/>
        <w:t>Regulatory Burden Measurement</w:t>
      </w:r>
    </w:p>
    <w:p w14:paraId="0DD1EAE2" w14:textId="77777777" w:rsidR="00FD318B" w:rsidRPr="00735D96" w:rsidRDefault="00FD318B" w:rsidP="00FD318B">
      <w:pPr>
        <w:pStyle w:val="Glossarylist"/>
        <w:rPr>
          <w:rFonts w:asciiTheme="minorHAnsi" w:hAnsiTheme="minorHAnsi" w:cstheme="minorHAnsi"/>
          <w:sz w:val="20"/>
          <w:szCs w:val="20"/>
        </w:rPr>
      </w:pPr>
      <w:r w:rsidRPr="00735D96">
        <w:rPr>
          <w:rFonts w:asciiTheme="minorHAnsi" w:hAnsiTheme="minorHAnsi" w:cstheme="minorHAnsi"/>
          <w:sz w:val="20"/>
          <w:szCs w:val="20"/>
        </w:rPr>
        <w:t>RIS</w:t>
      </w:r>
      <w:r w:rsidRPr="00735D96">
        <w:rPr>
          <w:rFonts w:asciiTheme="minorHAnsi" w:hAnsiTheme="minorHAnsi" w:cstheme="minorHAnsi"/>
          <w:sz w:val="20"/>
          <w:szCs w:val="20"/>
        </w:rPr>
        <w:tab/>
        <w:t>Regulation Impact Statement</w:t>
      </w:r>
    </w:p>
    <w:p w14:paraId="492C9FCA" w14:textId="77777777" w:rsidR="00FD318B" w:rsidRPr="00735D96" w:rsidRDefault="00FD318B" w:rsidP="00FD318B">
      <w:pPr>
        <w:pStyle w:val="Glossarylist"/>
        <w:rPr>
          <w:rFonts w:asciiTheme="minorHAnsi" w:hAnsiTheme="minorHAnsi" w:cstheme="minorHAnsi"/>
          <w:sz w:val="20"/>
          <w:szCs w:val="20"/>
        </w:rPr>
      </w:pPr>
      <w:r w:rsidRPr="00735D96">
        <w:rPr>
          <w:rFonts w:asciiTheme="minorHAnsi" w:hAnsiTheme="minorHAnsi" w:cstheme="minorHAnsi"/>
          <w:sz w:val="20"/>
          <w:szCs w:val="20"/>
        </w:rPr>
        <w:lastRenderedPageBreak/>
        <w:t>RSC</w:t>
      </w:r>
      <w:r w:rsidRPr="00735D96">
        <w:rPr>
          <w:rFonts w:asciiTheme="minorHAnsi" w:hAnsiTheme="minorHAnsi" w:cstheme="minorHAnsi"/>
          <w:sz w:val="20"/>
          <w:szCs w:val="20"/>
        </w:rPr>
        <w:tab/>
        <w:t>Roll Stability Control</w:t>
      </w:r>
    </w:p>
    <w:p w14:paraId="4FFAF15B" w14:textId="77777777" w:rsidR="00FD318B" w:rsidRPr="00735D96" w:rsidRDefault="00FD318B" w:rsidP="00FD318B">
      <w:pPr>
        <w:pStyle w:val="Glossarylist"/>
        <w:rPr>
          <w:rFonts w:asciiTheme="minorHAnsi" w:hAnsiTheme="minorHAnsi" w:cstheme="minorHAnsi"/>
          <w:sz w:val="20"/>
          <w:szCs w:val="20"/>
        </w:rPr>
      </w:pPr>
      <w:r w:rsidRPr="00735D96">
        <w:rPr>
          <w:rFonts w:asciiTheme="minorHAnsi" w:hAnsiTheme="minorHAnsi" w:cstheme="minorHAnsi"/>
          <w:sz w:val="20"/>
          <w:szCs w:val="20"/>
        </w:rPr>
        <w:t>RVSA</w:t>
      </w:r>
      <w:r w:rsidRPr="00735D96">
        <w:rPr>
          <w:rFonts w:asciiTheme="minorHAnsi" w:hAnsiTheme="minorHAnsi" w:cstheme="minorHAnsi"/>
          <w:sz w:val="20"/>
          <w:szCs w:val="20"/>
        </w:rPr>
        <w:tab/>
        <w:t>Road Vehicles Standards Act 2018</w:t>
      </w:r>
    </w:p>
    <w:p w14:paraId="690A1C41" w14:textId="77777777" w:rsidR="00FD318B" w:rsidRPr="00735D96" w:rsidRDefault="00FD318B" w:rsidP="00FD318B">
      <w:pPr>
        <w:pStyle w:val="Glossarylist"/>
        <w:rPr>
          <w:rFonts w:asciiTheme="minorHAnsi" w:hAnsiTheme="minorHAnsi" w:cstheme="minorHAnsi"/>
          <w:sz w:val="20"/>
          <w:szCs w:val="20"/>
        </w:rPr>
      </w:pPr>
      <w:r w:rsidRPr="00735D96">
        <w:rPr>
          <w:rFonts w:asciiTheme="minorHAnsi" w:hAnsiTheme="minorHAnsi" w:cstheme="minorHAnsi"/>
          <w:sz w:val="20"/>
          <w:szCs w:val="20"/>
        </w:rPr>
        <w:t>SCA</w:t>
      </w:r>
      <w:r w:rsidRPr="00735D96">
        <w:rPr>
          <w:rFonts w:asciiTheme="minorHAnsi" w:hAnsiTheme="minorHAnsi" w:cstheme="minorHAnsi"/>
          <w:sz w:val="20"/>
          <w:szCs w:val="20"/>
        </w:rPr>
        <w:tab/>
        <w:t xml:space="preserve">Side Curtain Airbag </w:t>
      </w:r>
    </w:p>
    <w:p w14:paraId="43EACE8B" w14:textId="77777777" w:rsidR="00FD318B" w:rsidRPr="00735D96" w:rsidRDefault="00FD318B" w:rsidP="00FD318B">
      <w:pPr>
        <w:pStyle w:val="Glossarylist"/>
        <w:rPr>
          <w:rFonts w:asciiTheme="minorHAnsi" w:hAnsiTheme="minorHAnsi" w:cstheme="minorHAnsi"/>
          <w:sz w:val="20"/>
          <w:szCs w:val="20"/>
        </w:rPr>
      </w:pPr>
      <w:r w:rsidRPr="00735D96">
        <w:rPr>
          <w:rFonts w:asciiTheme="minorHAnsi" w:hAnsiTheme="minorHAnsi" w:cstheme="minorHAnsi"/>
          <w:sz w:val="20"/>
          <w:szCs w:val="20"/>
        </w:rPr>
        <w:t>SPECTS</w:t>
      </w:r>
      <w:r w:rsidRPr="00735D96">
        <w:rPr>
          <w:rFonts w:asciiTheme="minorHAnsi" w:hAnsiTheme="minorHAnsi" w:cstheme="minorHAnsi"/>
          <w:sz w:val="20"/>
          <w:szCs w:val="20"/>
        </w:rPr>
        <w:tab/>
        <w:t>Safety, Productivity &amp; Environment Construction Transport Scheme</w:t>
      </w:r>
    </w:p>
    <w:p w14:paraId="220277AD" w14:textId="77777777" w:rsidR="00FD318B" w:rsidRPr="00735D96" w:rsidRDefault="00FD318B" w:rsidP="00FD318B">
      <w:pPr>
        <w:pStyle w:val="Glossarylist"/>
        <w:rPr>
          <w:rFonts w:asciiTheme="minorHAnsi" w:hAnsiTheme="minorHAnsi" w:cstheme="minorHAnsi"/>
          <w:sz w:val="20"/>
          <w:szCs w:val="20"/>
        </w:rPr>
      </w:pPr>
      <w:r w:rsidRPr="00735D96">
        <w:rPr>
          <w:rFonts w:asciiTheme="minorHAnsi" w:hAnsiTheme="minorHAnsi" w:cstheme="minorHAnsi"/>
          <w:sz w:val="20"/>
          <w:szCs w:val="20"/>
        </w:rPr>
        <w:t>SVSEG</w:t>
      </w:r>
      <w:r w:rsidRPr="00735D96">
        <w:rPr>
          <w:rFonts w:asciiTheme="minorHAnsi" w:hAnsiTheme="minorHAnsi" w:cstheme="minorHAnsi"/>
          <w:sz w:val="20"/>
          <w:szCs w:val="20"/>
        </w:rPr>
        <w:tab/>
        <w:t>Strategic Vehicle Safety and Environment Group</w:t>
      </w:r>
    </w:p>
    <w:p w14:paraId="53B5DEC5" w14:textId="77777777" w:rsidR="00FD318B" w:rsidRPr="00735D96" w:rsidRDefault="00FD318B" w:rsidP="00FD318B">
      <w:pPr>
        <w:pStyle w:val="Glossarylist"/>
        <w:rPr>
          <w:rFonts w:asciiTheme="minorHAnsi" w:hAnsiTheme="minorHAnsi" w:cstheme="minorHAnsi"/>
          <w:sz w:val="20"/>
          <w:szCs w:val="20"/>
        </w:rPr>
      </w:pPr>
      <w:proofErr w:type="spellStart"/>
      <w:r w:rsidRPr="00735D96">
        <w:rPr>
          <w:rFonts w:asciiTheme="minorHAnsi" w:hAnsiTheme="minorHAnsi" w:cstheme="minorHAnsi"/>
          <w:sz w:val="20"/>
          <w:szCs w:val="20"/>
        </w:rPr>
        <w:t>TfNSW</w:t>
      </w:r>
      <w:proofErr w:type="spellEnd"/>
      <w:r w:rsidRPr="00735D96">
        <w:rPr>
          <w:rFonts w:asciiTheme="minorHAnsi" w:hAnsiTheme="minorHAnsi" w:cstheme="minorHAnsi"/>
          <w:sz w:val="20"/>
          <w:szCs w:val="20"/>
        </w:rPr>
        <w:tab/>
        <w:t>Transport for New South Wales</w:t>
      </w:r>
    </w:p>
    <w:p w14:paraId="03300AE1" w14:textId="77777777" w:rsidR="00FD318B" w:rsidRPr="00735D96" w:rsidRDefault="00FD318B" w:rsidP="00FD318B">
      <w:pPr>
        <w:pStyle w:val="Glossarylist"/>
        <w:rPr>
          <w:rFonts w:asciiTheme="minorHAnsi" w:hAnsiTheme="minorHAnsi" w:cstheme="minorHAnsi"/>
          <w:sz w:val="20"/>
          <w:szCs w:val="20"/>
        </w:rPr>
      </w:pPr>
      <w:r w:rsidRPr="00735D96">
        <w:rPr>
          <w:rFonts w:asciiTheme="minorHAnsi" w:hAnsiTheme="minorHAnsi" w:cstheme="minorHAnsi"/>
          <w:sz w:val="20"/>
          <w:szCs w:val="20"/>
        </w:rPr>
        <w:t>TIC</w:t>
      </w:r>
      <w:r w:rsidRPr="00735D96">
        <w:rPr>
          <w:rFonts w:asciiTheme="minorHAnsi" w:hAnsiTheme="minorHAnsi" w:cstheme="minorHAnsi"/>
          <w:sz w:val="20"/>
          <w:szCs w:val="20"/>
        </w:rPr>
        <w:tab/>
        <w:t>Truck Industry Council</w:t>
      </w:r>
    </w:p>
    <w:p w14:paraId="651E0F03" w14:textId="77777777" w:rsidR="00FD318B" w:rsidRPr="00735D96" w:rsidRDefault="00FD318B" w:rsidP="00FD318B">
      <w:pPr>
        <w:pStyle w:val="Glossarylist"/>
        <w:rPr>
          <w:rFonts w:asciiTheme="minorHAnsi" w:hAnsiTheme="minorHAnsi" w:cstheme="minorHAnsi"/>
          <w:sz w:val="20"/>
          <w:szCs w:val="20"/>
        </w:rPr>
      </w:pPr>
      <w:r w:rsidRPr="00735D96">
        <w:rPr>
          <w:rFonts w:asciiTheme="minorHAnsi" w:hAnsiTheme="minorHAnsi" w:cstheme="minorHAnsi"/>
          <w:sz w:val="20"/>
          <w:szCs w:val="20"/>
        </w:rPr>
        <w:t>TISOC</w:t>
      </w:r>
      <w:r w:rsidRPr="00735D96">
        <w:rPr>
          <w:rFonts w:asciiTheme="minorHAnsi" w:hAnsiTheme="minorHAnsi" w:cstheme="minorHAnsi"/>
          <w:sz w:val="20"/>
          <w:szCs w:val="20"/>
        </w:rPr>
        <w:tab/>
        <w:t>Transport and Infrastructure Senior Officials’ Committee</w:t>
      </w:r>
    </w:p>
    <w:p w14:paraId="4D32C58D" w14:textId="77777777" w:rsidR="00FD318B" w:rsidRPr="00735D96" w:rsidRDefault="00FD318B" w:rsidP="00FD318B">
      <w:pPr>
        <w:pStyle w:val="Glossarylist"/>
        <w:rPr>
          <w:rFonts w:asciiTheme="minorHAnsi" w:hAnsiTheme="minorHAnsi" w:cstheme="minorHAnsi"/>
          <w:sz w:val="20"/>
          <w:szCs w:val="20"/>
        </w:rPr>
      </w:pPr>
      <w:r w:rsidRPr="00735D96">
        <w:rPr>
          <w:rFonts w:asciiTheme="minorHAnsi" w:hAnsiTheme="minorHAnsi" w:cstheme="minorHAnsi"/>
          <w:sz w:val="20"/>
          <w:szCs w:val="20"/>
        </w:rPr>
        <w:t>TLG</w:t>
      </w:r>
      <w:r w:rsidRPr="00735D96">
        <w:rPr>
          <w:rFonts w:asciiTheme="minorHAnsi" w:hAnsiTheme="minorHAnsi" w:cstheme="minorHAnsi"/>
          <w:sz w:val="20"/>
          <w:szCs w:val="20"/>
        </w:rPr>
        <w:tab/>
        <w:t>Technical Liaison Group</w:t>
      </w:r>
    </w:p>
    <w:p w14:paraId="2FD18C70" w14:textId="77777777" w:rsidR="00FD318B" w:rsidRPr="00735D96" w:rsidRDefault="00FD318B" w:rsidP="00FD318B">
      <w:pPr>
        <w:pStyle w:val="Glossarylist"/>
        <w:rPr>
          <w:rFonts w:asciiTheme="minorHAnsi" w:hAnsiTheme="minorHAnsi" w:cstheme="minorHAnsi"/>
          <w:sz w:val="20"/>
          <w:szCs w:val="20"/>
        </w:rPr>
      </w:pPr>
      <w:r w:rsidRPr="00735D96">
        <w:rPr>
          <w:rFonts w:asciiTheme="minorHAnsi" w:hAnsiTheme="minorHAnsi" w:cstheme="minorHAnsi"/>
          <w:sz w:val="20"/>
          <w:szCs w:val="20"/>
        </w:rPr>
        <w:t>UN</w:t>
      </w:r>
      <w:r w:rsidRPr="00735D96">
        <w:rPr>
          <w:rFonts w:asciiTheme="minorHAnsi" w:hAnsiTheme="minorHAnsi" w:cstheme="minorHAnsi"/>
          <w:sz w:val="20"/>
          <w:szCs w:val="20"/>
        </w:rPr>
        <w:tab/>
        <w:t>United Nations</w:t>
      </w:r>
    </w:p>
    <w:p w14:paraId="150572D7" w14:textId="77777777" w:rsidR="00FD318B" w:rsidRPr="00735D96" w:rsidRDefault="00FD318B" w:rsidP="00FD318B">
      <w:pPr>
        <w:pStyle w:val="Glossarylist"/>
        <w:rPr>
          <w:rFonts w:asciiTheme="minorHAnsi" w:hAnsiTheme="minorHAnsi" w:cstheme="minorHAnsi"/>
          <w:sz w:val="20"/>
          <w:szCs w:val="20"/>
        </w:rPr>
      </w:pPr>
      <w:r w:rsidRPr="00735D96">
        <w:rPr>
          <w:rFonts w:asciiTheme="minorHAnsi" w:hAnsiTheme="minorHAnsi" w:cstheme="minorHAnsi"/>
          <w:sz w:val="20"/>
          <w:szCs w:val="20"/>
        </w:rPr>
        <w:t>US</w:t>
      </w:r>
      <w:r w:rsidRPr="00735D96">
        <w:rPr>
          <w:rFonts w:asciiTheme="minorHAnsi" w:hAnsiTheme="minorHAnsi" w:cstheme="minorHAnsi"/>
          <w:sz w:val="20"/>
          <w:szCs w:val="20"/>
        </w:rPr>
        <w:tab/>
        <w:t>United States</w:t>
      </w:r>
    </w:p>
    <w:p w14:paraId="0D1366E5" w14:textId="77777777" w:rsidR="008278F8" w:rsidRPr="00735D96" w:rsidRDefault="00FD318B" w:rsidP="00D6429D">
      <w:pPr>
        <w:pStyle w:val="Glossarylist"/>
        <w:rPr>
          <w:rFonts w:asciiTheme="minorHAnsi" w:hAnsiTheme="minorHAnsi" w:cstheme="minorHAnsi"/>
          <w:sz w:val="20"/>
          <w:szCs w:val="20"/>
        </w:rPr>
      </w:pPr>
      <w:r w:rsidRPr="00735D96">
        <w:rPr>
          <w:rFonts w:asciiTheme="minorHAnsi" w:hAnsiTheme="minorHAnsi" w:cstheme="minorHAnsi"/>
          <w:sz w:val="20"/>
          <w:szCs w:val="20"/>
        </w:rPr>
        <w:t>WP.29</w:t>
      </w:r>
      <w:r w:rsidRPr="00735D96">
        <w:rPr>
          <w:rFonts w:asciiTheme="minorHAnsi" w:hAnsiTheme="minorHAnsi" w:cstheme="minorHAnsi"/>
          <w:sz w:val="20"/>
          <w:szCs w:val="20"/>
        </w:rPr>
        <w:tab/>
        <w:t>UN World Forum for the Harmonization of Vehicle Regulations</w:t>
      </w:r>
    </w:p>
    <w:p w14:paraId="3C5F08ED" w14:textId="77777777" w:rsidR="00D6429D" w:rsidRDefault="00D6429D" w:rsidP="008A23AD">
      <w:pPr>
        <w:rPr>
          <w:lang w:val="x-none"/>
        </w:rPr>
        <w:sectPr w:rsidR="00D6429D" w:rsidSect="00D87AD8">
          <w:pgSz w:w="11906" w:h="16838" w:code="9"/>
          <w:pgMar w:top="1021" w:right="1021" w:bottom="1021" w:left="1021" w:header="510" w:footer="567" w:gutter="0"/>
          <w:cols w:space="708"/>
          <w:docGrid w:linePitch="360"/>
        </w:sectPr>
      </w:pPr>
    </w:p>
    <w:p w14:paraId="24E64C9B" w14:textId="77777777" w:rsidR="00762DE0" w:rsidRDefault="00762DE0" w:rsidP="00762DE0">
      <w:pPr>
        <w:pStyle w:val="AppendixHeading1"/>
      </w:pPr>
      <w:bookmarkStart w:id="63" w:name="_Toc100326823"/>
      <w:r>
        <w:lastRenderedPageBreak/>
        <w:t>Glossary of terms</w:t>
      </w:r>
      <w:bookmarkEnd w:id="63"/>
    </w:p>
    <w:p w14:paraId="3215AE5A"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1958 Agreement</w:t>
      </w:r>
      <w:r w:rsidRPr="00944BFC">
        <w:rPr>
          <w:rFonts w:eastAsia="Calibri" w:cstheme="minorHAnsi"/>
          <w:color w:val="auto"/>
          <w:kern w:val="0"/>
        </w:rPr>
        <w:tab/>
        <w:t>UN Agreement Concerning the Adoption of Harmonized Technical United Nations Regulations for Wheeled Vehicles, Equipment and Parts which can be Fitted and/or be Used on Wheeled Vehicles and the Conditions for Reciprocal Recognition of Approvals Granted on the Basis of these United Nations Regulations, of March 1958.</w:t>
      </w:r>
    </w:p>
    <w:p w14:paraId="04CE7696"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1998 Agreement</w:t>
      </w:r>
      <w:r w:rsidRPr="00944BFC">
        <w:rPr>
          <w:rFonts w:eastAsia="Calibri" w:cstheme="minorHAnsi"/>
          <w:color w:val="auto"/>
          <w:kern w:val="0"/>
        </w:rPr>
        <w:tab/>
        <w:t>UN Agreement Concerning the Establishing of Global Technical Regulations for Wheeled Vehicles, Equipment and Parts which can be Fitted and/or be Used on Wheeled Vehicles, of June 1998.</w:t>
      </w:r>
    </w:p>
    <w:p w14:paraId="7FA7FB55" w14:textId="77777777" w:rsidR="00DA29A0" w:rsidRPr="00944BFC" w:rsidRDefault="00DA29A0" w:rsidP="00DA29A0">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Advanced Driver Assistance</w:t>
      </w:r>
      <w:r w:rsidRPr="00944BFC">
        <w:rPr>
          <w:rFonts w:eastAsia="Calibri" w:cstheme="minorHAnsi"/>
          <w:color w:val="auto"/>
          <w:kern w:val="0"/>
        </w:rPr>
        <w:tab/>
        <w:t>Safety systems that work automatically to assist a driver in avoiding or</w:t>
      </w:r>
    </w:p>
    <w:p w14:paraId="6A61D779" w14:textId="77777777" w:rsidR="00DA29A0" w:rsidRPr="00944BFC" w:rsidRDefault="00DA29A0" w:rsidP="00DA29A0">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 xml:space="preserve">Systems (ADAS) </w:t>
      </w:r>
      <w:r w:rsidRPr="00944BFC">
        <w:rPr>
          <w:rFonts w:eastAsia="Calibri" w:cstheme="minorHAnsi"/>
          <w:color w:val="auto"/>
          <w:kern w:val="0"/>
        </w:rPr>
        <w:tab/>
        <w:t>mitigating the effects of a crash.</w:t>
      </w:r>
    </w:p>
    <w:p w14:paraId="469436DE"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 xml:space="preserve">Autonomous (Automatic) </w:t>
      </w:r>
      <w:r w:rsidRPr="00944BFC">
        <w:rPr>
          <w:rFonts w:eastAsia="Calibri" w:cstheme="minorHAnsi"/>
          <w:color w:val="auto"/>
          <w:kern w:val="0"/>
        </w:rPr>
        <w:tab/>
        <w:t xml:space="preserve">A combination of a vision-sensing control system and actuators </w:t>
      </w:r>
    </w:p>
    <w:p w14:paraId="3F09AA6E"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 xml:space="preserve">Emergency Braking (AEB) </w:t>
      </w:r>
      <w:r w:rsidRPr="00944BFC">
        <w:rPr>
          <w:rFonts w:eastAsia="Calibri" w:cstheme="minorHAnsi"/>
          <w:color w:val="auto"/>
          <w:kern w:val="0"/>
        </w:rPr>
        <w:tab/>
        <w:t>that forms a safety system which is designed in specific conditions to reduce the severity of an accident or avoid a collision altogether by taking control of the vehicle braking from the driver.</w:t>
      </w:r>
    </w:p>
    <w:p w14:paraId="70DC183F"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Antilock Brake System (ABS)</w:t>
      </w:r>
      <w:r w:rsidRPr="00944BFC">
        <w:rPr>
          <w:rFonts w:eastAsia="Calibri" w:cstheme="minorHAnsi"/>
          <w:color w:val="auto"/>
          <w:kern w:val="0"/>
        </w:rPr>
        <w:tab/>
        <w:t>A portion of a service brake system that automatically controls the degree of rotational wheel slip relative to the road at one or more road wheels of the vehicle during braking.</w:t>
      </w:r>
    </w:p>
    <w:p w14:paraId="469B245E"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Benefit-Cost Ratio (BCR)</w:t>
      </w:r>
      <w:r w:rsidRPr="00944BFC">
        <w:rPr>
          <w:rFonts w:eastAsia="Calibri" w:cstheme="minorHAnsi"/>
          <w:color w:val="auto"/>
          <w:kern w:val="0"/>
        </w:rPr>
        <w:tab/>
      </w:r>
      <w:proofErr w:type="gramStart"/>
      <w:r w:rsidRPr="00944BFC">
        <w:rPr>
          <w:rFonts w:eastAsia="Calibri" w:cstheme="minorHAnsi"/>
          <w:color w:val="auto"/>
          <w:kern w:val="0"/>
        </w:rPr>
        <w:t>The</w:t>
      </w:r>
      <w:proofErr w:type="gramEnd"/>
      <w:r w:rsidRPr="00944BFC">
        <w:rPr>
          <w:rFonts w:eastAsia="Calibri" w:cstheme="minorHAnsi"/>
          <w:color w:val="auto"/>
          <w:kern w:val="0"/>
        </w:rPr>
        <w:t xml:space="preserve"> ratio of expected total (gross) benefits to expected total costs (in terms of their present monetary value) for a change of policy relative to business as usual.</w:t>
      </w:r>
    </w:p>
    <w:p w14:paraId="48CF112D"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Bus (or Omnibus)</w:t>
      </w:r>
      <w:r w:rsidRPr="00944BFC">
        <w:rPr>
          <w:rFonts w:eastAsia="Calibri" w:cstheme="minorHAnsi"/>
          <w:color w:val="auto"/>
          <w:kern w:val="0"/>
        </w:rPr>
        <w:tab/>
      </w:r>
      <w:proofErr w:type="gramStart"/>
      <w:r w:rsidRPr="00944BFC">
        <w:rPr>
          <w:rFonts w:eastAsia="Calibri" w:cstheme="minorHAnsi"/>
          <w:color w:val="auto"/>
          <w:kern w:val="0"/>
        </w:rPr>
        <w:t>A</w:t>
      </w:r>
      <w:proofErr w:type="gramEnd"/>
      <w:r w:rsidRPr="00944BFC">
        <w:rPr>
          <w:rFonts w:eastAsia="Calibri" w:cstheme="minorHAnsi"/>
          <w:color w:val="auto"/>
          <w:kern w:val="0"/>
        </w:rPr>
        <w:t xml:space="preserve"> passenger vehicle having more than 9 seating positions, including that of the driver.</w:t>
      </w:r>
    </w:p>
    <w:p w14:paraId="4AD2BBD2"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Certification</w:t>
      </w:r>
      <w:r w:rsidRPr="00944BFC">
        <w:rPr>
          <w:rFonts w:eastAsia="Calibri" w:cstheme="minorHAnsi"/>
          <w:color w:val="auto"/>
          <w:kern w:val="0"/>
        </w:rPr>
        <w:tab/>
        <w:t>Assessment of compliance to the requirements of a regulation/standard. Can relate to parts, sub-assemblies, or a whole vehicle.</w:t>
      </w:r>
    </w:p>
    <w:p w14:paraId="117C4447"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Crash</w:t>
      </w:r>
      <w:r w:rsidRPr="00944BFC">
        <w:rPr>
          <w:rFonts w:eastAsia="Calibri" w:cstheme="minorHAnsi"/>
          <w:color w:val="auto"/>
          <w:kern w:val="0"/>
        </w:rPr>
        <w:tab/>
        <w:t>Any apparently unpremeditated event reported to police, or other relevant authority, and resulting in death, injury or property damage attributable to the movement of a road vehicle on a public road.</w:t>
      </w:r>
    </w:p>
    <w:p w14:paraId="67541B3A"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Discount Rate</w:t>
      </w:r>
      <w:r w:rsidRPr="00944BFC">
        <w:rPr>
          <w:rFonts w:eastAsia="Calibri" w:cstheme="minorHAnsi"/>
          <w:color w:val="auto"/>
          <w:kern w:val="0"/>
        </w:rPr>
        <w:tab/>
        <w:t>A rate of interest used to translate costs which will be incurred and benefits which will be received across future years into present day values.</w:t>
      </w:r>
    </w:p>
    <w:p w14:paraId="20A56C32"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Fatal Crash</w:t>
      </w:r>
      <w:r w:rsidRPr="00944BFC">
        <w:rPr>
          <w:rFonts w:eastAsia="Calibri" w:cstheme="minorHAnsi"/>
          <w:color w:val="auto"/>
          <w:kern w:val="0"/>
        </w:rPr>
        <w:tab/>
        <w:t>A crash for which there is at least one death.</w:t>
      </w:r>
    </w:p>
    <w:p w14:paraId="053471C4"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Gross Vehicle Mass (GVM)</w:t>
      </w:r>
      <w:r w:rsidRPr="00944BFC">
        <w:rPr>
          <w:rFonts w:eastAsia="Calibri" w:cstheme="minorHAnsi"/>
          <w:color w:val="auto"/>
          <w:kern w:val="0"/>
        </w:rPr>
        <w:tab/>
        <w:t>The maximum laden mass of a motor vehicle as specified by the manufacturer.</w:t>
      </w:r>
    </w:p>
    <w:p w14:paraId="47FD1723"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Light Vehicle</w:t>
      </w:r>
      <w:r w:rsidRPr="00944BFC">
        <w:rPr>
          <w:rFonts w:eastAsia="Calibri" w:cstheme="minorHAnsi"/>
          <w:color w:val="auto"/>
          <w:kern w:val="0"/>
        </w:rPr>
        <w:tab/>
        <w:t>For the purposes of this RIS, any vehicle in a category (or equivalent ADR category) covered by UN Regulation No. 152.</w:t>
      </w:r>
    </w:p>
    <w:p w14:paraId="536D76A0"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Hospitalised Injury</w:t>
      </w:r>
      <w:r w:rsidRPr="00944BFC">
        <w:rPr>
          <w:rFonts w:eastAsia="Calibri" w:cstheme="minorHAnsi"/>
          <w:color w:val="auto"/>
          <w:kern w:val="0"/>
        </w:rPr>
        <w:tab/>
        <w:t>A person admitted to hospital from a crash occurring in traffic.  Traffic excludes off-road and unknown location.</w:t>
      </w:r>
    </w:p>
    <w:p w14:paraId="296CBAF5" w14:textId="358CFF68" w:rsidR="00A23BA0" w:rsidRPr="00944BFC" w:rsidRDefault="00A23BA0" w:rsidP="00A23BA0">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 xml:space="preserve">Lane Departure Warning System </w:t>
      </w:r>
      <w:r w:rsidR="000B46D4">
        <w:rPr>
          <w:rFonts w:eastAsia="Calibri" w:cstheme="minorHAnsi"/>
          <w:color w:val="auto"/>
          <w:kern w:val="0"/>
        </w:rPr>
        <w:tab/>
      </w:r>
      <w:r w:rsidRPr="00944BFC">
        <w:rPr>
          <w:rFonts w:eastAsia="Calibri" w:cstheme="minorHAnsi"/>
          <w:color w:val="auto"/>
          <w:kern w:val="0"/>
        </w:rPr>
        <w:t xml:space="preserve">Provide a warning to the driver when the vehicle unintentionally drifts outside  </w:t>
      </w:r>
    </w:p>
    <w:p w14:paraId="4B4D12E2" w14:textId="77777777" w:rsidR="00A23BA0" w:rsidRPr="00944BFC" w:rsidRDefault="00A23BA0" w:rsidP="00A23BA0">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(LDWS)</w:t>
      </w:r>
      <w:r w:rsidRPr="00944BFC">
        <w:rPr>
          <w:rFonts w:eastAsia="Calibri" w:cstheme="minorHAnsi"/>
          <w:color w:val="auto"/>
          <w:kern w:val="0"/>
        </w:rPr>
        <w:tab/>
        <w:t>of the lane.</w:t>
      </w:r>
    </w:p>
    <w:p w14:paraId="66DA45AF"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Lane Keep Assist</w:t>
      </w:r>
      <w:r w:rsidRPr="00944BFC">
        <w:rPr>
          <w:rFonts w:eastAsia="Calibri" w:cstheme="minorHAnsi"/>
          <w:color w:val="auto"/>
          <w:kern w:val="0"/>
        </w:rPr>
        <w:tab/>
        <w:t xml:space="preserve">Provides steering input to help keep the vehicle in the middle of a </w:t>
      </w:r>
    </w:p>
    <w:p w14:paraId="5EB045C1"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(LKA)</w:t>
      </w:r>
      <w:r w:rsidRPr="00944BFC">
        <w:rPr>
          <w:rFonts w:eastAsia="Calibri" w:cstheme="minorHAnsi"/>
          <w:color w:val="auto"/>
          <w:kern w:val="0"/>
        </w:rPr>
        <w:tab/>
        <w:t>detected lane and provides visual and tactile alerts if the vehicle is detected drifting out of the lane.</w:t>
      </w:r>
    </w:p>
    <w:p w14:paraId="2B70EEA2"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Net Benefit</w:t>
      </w:r>
      <w:r w:rsidRPr="00944BFC">
        <w:rPr>
          <w:rFonts w:eastAsia="Calibri" w:cstheme="minorHAnsi"/>
          <w:color w:val="auto"/>
          <w:kern w:val="0"/>
        </w:rPr>
        <w:tab/>
        <w:t>The sum of expected benefits (in monetary terms), less expected costs associated with a change of policy relative to business as usual.</w:t>
      </w:r>
    </w:p>
    <w:p w14:paraId="267F7773"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lastRenderedPageBreak/>
        <w:t>Net Present Value (NPV)</w:t>
      </w:r>
      <w:r w:rsidRPr="00944BFC">
        <w:rPr>
          <w:rFonts w:eastAsia="Calibri" w:cstheme="minorHAnsi"/>
          <w:color w:val="auto"/>
          <w:kern w:val="0"/>
        </w:rPr>
        <w:tab/>
        <w:t>The difference between the present economic value (determined using an appropriate discount rate) of all expected benefits and costs over time due to a change of policy relative to business as usual.</w:t>
      </w:r>
    </w:p>
    <w:p w14:paraId="03162BE8"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Road Crash Fatality</w:t>
      </w:r>
      <w:r w:rsidRPr="00944BFC">
        <w:rPr>
          <w:rFonts w:eastAsia="Calibri" w:cstheme="minorHAnsi"/>
          <w:color w:val="auto"/>
          <w:kern w:val="0"/>
        </w:rPr>
        <w:tab/>
        <w:t>A person who dies within 30 days of a crash as a result of injuries received in that crash.</w:t>
      </w:r>
    </w:p>
    <w:p w14:paraId="049F0E72"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Rear-end Crash</w:t>
      </w:r>
      <w:r w:rsidRPr="00944BFC">
        <w:rPr>
          <w:rFonts w:eastAsia="Calibri" w:cstheme="minorHAnsi"/>
          <w:color w:val="auto"/>
          <w:kern w:val="0"/>
        </w:rPr>
        <w:tab/>
        <w:t>Denotes a scenario involving two vehicles, where the second vehicle strikes the rear of the first vehicle.</w:t>
      </w:r>
    </w:p>
    <w:p w14:paraId="64F9D081" w14:textId="77777777" w:rsidR="008278F8" w:rsidRPr="00944BFC" w:rsidRDefault="008278F8" w:rsidP="008278F8">
      <w:pPr>
        <w:suppressAutoHyphens w:val="0"/>
        <w:spacing w:before="0" w:after="0" w:line="300" w:lineRule="auto"/>
        <w:ind w:left="2977" w:hanging="2977"/>
        <w:rPr>
          <w:rFonts w:eastAsia="Calibri" w:cstheme="minorHAnsi"/>
          <w:color w:val="auto"/>
          <w:kern w:val="0"/>
        </w:rPr>
      </w:pPr>
      <w:r w:rsidRPr="00944BFC">
        <w:rPr>
          <w:rFonts w:eastAsia="Calibri" w:cstheme="minorHAnsi"/>
          <w:color w:val="auto"/>
          <w:kern w:val="0"/>
        </w:rPr>
        <w:t>Type Approval</w:t>
      </w:r>
      <w:r w:rsidRPr="00944BFC">
        <w:rPr>
          <w:rFonts w:eastAsia="Calibri" w:cstheme="minorHAnsi"/>
          <w:color w:val="auto"/>
          <w:kern w:val="0"/>
        </w:rPr>
        <w:tab/>
        <w:t>Written approval of an authority/body that a vehicle type (i.e., model design) satisfies specific technical requirements.</w:t>
      </w:r>
    </w:p>
    <w:p w14:paraId="5EC0D253" w14:textId="77777777" w:rsidR="00167D04" w:rsidRDefault="00167D04" w:rsidP="00167D04">
      <w:pPr>
        <w:suppressAutoHyphens w:val="0"/>
        <w:spacing w:before="0" w:after="0" w:line="300" w:lineRule="auto"/>
        <w:rPr>
          <w:rFonts w:ascii="Times New Roman" w:eastAsia="Calibri" w:hAnsi="Times New Roman" w:cs="Times New Roman"/>
          <w:color w:val="auto"/>
          <w:kern w:val="0"/>
          <w:sz w:val="22"/>
          <w:szCs w:val="22"/>
        </w:rPr>
        <w:sectPr w:rsidR="00167D04" w:rsidSect="00D87AD8">
          <w:pgSz w:w="11906" w:h="16838" w:code="9"/>
          <w:pgMar w:top="1021" w:right="1021" w:bottom="1021" w:left="1021" w:header="510" w:footer="567" w:gutter="0"/>
          <w:cols w:space="708"/>
          <w:docGrid w:linePitch="360"/>
        </w:sectPr>
      </w:pPr>
    </w:p>
    <w:p w14:paraId="2651932B" w14:textId="77777777" w:rsidR="00A11244" w:rsidRDefault="00A11244" w:rsidP="00A11244">
      <w:pPr>
        <w:pStyle w:val="AppendixHeading1"/>
      </w:pPr>
      <w:bookmarkStart w:id="64" w:name="_Toc100326824"/>
      <w:r>
        <w:lastRenderedPageBreak/>
        <w:t>Heavy vehicle categories</w:t>
      </w:r>
      <w:bookmarkEnd w:id="64"/>
    </w:p>
    <w:p w14:paraId="2287AA5F" w14:textId="77777777" w:rsidR="00A11244" w:rsidRPr="00A11244" w:rsidRDefault="00A11244" w:rsidP="00A11244">
      <w:pPr>
        <w:rPr>
          <w:lang w:val="x-none"/>
        </w:rPr>
      </w:pPr>
      <w:r w:rsidRPr="00A11244">
        <w:rPr>
          <w:lang w:val="x-none"/>
        </w:rPr>
        <w:t>A two-character vehicle category code is shown for each vehicle category. This code is used to designate the relevant vehicles in the national standards, as represented by the ADRs, and in related documentation.</w:t>
      </w:r>
    </w:p>
    <w:p w14:paraId="499FB882" w14:textId="77777777" w:rsidR="00A11244" w:rsidRPr="00A11244" w:rsidRDefault="00A11244" w:rsidP="00A11244">
      <w:pPr>
        <w:rPr>
          <w:lang w:val="x-none"/>
        </w:rPr>
      </w:pPr>
      <w:r w:rsidRPr="00A11244">
        <w:rPr>
          <w:lang w:val="x-none"/>
        </w:rPr>
        <w:t xml:space="preserve">The categories listed below are those relevant to vehicles greater than 4.5 tonnes </w:t>
      </w:r>
      <w:r>
        <w:rPr>
          <w:lang w:val="en-US"/>
        </w:rPr>
        <w:t>‘</w:t>
      </w:r>
      <w:r w:rsidRPr="00A11244">
        <w:rPr>
          <w:i/>
          <w:lang w:val="x-none"/>
        </w:rPr>
        <w:t>Gross Vehicle Mass</w:t>
      </w:r>
      <w:r>
        <w:rPr>
          <w:lang w:val="en-US"/>
        </w:rPr>
        <w:t>’</w:t>
      </w:r>
      <w:r w:rsidRPr="00A11244">
        <w:rPr>
          <w:lang w:val="x-none"/>
        </w:rPr>
        <w:t xml:space="preserve"> and trailers greater than 4.5 tonnes Gross Trailer Mass (Heavy Vehicles).</w:t>
      </w:r>
    </w:p>
    <w:p w14:paraId="0F761D55" w14:textId="77777777" w:rsidR="00A11244" w:rsidRPr="00953EC4" w:rsidRDefault="00A11244" w:rsidP="00A11244">
      <w:pPr>
        <w:rPr>
          <w:b/>
          <w:lang w:val="x-none"/>
        </w:rPr>
      </w:pPr>
      <w:r w:rsidRPr="00953EC4">
        <w:rPr>
          <w:b/>
          <w:lang w:val="x-none"/>
        </w:rPr>
        <w:t>OMNIBUSES (M)</w:t>
      </w:r>
    </w:p>
    <w:p w14:paraId="41501202" w14:textId="77777777" w:rsidR="00A11244" w:rsidRPr="00A11244" w:rsidRDefault="00A11244" w:rsidP="00A11244">
      <w:pPr>
        <w:rPr>
          <w:lang w:val="x-none"/>
        </w:rPr>
      </w:pPr>
      <w:r w:rsidRPr="00A11244">
        <w:rPr>
          <w:lang w:val="x-none"/>
        </w:rPr>
        <w:t>A passenger vehicle having more than 9 seating positions, including that of the driver.</w:t>
      </w:r>
    </w:p>
    <w:p w14:paraId="37CF9F2F" w14:textId="77777777" w:rsidR="00A11244" w:rsidRPr="00A11244" w:rsidRDefault="00A11244" w:rsidP="00A11244">
      <w:pPr>
        <w:rPr>
          <w:lang w:val="x-none"/>
        </w:rPr>
      </w:pPr>
      <w:r w:rsidRPr="00A11244">
        <w:rPr>
          <w:lang w:val="x-none"/>
        </w:rPr>
        <w:t>An omnibus comprising 2 or more non-separable but articulated units shall be considered as a single vehicle.</w:t>
      </w:r>
    </w:p>
    <w:p w14:paraId="331A9A5A" w14:textId="77777777" w:rsidR="00A11244" w:rsidRPr="00953EC4" w:rsidRDefault="00A11244" w:rsidP="00A11244">
      <w:pPr>
        <w:rPr>
          <w:b/>
          <w:lang w:val="x-none"/>
        </w:rPr>
      </w:pPr>
      <w:r w:rsidRPr="00953EC4">
        <w:rPr>
          <w:b/>
          <w:lang w:val="x-none"/>
        </w:rPr>
        <w:t>LIGHT OMNIBUS (MD)</w:t>
      </w:r>
    </w:p>
    <w:p w14:paraId="1EA04517" w14:textId="77777777" w:rsidR="00A11244" w:rsidRPr="00A11244" w:rsidRDefault="00A11244" w:rsidP="00A11244">
      <w:pPr>
        <w:rPr>
          <w:lang w:val="x-none"/>
        </w:rPr>
      </w:pPr>
      <w:r w:rsidRPr="00A11244">
        <w:rPr>
          <w:lang w:val="x-none"/>
        </w:rPr>
        <w:t>An omnibus with a ‘</w:t>
      </w:r>
      <w:r w:rsidRPr="00A11244">
        <w:rPr>
          <w:i/>
          <w:lang w:val="x-none"/>
        </w:rPr>
        <w:t>Gross Vehicle Mass</w:t>
      </w:r>
      <w:r w:rsidRPr="00A11244">
        <w:rPr>
          <w:lang w:val="x-none"/>
        </w:rPr>
        <w:t>’ not exceeding 5.0 tonnes.</w:t>
      </w:r>
    </w:p>
    <w:p w14:paraId="05874765" w14:textId="77777777" w:rsidR="00A11244" w:rsidRPr="00A11244" w:rsidRDefault="00A11244" w:rsidP="00A11244">
      <w:pPr>
        <w:rPr>
          <w:lang w:val="x-none"/>
        </w:rPr>
      </w:pPr>
      <w:r w:rsidRPr="00A11244">
        <w:rPr>
          <w:lang w:val="x-none"/>
        </w:rPr>
        <w:t>Sub-category MD1 – up to 3.5 tonnes ‘</w:t>
      </w:r>
      <w:r w:rsidRPr="00A11244">
        <w:rPr>
          <w:i/>
          <w:lang w:val="x-none"/>
        </w:rPr>
        <w:t>Gross Vehicle Mass</w:t>
      </w:r>
      <w:r w:rsidRPr="00A11244">
        <w:rPr>
          <w:lang w:val="x-none"/>
        </w:rPr>
        <w:t>’</w:t>
      </w:r>
    </w:p>
    <w:p w14:paraId="31CA9E79" w14:textId="77777777" w:rsidR="00A11244" w:rsidRPr="00A11244" w:rsidRDefault="00A11244" w:rsidP="00A11244">
      <w:pPr>
        <w:ind w:left="720"/>
        <w:rPr>
          <w:lang w:val="x-none"/>
        </w:rPr>
      </w:pPr>
      <w:r w:rsidRPr="00A11244">
        <w:rPr>
          <w:lang w:val="x-none"/>
        </w:rPr>
        <w:t>MD2 – up to 3.5 tonnes ‘Gross Vehicle Mass’</w:t>
      </w:r>
    </w:p>
    <w:p w14:paraId="452E44F3" w14:textId="77777777" w:rsidR="00A11244" w:rsidRPr="00A11244" w:rsidRDefault="00A11244" w:rsidP="00A11244">
      <w:pPr>
        <w:ind w:left="720"/>
        <w:rPr>
          <w:lang w:val="x-none"/>
        </w:rPr>
      </w:pPr>
      <w:r w:rsidRPr="00A11244">
        <w:rPr>
          <w:lang w:val="x-none"/>
        </w:rPr>
        <w:t>MD3 – over 3.5 tonnes, up to 4.5 tonnes ‘</w:t>
      </w:r>
      <w:r w:rsidRPr="00A11244">
        <w:rPr>
          <w:i/>
          <w:lang w:val="x-none"/>
        </w:rPr>
        <w:t>Gross Vehicle Mass</w:t>
      </w:r>
      <w:r w:rsidRPr="00A11244">
        <w:rPr>
          <w:lang w:val="x-none"/>
        </w:rPr>
        <w:t>’</w:t>
      </w:r>
    </w:p>
    <w:p w14:paraId="1B17F293" w14:textId="77777777" w:rsidR="00A11244" w:rsidRPr="00A11244" w:rsidRDefault="00A11244" w:rsidP="00A11244">
      <w:pPr>
        <w:ind w:left="720"/>
        <w:rPr>
          <w:lang w:val="x-none"/>
        </w:rPr>
      </w:pPr>
      <w:r w:rsidRPr="00A11244">
        <w:rPr>
          <w:lang w:val="x-none"/>
        </w:rPr>
        <w:t>MD4 – over 4.5 tonnes, up to 5 tonnes ‘</w:t>
      </w:r>
      <w:r w:rsidRPr="00A11244">
        <w:rPr>
          <w:i/>
          <w:lang w:val="x-none"/>
        </w:rPr>
        <w:t>Gross Vehicle Mass</w:t>
      </w:r>
      <w:r w:rsidRPr="00A11244">
        <w:rPr>
          <w:lang w:val="x-none"/>
        </w:rPr>
        <w:t>’</w:t>
      </w:r>
    </w:p>
    <w:p w14:paraId="00C1B225" w14:textId="77777777" w:rsidR="00A11244" w:rsidRPr="00A11244" w:rsidRDefault="00A11244" w:rsidP="00A11244">
      <w:pPr>
        <w:ind w:left="720"/>
        <w:rPr>
          <w:lang w:val="x-none"/>
        </w:rPr>
      </w:pPr>
      <w:r w:rsidRPr="00A11244">
        <w:rPr>
          <w:lang w:val="x-none"/>
        </w:rPr>
        <w:t>MD5 – up to 2.7 tonnes ‘</w:t>
      </w:r>
      <w:r w:rsidRPr="00A11244">
        <w:rPr>
          <w:i/>
          <w:lang w:val="x-none"/>
        </w:rPr>
        <w:t>Gross Vehicle Mass</w:t>
      </w:r>
      <w:r w:rsidRPr="00A11244">
        <w:rPr>
          <w:lang w:val="x-none"/>
        </w:rPr>
        <w:t>’</w:t>
      </w:r>
    </w:p>
    <w:p w14:paraId="21DBE686" w14:textId="77777777" w:rsidR="00A11244" w:rsidRPr="00A11244" w:rsidRDefault="00A11244" w:rsidP="00A11244">
      <w:pPr>
        <w:ind w:left="720"/>
        <w:rPr>
          <w:lang w:val="x-none"/>
        </w:rPr>
      </w:pPr>
      <w:r w:rsidRPr="00A11244">
        <w:rPr>
          <w:lang w:val="x-none"/>
        </w:rPr>
        <w:t>MD6 – over 2.7 tonnes, up to 5 tonnes ‘</w:t>
      </w:r>
      <w:r w:rsidRPr="00A11244">
        <w:rPr>
          <w:i/>
          <w:lang w:val="x-none"/>
        </w:rPr>
        <w:t>Gross Vehicle Mass</w:t>
      </w:r>
      <w:r w:rsidRPr="00A11244">
        <w:rPr>
          <w:lang w:val="x-none"/>
        </w:rPr>
        <w:t>’</w:t>
      </w:r>
    </w:p>
    <w:p w14:paraId="0C275530" w14:textId="77777777" w:rsidR="00A11244" w:rsidRPr="00953EC4" w:rsidRDefault="00A11244" w:rsidP="00A11244">
      <w:pPr>
        <w:rPr>
          <w:b/>
          <w:lang w:val="x-none"/>
        </w:rPr>
      </w:pPr>
      <w:r w:rsidRPr="00953EC4">
        <w:rPr>
          <w:b/>
          <w:lang w:val="x-none"/>
        </w:rPr>
        <w:t>HEAVY OMNIBUS (ME)</w:t>
      </w:r>
    </w:p>
    <w:p w14:paraId="5BFBBB62" w14:textId="77777777" w:rsidR="00A11244" w:rsidRPr="00A11244" w:rsidRDefault="00A11244" w:rsidP="00A11244">
      <w:pPr>
        <w:rPr>
          <w:lang w:val="x-none"/>
        </w:rPr>
      </w:pPr>
      <w:r w:rsidRPr="00A11244">
        <w:rPr>
          <w:lang w:val="x-none"/>
        </w:rPr>
        <w:t>An omnibus with a ‘</w:t>
      </w:r>
      <w:r w:rsidRPr="00A11244">
        <w:rPr>
          <w:i/>
          <w:lang w:val="x-none"/>
        </w:rPr>
        <w:t>Gross Vehicle Mass</w:t>
      </w:r>
      <w:r w:rsidRPr="00A11244">
        <w:rPr>
          <w:lang w:val="x-none"/>
        </w:rPr>
        <w:t>’ exceeding 5.0 tonnes.</w:t>
      </w:r>
    </w:p>
    <w:p w14:paraId="635095D9" w14:textId="77777777" w:rsidR="00A11244" w:rsidRPr="00953EC4" w:rsidRDefault="00A11244" w:rsidP="00A11244">
      <w:pPr>
        <w:rPr>
          <w:b/>
          <w:lang w:val="x-none"/>
        </w:rPr>
      </w:pPr>
      <w:r w:rsidRPr="00953EC4">
        <w:rPr>
          <w:b/>
          <w:lang w:val="x-none"/>
        </w:rPr>
        <w:t>GOODS VEHICLES (N)</w:t>
      </w:r>
    </w:p>
    <w:p w14:paraId="259195ED" w14:textId="77777777" w:rsidR="00A11244" w:rsidRPr="00A11244" w:rsidRDefault="00A11244" w:rsidP="00A11244">
      <w:pPr>
        <w:rPr>
          <w:lang w:val="x-none"/>
        </w:rPr>
      </w:pPr>
      <w:r w:rsidRPr="00A11244">
        <w:rPr>
          <w:lang w:val="x-none"/>
        </w:rPr>
        <w:t>A motor vehicle constructed primarily for the carriage of goods and having at least 4 wheels; or 3 wheels and a ‘</w:t>
      </w:r>
      <w:r w:rsidRPr="00A11244">
        <w:rPr>
          <w:i/>
          <w:lang w:val="x-none"/>
        </w:rPr>
        <w:t>Gross Vehicle Mass</w:t>
      </w:r>
      <w:r w:rsidRPr="00A11244">
        <w:rPr>
          <w:lang w:val="x-none"/>
        </w:rPr>
        <w:t>’ exceeding 1.0 tonne.</w:t>
      </w:r>
    </w:p>
    <w:p w14:paraId="5D3174BF" w14:textId="77777777" w:rsidR="00A11244" w:rsidRPr="00A11244" w:rsidRDefault="00A11244" w:rsidP="00A11244">
      <w:pPr>
        <w:rPr>
          <w:lang w:val="x-none"/>
        </w:rPr>
      </w:pPr>
      <w:r w:rsidRPr="00A11244">
        <w:rPr>
          <w:lang w:val="x-none"/>
        </w:rPr>
        <w:t>A vehicle constructed for both the carriage of persons and the carriage of good shall be considered to be primarily for the carriage of goods if the number of seating positions times 68 kg is less than 50 per cent of the difference between the ‘</w:t>
      </w:r>
      <w:r w:rsidRPr="00A11244">
        <w:rPr>
          <w:i/>
          <w:lang w:val="x-none"/>
        </w:rPr>
        <w:t>Gross Vehicle Mass</w:t>
      </w:r>
      <w:r w:rsidRPr="00A11244">
        <w:rPr>
          <w:lang w:val="x-none"/>
        </w:rPr>
        <w:t>‘ and the ‘</w:t>
      </w:r>
      <w:proofErr w:type="spellStart"/>
      <w:r w:rsidRPr="00A11244">
        <w:rPr>
          <w:i/>
          <w:lang w:val="x-none"/>
        </w:rPr>
        <w:t>Unladen</w:t>
      </w:r>
      <w:proofErr w:type="spellEnd"/>
      <w:r w:rsidRPr="00A11244">
        <w:rPr>
          <w:i/>
          <w:lang w:val="x-none"/>
        </w:rPr>
        <w:t xml:space="preserve"> Mass</w:t>
      </w:r>
      <w:r w:rsidRPr="00A11244">
        <w:rPr>
          <w:lang w:val="x-none"/>
        </w:rPr>
        <w:t>‘.</w:t>
      </w:r>
    </w:p>
    <w:p w14:paraId="4D58A072" w14:textId="77777777" w:rsidR="00A11244" w:rsidRPr="00A11244" w:rsidRDefault="00A11244" w:rsidP="00A11244">
      <w:pPr>
        <w:rPr>
          <w:lang w:val="x-none"/>
        </w:rPr>
      </w:pPr>
      <w:r w:rsidRPr="00A11244">
        <w:rPr>
          <w:lang w:val="x-none"/>
        </w:rPr>
        <w:t>The equipment and installations carried on certain special-purpose vehicles not designed for the carriage of passengers (crane vehicles, workshop vehicles</w:t>
      </w:r>
      <w:r>
        <w:rPr>
          <w:lang w:val="x-none"/>
        </w:rPr>
        <w:t>, publicity vehicles, etc.) are</w:t>
      </w:r>
      <w:r>
        <w:rPr>
          <w:lang w:val="en-US"/>
        </w:rPr>
        <w:t xml:space="preserve"> </w:t>
      </w:r>
      <w:r w:rsidRPr="00A11244">
        <w:rPr>
          <w:lang w:val="x-none"/>
        </w:rPr>
        <w:t>regarded as being equivalent to goods for the purposes of this definition.</w:t>
      </w:r>
    </w:p>
    <w:p w14:paraId="5C10262E" w14:textId="77777777" w:rsidR="00A11244" w:rsidRPr="00A11244" w:rsidRDefault="00A11244" w:rsidP="00A11244">
      <w:pPr>
        <w:rPr>
          <w:lang w:val="x-none"/>
        </w:rPr>
      </w:pPr>
      <w:r w:rsidRPr="00A11244">
        <w:rPr>
          <w:lang w:val="x-none"/>
        </w:rPr>
        <w:t>A goods vehicle comprising two or more non-separable but articulated units shall be considered as a single vehicle.</w:t>
      </w:r>
    </w:p>
    <w:p w14:paraId="72959AB5" w14:textId="77777777" w:rsidR="00A11244" w:rsidRPr="00953EC4" w:rsidRDefault="00A11244" w:rsidP="00A11244">
      <w:pPr>
        <w:rPr>
          <w:b/>
          <w:lang w:val="x-none"/>
        </w:rPr>
      </w:pPr>
      <w:r w:rsidRPr="00953EC4">
        <w:rPr>
          <w:b/>
          <w:lang w:val="x-none"/>
        </w:rPr>
        <w:t>MEDIUM GOODS VEHICLE (NB)</w:t>
      </w:r>
    </w:p>
    <w:p w14:paraId="705D1673" w14:textId="77777777" w:rsidR="00A11244" w:rsidRPr="00A11244" w:rsidRDefault="00A11244" w:rsidP="00A11244">
      <w:pPr>
        <w:rPr>
          <w:lang w:val="x-none"/>
        </w:rPr>
      </w:pPr>
      <w:r w:rsidRPr="00A11244">
        <w:rPr>
          <w:lang w:val="x-none"/>
        </w:rPr>
        <w:t>A goods vehicle with a ‘</w:t>
      </w:r>
      <w:r w:rsidRPr="00A11244">
        <w:rPr>
          <w:i/>
          <w:lang w:val="x-none"/>
        </w:rPr>
        <w:t>Gross Vehicle Mass</w:t>
      </w:r>
      <w:r w:rsidRPr="00A11244">
        <w:rPr>
          <w:lang w:val="x-none"/>
        </w:rPr>
        <w:t>’ exceeding 3.5 tonnes but not exceeding 12.0 tonnes.</w:t>
      </w:r>
    </w:p>
    <w:p w14:paraId="3E332DFE" w14:textId="77777777" w:rsidR="00A11244" w:rsidRPr="00A11244" w:rsidRDefault="00A11244" w:rsidP="00A11244">
      <w:pPr>
        <w:rPr>
          <w:lang w:val="x-none"/>
        </w:rPr>
      </w:pPr>
      <w:r w:rsidRPr="00A11244">
        <w:rPr>
          <w:lang w:val="x-none"/>
        </w:rPr>
        <w:t>Sub-category NB1 – over 3.5 tonnes, up to 4.5 tonnes ‘</w:t>
      </w:r>
      <w:r w:rsidRPr="00A11244">
        <w:rPr>
          <w:i/>
          <w:lang w:val="x-none"/>
        </w:rPr>
        <w:t>Gross Vehicle Mass</w:t>
      </w:r>
      <w:r w:rsidRPr="00A11244">
        <w:rPr>
          <w:lang w:val="x-none"/>
        </w:rPr>
        <w:t>’</w:t>
      </w:r>
    </w:p>
    <w:p w14:paraId="4C78389F" w14:textId="77777777" w:rsidR="00A11244" w:rsidRPr="00A11244" w:rsidRDefault="00A11244" w:rsidP="00A11244">
      <w:pPr>
        <w:ind w:left="720"/>
        <w:rPr>
          <w:lang w:val="x-none"/>
        </w:rPr>
      </w:pPr>
      <w:r w:rsidRPr="00A11244">
        <w:rPr>
          <w:lang w:val="x-none"/>
        </w:rPr>
        <w:t>NB2 – over 4.5 tonnes, up to 12 tonnes ‘</w:t>
      </w:r>
      <w:r w:rsidRPr="00A11244">
        <w:rPr>
          <w:i/>
          <w:lang w:val="x-none"/>
        </w:rPr>
        <w:t>Gross Vehicle Mass</w:t>
      </w:r>
      <w:r w:rsidRPr="00A11244">
        <w:rPr>
          <w:lang w:val="x-none"/>
        </w:rPr>
        <w:t>’</w:t>
      </w:r>
    </w:p>
    <w:p w14:paraId="3B211350" w14:textId="77777777" w:rsidR="00A11244" w:rsidRPr="00953EC4" w:rsidRDefault="00A11244" w:rsidP="00A11244">
      <w:pPr>
        <w:rPr>
          <w:b/>
          <w:lang w:val="x-none"/>
        </w:rPr>
      </w:pPr>
      <w:r w:rsidRPr="00953EC4">
        <w:rPr>
          <w:b/>
          <w:lang w:val="x-none"/>
        </w:rPr>
        <w:t>HEAVY GOODS VEHICLE (NC)</w:t>
      </w:r>
    </w:p>
    <w:p w14:paraId="7EEEBEF2" w14:textId="77777777" w:rsidR="00805C43" w:rsidRPr="00805C43" w:rsidRDefault="00A11244" w:rsidP="00BB0E7E">
      <w:pPr>
        <w:rPr>
          <w:rFonts w:cstheme="minorHAnsi"/>
        </w:rPr>
      </w:pPr>
      <w:r w:rsidRPr="00A11244">
        <w:rPr>
          <w:lang w:val="x-none"/>
        </w:rPr>
        <w:t>A goods vehicle with a ‘</w:t>
      </w:r>
      <w:r w:rsidRPr="00A11244">
        <w:rPr>
          <w:i/>
          <w:lang w:val="x-none"/>
        </w:rPr>
        <w:t>Gross Vehicle Mass</w:t>
      </w:r>
      <w:r w:rsidRPr="00A11244">
        <w:rPr>
          <w:lang w:val="x-none"/>
        </w:rPr>
        <w:t>’ exceeding 12.0 tonnes.</w:t>
      </w:r>
    </w:p>
    <w:sectPr w:rsidR="00805C43" w:rsidRPr="00805C43" w:rsidSect="00D87AD8">
      <w:pgSz w:w="11906" w:h="16838" w:code="9"/>
      <w:pgMar w:top="1021" w:right="1021" w:bottom="1021" w:left="1021" w:header="510"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0B579A" w14:textId="77777777" w:rsidR="008E07C6" w:rsidRDefault="008E07C6" w:rsidP="008456D5">
      <w:pPr>
        <w:spacing w:before="0" w:after="0"/>
      </w:pPr>
      <w:r>
        <w:separator/>
      </w:r>
    </w:p>
  </w:endnote>
  <w:endnote w:type="continuationSeparator" w:id="0">
    <w:p w14:paraId="5D9E7E1B" w14:textId="77777777" w:rsidR="008E07C6" w:rsidRDefault="008E07C6" w:rsidP="008456D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FranklinGothic-Book">
    <w:altName w:val="Calibri"/>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0D65BE" w14:textId="77777777" w:rsidR="008E07C6" w:rsidRDefault="008E07C6" w:rsidP="00E50D64">
    <w:pPr>
      <w:pStyle w:val="Footer"/>
      <w:spacing w:before="720"/>
      <w:jc w:val="right"/>
    </w:pPr>
    <w:r>
      <w:rPr>
        <w:noProof/>
        <w:lang w:eastAsia="en-AU"/>
      </w:rPr>
      <mc:AlternateContent>
        <mc:Choice Requires="wps">
          <w:drawing>
            <wp:anchor distT="0" distB="0" distL="114300" distR="114300" simplePos="0" relativeHeight="251676672" behindDoc="1" locked="1" layoutInCell="1" allowOverlap="1" wp14:anchorId="579114AE" wp14:editId="73D34341">
              <wp:simplePos x="0" y="0"/>
              <wp:positionH relativeFrom="page">
                <wp:align>left</wp:align>
              </wp:positionH>
              <wp:positionV relativeFrom="page">
                <wp:align>bottom</wp:align>
              </wp:positionV>
              <wp:extent cx="1007280" cy="539280"/>
              <wp:effectExtent l="0" t="0" r="2540" b="0"/>
              <wp:wrapNone/>
              <wp:docPr id="16" name="Text Box 16" descr="background" title="background"/>
              <wp:cNvGraphicFramePr/>
              <a:graphic xmlns:a="http://schemas.openxmlformats.org/drawingml/2006/main">
                <a:graphicData uri="http://schemas.microsoft.com/office/word/2010/wordprocessingShape">
                  <wps:wsp>
                    <wps:cNvSpPr txBox="1"/>
                    <wps:spPr>
                      <a:xfrm>
                        <a:off x="0" y="0"/>
                        <a:ext cx="1007280" cy="539280"/>
                      </a:xfrm>
                      <a:prstGeom prst="rect">
                        <a:avLst/>
                      </a:prstGeom>
                      <a:noFill/>
                      <a:ln w="6350">
                        <a:noFill/>
                      </a:ln>
                    </wps:spPr>
                    <wps:txbx>
                      <w:txbxContent>
                        <w:p w14:paraId="5F3F99C5" w14:textId="7F42645C" w:rsidR="008E07C6" w:rsidRPr="007A05BE" w:rsidRDefault="008E07C6" w:rsidP="00E50D64">
                          <w:pPr>
                            <w:pStyle w:val="Footer"/>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21</w:t>
                          </w:r>
                          <w:r w:rsidRPr="007A05BE">
                            <w:rPr>
                              <w:rStyle w:val="PageNumber"/>
                            </w:rPr>
                            <w:fldChar w:fldCharType="end"/>
                          </w:r>
                        </w:p>
                      </w:txbxContent>
                    </wps:txbx>
                    <wps:bodyPr rot="0" spcFirstLastPara="0" vertOverflow="overflow" horzOverflow="overflow" vert="horz" wrap="square" lIns="648000" tIns="0" rIns="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9114AE" id="_x0000_t202" coordsize="21600,21600" o:spt="202" path="m,l,21600r21600,l21600,xe">
              <v:stroke joinstyle="miter"/>
              <v:path gradientshapeok="t" o:connecttype="rect"/>
            </v:shapetype>
            <v:shape id="Text Box 16" o:spid="_x0000_s1026" type="#_x0000_t202" alt="Title: background - Description: background" style="position:absolute;left:0;text-align:left;margin-left:0;margin-top:0;width:79.3pt;height:42.45pt;z-index:-251639808;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" filled="f" stroked="f" strokeweight=".5pt">
              <v:textbox inset="18mm,0,0,10mm">
                <w:txbxContent>
                  <w:p w14:paraId="5F3F99C5" w14:textId="7F42645C" w:rsidR="008E07C6" w:rsidRPr="007A05BE" w:rsidRDefault="008E07C6" w:rsidP="00E50D64">
                    <w:pPr>
                      <w:pStyle w:val="Footer"/>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21</w:t>
                    </w:r>
                    <w:r w:rsidRPr="007A05BE">
                      <w:rPr>
                        <w:rStyle w:val="PageNumber"/>
                      </w:rPr>
                      <w:fldChar w:fldCharType="end"/>
                    </w:r>
                  </w:p>
                </w:txbxContent>
              </v:textbox>
              <w10:wrap anchorx="page" anchory="page"/>
              <w10:anchorlock/>
            </v:shape>
          </w:pict>
        </mc:Fallback>
      </mc:AlternateContent>
    </w:r>
    <w:r>
      <w:rPr>
        <w:noProof/>
        <w:lang w:eastAsia="en-AU"/>
      </w:rPr>
      <mc:AlternateContent>
        <mc:Choice Requires="wps">
          <w:drawing>
            <wp:anchor distT="0" distB="0" distL="114300" distR="114300" simplePos="0" relativeHeight="251675648" behindDoc="1" locked="1" layoutInCell="1" allowOverlap="1" wp14:anchorId="0AC811F9" wp14:editId="38662C96">
              <wp:simplePos x="0" y="0"/>
              <wp:positionH relativeFrom="page">
                <wp:align>left</wp:align>
              </wp:positionH>
              <wp:positionV relativeFrom="page">
                <wp:align>bottom</wp:align>
              </wp:positionV>
              <wp:extent cx="4320000" cy="539280"/>
              <wp:effectExtent l="0" t="0" r="4445" b="0"/>
              <wp:wrapNone/>
              <wp:docPr id="18" name="Text Box 18" descr="background" title="background"/>
              <wp:cNvGraphicFramePr/>
              <a:graphic xmlns:a="http://schemas.openxmlformats.org/drawingml/2006/main">
                <a:graphicData uri="http://schemas.microsoft.com/office/word/2010/wordprocessingShape">
                  <wps:wsp>
                    <wps:cNvSpPr txBox="1"/>
                    <wps:spPr>
                      <a:xfrm>
                        <a:off x="0" y="0"/>
                        <a:ext cx="4320000" cy="539280"/>
                      </a:xfrm>
                      <a:prstGeom prst="rect">
                        <a:avLst/>
                      </a:prstGeom>
                      <a:noFill/>
                      <a:ln w="6350">
                        <a:noFill/>
                      </a:ln>
                    </wps:spPr>
                    <wps:txbx>
                      <w:txbxContent>
                        <w:sdt>
                          <w:sdtPr>
                            <w:alias w:val="Title"/>
                            <w:tag w:val=""/>
                            <w:id w:val="-2054678285"/>
                            <w:dataBinding w:prefixMappings="xmlns:ns0='http://purl.org/dc/elements/1.1/' xmlns:ns1='http://schemas.openxmlformats.org/package/2006/metadata/core-properties' " w:xpath="/ns1:coreProperties[1]/ns0:title[1]" w:storeItemID="{6C3C8BC8-F283-45AE-878A-BAB7291924A1}"/>
                            <w:text/>
                          </w:sdtPr>
                          <w:sdtContent>
                            <w:p w14:paraId="283FA2CA" w14:textId="51057355" w:rsidR="008E07C6" w:rsidRDefault="008E07C6" w:rsidP="00E50D64">
                              <w:pPr>
                                <w:pStyle w:val="Footer"/>
                              </w:pPr>
                              <w:r>
                                <w:t>REDUCING HEAVY VEHICLE LANE DEPARTURE CRASHES</w:t>
                              </w:r>
                            </w:p>
                          </w:sdtContent>
                        </w:sdt>
                      </w:txbxContent>
                    </wps:txbx>
                    <wps:bodyPr rot="0" spcFirstLastPara="0" vertOverflow="overflow" horzOverflow="overflow" vert="horz" wrap="square" lIns="1008000" tIns="0" rIns="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C811F9" id="Text Box 18" o:spid="_x0000_s1027" type="#_x0000_t202" alt="Title: background - Description: background" style="position:absolute;left:0;text-align:left;margin-left:0;margin-top:0;width:340.15pt;height:42.45pt;z-index:-251640832;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" filled="f" stroked="f" strokeweight=".5pt">
              <v:textbox inset="28mm,0,0,10mm">
                <w:txbxContent>
                  <w:sdt>
                    <w:sdtPr>
                      <w:alias w:val="Title"/>
                      <w:tag w:val=""/>
                      <w:id w:val="-2054678285"/>
                      <w:dataBinding w:prefixMappings="xmlns:ns0='http://purl.org/dc/elements/1.1/' xmlns:ns1='http://schemas.openxmlformats.org/package/2006/metadata/core-properties' " w:xpath="/ns1:coreProperties[1]/ns0:title[1]" w:storeItemID="{6C3C8BC8-F283-45AE-878A-BAB7291924A1}"/>
                      <w:text/>
                    </w:sdtPr>
                    <w:sdtContent>
                      <w:p w14:paraId="283FA2CA" w14:textId="51057355" w:rsidR="008E07C6" w:rsidRDefault="008E07C6" w:rsidP="00E50D64">
                        <w:pPr>
                          <w:pStyle w:val="Footer"/>
                        </w:pPr>
                        <w:r>
                          <w:t>REDUCING HEAVY VEHICLE LANE DEPARTURE CRASHES</w:t>
                        </w:r>
                      </w:p>
                    </w:sdtContent>
                  </w:sdt>
                </w:txbxContent>
              </v:textbox>
              <w10:wrap anchorx="page" anchory="page"/>
              <w10:anchorlock/>
            </v:shape>
          </w:pict>
        </mc:Fallback>
      </mc:AlternateContent>
    </w:r>
    <w:r>
      <w:rPr>
        <w:noProof/>
        <w:lang w:eastAsia="en-AU"/>
      </w:rPr>
      <w:drawing>
        <wp:anchor distT="0" distB="0" distL="114300" distR="114300" simplePos="0" relativeHeight="251674624" behindDoc="1" locked="1" layoutInCell="1" allowOverlap="1" wp14:anchorId="42C959FF" wp14:editId="418E6DDE">
          <wp:simplePos x="0" y="0"/>
          <wp:positionH relativeFrom="page">
            <wp:align>right</wp:align>
          </wp:positionH>
          <wp:positionV relativeFrom="page">
            <wp:align>bottom</wp:align>
          </wp:positionV>
          <wp:extent cx="10692000" cy="183240"/>
          <wp:effectExtent l="0" t="0" r="0" b="7620"/>
          <wp:wrapNone/>
          <wp:docPr id="19" name="Picture 19"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83240"/>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D3970D" w14:textId="77777777" w:rsidR="008E07C6" w:rsidRDefault="008E07C6" w:rsidP="00546218">
    <w:pPr>
      <w:pStyle w:val="Footer"/>
      <w:spacing w:before="720"/>
    </w:pPr>
    <w:r>
      <w:rPr>
        <w:noProof/>
        <w:lang w:eastAsia="en-AU"/>
      </w:rPr>
      <mc:AlternateContent>
        <mc:Choice Requires="wps">
          <w:drawing>
            <wp:anchor distT="0" distB="0" distL="114300" distR="114300" simplePos="0" relativeHeight="251662336" behindDoc="1" locked="1" layoutInCell="1" allowOverlap="1" wp14:anchorId="1019BC83" wp14:editId="46619F6B">
              <wp:simplePos x="0" y="0"/>
              <wp:positionH relativeFrom="page">
                <wp:align>right</wp:align>
              </wp:positionH>
              <wp:positionV relativeFrom="page">
                <wp:align>bottom</wp:align>
              </wp:positionV>
              <wp:extent cx="1007640" cy="539640"/>
              <wp:effectExtent l="0" t="0" r="0" b="0"/>
              <wp:wrapNone/>
              <wp:docPr id="4" name="Text Box 4" descr="background" title="background"/>
              <wp:cNvGraphicFramePr/>
              <a:graphic xmlns:a="http://schemas.openxmlformats.org/drawingml/2006/main">
                <a:graphicData uri="http://schemas.microsoft.com/office/word/2010/wordprocessingShape">
                  <wps:wsp>
                    <wps:cNvSpPr txBox="1"/>
                    <wps:spPr>
                      <a:xfrm>
                        <a:off x="0" y="0"/>
                        <a:ext cx="1007640" cy="539640"/>
                      </a:xfrm>
                      <a:prstGeom prst="rect">
                        <a:avLst/>
                      </a:prstGeom>
                      <a:noFill/>
                      <a:ln w="6350">
                        <a:noFill/>
                      </a:ln>
                    </wps:spPr>
                    <wps:txbx>
                      <w:txbxContent>
                        <w:p w14:paraId="51B63F37" w14:textId="7690CCFA" w:rsidR="008E07C6" w:rsidRPr="007A05BE" w:rsidRDefault="008E07C6" w:rsidP="007A05BE">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21</w:t>
                          </w:r>
                          <w:r w:rsidRPr="007A05BE">
                            <w:rPr>
                              <w:rStyle w:val="PageNumber"/>
                            </w:rPr>
                            <w:fldChar w:fldCharType="end"/>
                          </w:r>
                        </w:p>
                      </w:txbxContent>
                    </wps:txbx>
                    <wps:bodyPr rot="0" spcFirstLastPara="0" vertOverflow="overflow" horzOverflow="overflow" vert="horz" wrap="square" lIns="0" tIns="0" rIns="64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19BC83" id="_x0000_t202" coordsize="21600,21600" o:spt="202" path="m,l,21600r21600,l21600,xe">
              <v:stroke joinstyle="miter"/>
              <v:path gradientshapeok="t" o:connecttype="rect"/>
            </v:shapetype>
            <v:shape id="Text Box 4" o:spid="_x0000_s1028" type="#_x0000_t202" alt="Title: background - Description: background" style="position:absolute;margin-left:28.15pt;margin-top:0;width:79.35pt;height:42.5pt;z-index:-25165414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" filled="f" stroked="f" strokeweight=".5pt">
              <v:textbox inset="0,0,18mm,10mm">
                <w:txbxContent>
                  <w:p w14:paraId="51B63F37" w14:textId="7690CCFA" w:rsidR="008E07C6" w:rsidRPr="007A05BE" w:rsidRDefault="008E07C6" w:rsidP="007A05BE">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21</w:t>
                    </w:r>
                    <w:r w:rsidRPr="007A05BE">
                      <w:rPr>
                        <w:rStyle w:val="PageNumber"/>
                      </w:rPr>
                      <w:fldChar w:fldCharType="end"/>
                    </w:r>
                  </w:p>
                </w:txbxContent>
              </v:textbox>
              <w10:wrap anchorx="page" anchory="page"/>
              <w10:anchorlock/>
            </v:shape>
          </w:pict>
        </mc:Fallback>
      </mc:AlternateContent>
    </w:r>
    <w:r>
      <w:rPr>
        <w:noProof/>
        <w:lang w:eastAsia="en-AU"/>
      </w:rPr>
      <mc:AlternateContent>
        <mc:Choice Requires="wps">
          <w:drawing>
            <wp:anchor distT="0" distB="0" distL="114300" distR="114300" simplePos="0" relativeHeight="251660288" behindDoc="1" locked="1" layoutInCell="1" allowOverlap="1" wp14:anchorId="2A2D9DB2" wp14:editId="330776A1">
              <wp:simplePos x="0" y="0"/>
              <wp:positionH relativeFrom="page">
                <wp:align>right</wp:align>
              </wp:positionH>
              <wp:positionV relativeFrom="page">
                <wp:align>bottom</wp:align>
              </wp:positionV>
              <wp:extent cx="4320000" cy="539640"/>
              <wp:effectExtent l="0" t="0" r="0" b="0"/>
              <wp:wrapNone/>
              <wp:docPr id="3" name="Text Box 3" descr="background" title="background"/>
              <wp:cNvGraphicFramePr/>
              <a:graphic xmlns:a="http://schemas.openxmlformats.org/drawingml/2006/main">
                <a:graphicData uri="http://schemas.microsoft.com/office/word/2010/wordprocessingShape">
                  <wps:wsp>
                    <wps:cNvSpPr txBox="1"/>
                    <wps:spPr>
                      <a:xfrm>
                        <a:off x="0" y="0"/>
                        <a:ext cx="4320000" cy="539640"/>
                      </a:xfrm>
                      <a:prstGeom prst="rect">
                        <a:avLst/>
                      </a:prstGeom>
                      <a:noFill/>
                      <a:ln w="6350">
                        <a:noFill/>
                      </a:ln>
                    </wps:spPr>
                    <wps:txbx>
                      <w:txbxContent>
                        <w:sdt>
                          <w:sdtPr>
                            <w:alias w:val="Title"/>
                            <w:tag w:val=""/>
                            <w:id w:val="729659418"/>
                            <w:dataBinding w:prefixMappings="xmlns:ns0='http://purl.org/dc/elements/1.1/' xmlns:ns1='http://schemas.openxmlformats.org/package/2006/metadata/core-properties' " w:xpath="/ns1:coreProperties[1]/ns0:title[1]" w:storeItemID="{6C3C8BC8-F283-45AE-878A-BAB7291924A1}"/>
                            <w:text/>
                          </w:sdtPr>
                          <w:sdtContent>
                            <w:p w14:paraId="4BA01C04" w14:textId="60877146" w:rsidR="008E07C6" w:rsidRDefault="008E07C6" w:rsidP="007A05BE">
                              <w:pPr>
                                <w:pStyle w:val="Footer"/>
                                <w:jc w:val="right"/>
                              </w:pPr>
                              <w:r>
                                <w:t>REDUCING HEAVY VEHICLE LANE DEPARTURE CRASHES</w:t>
                              </w:r>
                            </w:p>
                          </w:sdtContent>
                        </w:sdt>
                      </w:txbxContent>
                    </wps:txbx>
                    <wps:bodyPr rot="0" spcFirstLastPara="0" vertOverflow="overflow" horzOverflow="overflow" vert="horz" wrap="square" lIns="0" tIns="0" rIns="100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2D9DB2" id="Text Box 3" o:spid="_x0000_s1029" type="#_x0000_t202" alt="Title: background - Description: background" style="position:absolute;margin-left:288.95pt;margin-top:0;width:340.15pt;height:42.5pt;z-index:-251656192;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" filled="f" stroked="f" strokeweight=".5pt">
              <v:textbox inset="0,0,28mm,10mm">
                <w:txbxContent>
                  <w:sdt>
                    <w:sdtPr>
                      <w:alias w:val="Title"/>
                      <w:tag w:val=""/>
                      <w:id w:val="729659418"/>
                      <w:dataBinding w:prefixMappings="xmlns:ns0='http://purl.org/dc/elements/1.1/' xmlns:ns1='http://schemas.openxmlformats.org/package/2006/metadata/core-properties' " w:xpath="/ns1:coreProperties[1]/ns0:title[1]" w:storeItemID="{6C3C8BC8-F283-45AE-878A-BAB7291924A1}"/>
                      <w:text/>
                    </w:sdtPr>
                    <w:sdtContent>
                      <w:p w14:paraId="4BA01C04" w14:textId="60877146" w:rsidR="008E07C6" w:rsidRDefault="008E07C6" w:rsidP="007A05BE">
                        <w:pPr>
                          <w:pStyle w:val="Footer"/>
                          <w:jc w:val="right"/>
                        </w:pPr>
                        <w:r>
                          <w:t>REDUCING HEAVY VEHICLE LANE DEPARTURE CRASHES</w:t>
                        </w:r>
                      </w:p>
                    </w:sdtContent>
                  </w:sdt>
                </w:txbxContent>
              </v:textbox>
              <w10:wrap anchorx="page" anchory="page"/>
              <w10:anchorlock/>
            </v:shape>
          </w:pict>
        </mc:Fallback>
      </mc:AlternateContent>
    </w:r>
    <w:r>
      <w:rPr>
        <w:noProof/>
        <w:lang w:eastAsia="en-AU"/>
      </w:rPr>
      <w:drawing>
        <wp:anchor distT="0" distB="0" distL="114300" distR="114300" simplePos="0" relativeHeight="251659264" behindDoc="1" locked="1" layoutInCell="1" allowOverlap="1" wp14:anchorId="405EC479" wp14:editId="0EA42276">
          <wp:simplePos x="0" y="0"/>
          <wp:positionH relativeFrom="page">
            <wp:align>right</wp:align>
          </wp:positionH>
          <wp:positionV relativeFrom="page">
            <wp:align>bottom</wp:align>
          </wp:positionV>
          <wp:extent cx="10692000" cy="183240"/>
          <wp:effectExtent l="0" t="0" r="0" b="7620"/>
          <wp:wrapNone/>
          <wp:docPr id="2" name="Picture 2"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8324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31D9F7" w14:textId="77777777" w:rsidR="008E07C6" w:rsidRDefault="008E07C6" w:rsidP="00546218">
    <w:pPr>
      <w:pStyle w:val="Footer"/>
      <w:spacing w:before="720"/>
    </w:pPr>
    <w:r>
      <w:rPr>
        <w:noProof/>
        <w:lang w:eastAsia="en-AU"/>
      </w:rPr>
      <mc:AlternateContent>
        <mc:Choice Requires="wps">
          <w:drawing>
            <wp:anchor distT="0" distB="0" distL="114300" distR="114300" simplePos="0" relativeHeight="251672576" behindDoc="1" locked="1" layoutInCell="1" allowOverlap="1" wp14:anchorId="49CACDCD" wp14:editId="04460F83">
              <wp:simplePos x="0" y="0"/>
              <wp:positionH relativeFrom="page">
                <wp:posOffset>6552565</wp:posOffset>
              </wp:positionH>
              <wp:positionV relativeFrom="page">
                <wp:posOffset>10153015</wp:posOffset>
              </wp:positionV>
              <wp:extent cx="1007110" cy="539115"/>
              <wp:effectExtent l="0" t="0" r="0" b="0"/>
              <wp:wrapNone/>
              <wp:docPr id="11" name="Text Box 11" descr="background" title="background"/>
              <wp:cNvGraphicFramePr/>
              <a:graphic xmlns:a="http://schemas.openxmlformats.org/drawingml/2006/main">
                <a:graphicData uri="http://schemas.microsoft.com/office/word/2010/wordprocessingShape">
                  <wps:wsp>
                    <wps:cNvSpPr txBox="1"/>
                    <wps:spPr>
                      <a:xfrm>
                        <a:off x="0" y="0"/>
                        <a:ext cx="1007110" cy="539115"/>
                      </a:xfrm>
                      <a:prstGeom prst="rect">
                        <a:avLst/>
                      </a:prstGeom>
                      <a:noFill/>
                      <a:ln w="6350">
                        <a:noFill/>
                      </a:ln>
                    </wps:spPr>
                    <wps:txbx>
                      <w:txbxContent>
                        <w:p w14:paraId="6A0C93C8" w14:textId="2FFDDAEA" w:rsidR="008E07C6" w:rsidRPr="007A05BE" w:rsidRDefault="008E07C6" w:rsidP="00546218">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D55889">
                            <w:rPr>
                              <w:rStyle w:val="PageNumber"/>
                              <w:noProof/>
                            </w:rPr>
                            <w:t>7</w:t>
                          </w:r>
                          <w:r w:rsidRPr="007A05BE">
                            <w:rPr>
                              <w:rStyle w:val="PageNumber"/>
                            </w:rPr>
                            <w:fldChar w:fldCharType="end"/>
                          </w:r>
                        </w:p>
                      </w:txbxContent>
                    </wps:txbx>
                    <wps:bodyPr rot="0" spcFirstLastPara="0" vertOverflow="overflow" horzOverflow="overflow" vert="horz" wrap="square" lIns="0" tIns="0" rIns="64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9CACDCD" id="_x0000_t202" coordsize="21600,21600" o:spt="202" path="m,l,21600r21600,l21600,xe">
              <v:stroke joinstyle="miter"/>
              <v:path gradientshapeok="t" o:connecttype="rect"/>
            </v:shapetype>
            <v:shape id="Text Box 11" o:spid="_x0000_s1030" type="#_x0000_t202" alt="Title: background - Description: background" style="position:absolute;margin-left:515.95pt;margin-top:799.45pt;width:79.3pt;height:42.45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" filled="f" stroked="f" strokeweight=".5pt">
              <v:textbox inset="0,0,18mm,10mm">
                <w:txbxContent>
                  <w:p w14:paraId="6A0C93C8" w14:textId="2FFDDAEA" w:rsidR="008E07C6" w:rsidRPr="007A05BE" w:rsidRDefault="008E07C6" w:rsidP="00546218">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sidR="00D55889">
                      <w:rPr>
                        <w:rStyle w:val="PageNumber"/>
                        <w:noProof/>
                      </w:rPr>
                      <w:t>7</w:t>
                    </w:r>
                    <w:r w:rsidRPr="007A05BE">
                      <w:rPr>
                        <w:rStyle w:val="PageNumber"/>
                      </w:rPr>
                      <w:fldChar w:fldCharType="end"/>
                    </w:r>
                  </w:p>
                </w:txbxContent>
              </v:textbox>
              <w10:wrap anchorx="page" anchory="page"/>
              <w10:anchorlock/>
            </v:shape>
          </w:pict>
        </mc:Fallback>
      </mc:AlternateContent>
    </w:r>
    <w:r>
      <w:rPr>
        <w:noProof/>
        <w:lang w:eastAsia="en-AU"/>
      </w:rPr>
      <mc:AlternateContent>
        <mc:Choice Requires="wps">
          <w:drawing>
            <wp:anchor distT="0" distB="0" distL="114300" distR="114300" simplePos="0" relativeHeight="251671552" behindDoc="1" locked="1" layoutInCell="1" allowOverlap="1" wp14:anchorId="0ECDC67F" wp14:editId="0744A891">
              <wp:simplePos x="0" y="0"/>
              <wp:positionH relativeFrom="page">
                <wp:align>right</wp:align>
              </wp:positionH>
              <wp:positionV relativeFrom="page">
                <wp:align>bottom</wp:align>
              </wp:positionV>
              <wp:extent cx="4320000" cy="539640"/>
              <wp:effectExtent l="0" t="0" r="0" b="0"/>
              <wp:wrapNone/>
              <wp:docPr id="12" name="Text Box 12" descr="background" title="background"/>
              <wp:cNvGraphicFramePr/>
              <a:graphic xmlns:a="http://schemas.openxmlformats.org/drawingml/2006/main">
                <a:graphicData uri="http://schemas.microsoft.com/office/word/2010/wordprocessingShape">
                  <wps:wsp>
                    <wps:cNvSpPr txBox="1"/>
                    <wps:spPr>
                      <a:xfrm>
                        <a:off x="0" y="0"/>
                        <a:ext cx="4320000" cy="539640"/>
                      </a:xfrm>
                      <a:prstGeom prst="rect">
                        <a:avLst/>
                      </a:prstGeom>
                      <a:noFill/>
                      <a:ln w="6350">
                        <a:noFill/>
                      </a:ln>
                    </wps:spPr>
                    <wps:txbx>
                      <w:txbxContent>
                        <w:sdt>
                          <w:sdtPr>
                            <w:alias w:val="Title"/>
                            <w:tag w:val=""/>
                            <w:id w:val="-555467422"/>
                            <w:dataBinding w:prefixMappings="xmlns:ns0='http://purl.org/dc/elements/1.1/' xmlns:ns1='http://schemas.openxmlformats.org/package/2006/metadata/core-properties' " w:xpath="/ns1:coreProperties[1]/ns0:title[1]" w:storeItemID="{6C3C8BC8-F283-45AE-878A-BAB7291924A1}"/>
                            <w:text/>
                          </w:sdtPr>
                          <w:sdtContent>
                            <w:p w14:paraId="13C3EF50" w14:textId="25ACE313" w:rsidR="008E07C6" w:rsidRDefault="008E07C6" w:rsidP="00546218">
                              <w:pPr>
                                <w:pStyle w:val="Footer"/>
                                <w:jc w:val="right"/>
                              </w:pPr>
                              <w:r>
                                <w:t>REDUCING HEAVY VEHICLE LANE DEPARTURE CRASHES</w:t>
                              </w:r>
                            </w:p>
                          </w:sdtContent>
                        </w:sdt>
                      </w:txbxContent>
                    </wps:txbx>
                    <wps:bodyPr rot="0" spcFirstLastPara="0" vertOverflow="overflow" horzOverflow="overflow" vert="horz" wrap="square" lIns="0" tIns="0" rIns="100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CDC67F" id="Text Box 12" o:spid="_x0000_s1031" type="#_x0000_t202" alt="Title: background - Description: background" style="position:absolute;margin-left:288.95pt;margin-top:0;width:340.15pt;height:42.5pt;z-index:-251644928;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" filled="f" stroked="f" strokeweight=".5pt">
              <v:textbox inset="0,0,28mm,10mm">
                <w:txbxContent>
                  <w:sdt>
                    <w:sdtPr>
                      <w:alias w:val="Title"/>
                      <w:tag w:val=""/>
                      <w:id w:val="-555467422"/>
                      <w:dataBinding w:prefixMappings="xmlns:ns0='http://purl.org/dc/elements/1.1/' xmlns:ns1='http://schemas.openxmlformats.org/package/2006/metadata/core-properties' " w:xpath="/ns1:coreProperties[1]/ns0:title[1]" w:storeItemID="{6C3C8BC8-F283-45AE-878A-BAB7291924A1}"/>
                      <w:text/>
                    </w:sdtPr>
                    <w:sdtContent>
                      <w:p w14:paraId="13C3EF50" w14:textId="25ACE313" w:rsidR="008E07C6" w:rsidRDefault="008E07C6" w:rsidP="00546218">
                        <w:pPr>
                          <w:pStyle w:val="Footer"/>
                          <w:jc w:val="right"/>
                        </w:pPr>
                        <w:r>
                          <w:t>REDUCING HEAVY VEHICLE LANE DEPARTURE CRASHES</w:t>
                        </w:r>
                      </w:p>
                    </w:sdtContent>
                  </w:sdt>
                </w:txbxContent>
              </v:textbox>
              <w10:wrap anchorx="page" anchory="page"/>
              <w10:anchorlock/>
            </v:shape>
          </w:pict>
        </mc:Fallback>
      </mc:AlternateContent>
    </w:r>
    <w:r>
      <w:rPr>
        <w:noProof/>
        <w:lang w:eastAsia="en-AU"/>
      </w:rPr>
      <w:drawing>
        <wp:anchor distT="0" distB="0" distL="114300" distR="114300" simplePos="0" relativeHeight="251670528" behindDoc="1" locked="1" layoutInCell="1" allowOverlap="1" wp14:anchorId="70037F84" wp14:editId="513FD7AC">
          <wp:simplePos x="0" y="0"/>
          <wp:positionH relativeFrom="page">
            <wp:posOffset>-3121660</wp:posOffset>
          </wp:positionH>
          <wp:positionV relativeFrom="page">
            <wp:posOffset>10501630</wp:posOffset>
          </wp:positionV>
          <wp:extent cx="10691495" cy="182880"/>
          <wp:effectExtent l="0" t="0" r="1905" b="0"/>
          <wp:wrapNone/>
          <wp:docPr id="6" name="Picture 6"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1495" cy="182880"/>
                  </a:xfrm>
                  <a:prstGeom prst="rect">
                    <a:avLst/>
                  </a:prstGeom>
                </pic:spPr>
              </pic:pic>
            </a:graphicData>
          </a:graphic>
          <wp14:sizeRelH relativeFrom="margin">
            <wp14:pctWidth>0</wp14:pctWidth>
          </wp14:sizeRelH>
          <wp14:sizeRelV relativeFrom="margin">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1CF0F9" w14:textId="77777777" w:rsidR="008E07C6" w:rsidRDefault="008E07C6" w:rsidP="00546218">
    <w:pPr>
      <w:pStyle w:val="Footer"/>
      <w:spacing w:before="720"/>
    </w:pPr>
    <w:r>
      <w:rPr>
        <w:noProof/>
        <w:lang w:eastAsia="en-AU"/>
      </w:rPr>
      <mc:AlternateContent>
        <mc:Choice Requires="wps">
          <w:drawing>
            <wp:anchor distT="0" distB="0" distL="114300" distR="114300" simplePos="0" relativeHeight="251668480" behindDoc="1" locked="1" layoutInCell="1" allowOverlap="1" wp14:anchorId="1941D0E8" wp14:editId="0CF80B95">
              <wp:simplePos x="0" y="0"/>
              <wp:positionH relativeFrom="page">
                <wp:align>right</wp:align>
              </wp:positionH>
              <wp:positionV relativeFrom="page">
                <wp:align>bottom</wp:align>
              </wp:positionV>
              <wp:extent cx="1007640" cy="539640"/>
              <wp:effectExtent l="0" t="0" r="0" b="0"/>
              <wp:wrapNone/>
              <wp:docPr id="8" name="Text Box 8" descr="background" title="background"/>
              <wp:cNvGraphicFramePr/>
              <a:graphic xmlns:a="http://schemas.openxmlformats.org/drawingml/2006/main">
                <a:graphicData uri="http://schemas.microsoft.com/office/word/2010/wordprocessingShape">
                  <wps:wsp>
                    <wps:cNvSpPr txBox="1"/>
                    <wps:spPr>
                      <a:xfrm>
                        <a:off x="0" y="0"/>
                        <a:ext cx="1007640" cy="539640"/>
                      </a:xfrm>
                      <a:prstGeom prst="rect">
                        <a:avLst/>
                      </a:prstGeom>
                      <a:noFill/>
                      <a:ln w="6350">
                        <a:noFill/>
                      </a:ln>
                    </wps:spPr>
                    <wps:txbx>
                      <w:txbxContent>
                        <w:p w14:paraId="1BED4683" w14:textId="188FD669" w:rsidR="008E07C6" w:rsidRPr="007A05BE" w:rsidRDefault="008E07C6" w:rsidP="00546218">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21</w:t>
                          </w:r>
                          <w:r w:rsidRPr="007A05BE">
                            <w:rPr>
                              <w:rStyle w:val="PageNumber"/>
                            </w:rPr>
                            <w:fldChar w:fldCharType="end"/>
                          </w:r>
                        </w:p>
                      </w:txbxContent>
                    </wps:txbx>
                    <wps:bodyPr rot="0" spcFirstLastPara="0" vertOverflow="overflow" horzOverflow="overflow" vert="horz" wrap="square" lIns="0" tIns="0" rIns="64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41D0E8" id="_x0000_t202" coordsize="21600,21600" o:spt="202" path="m,l,21600r21600,l21600,xe">
              <v:stroke joinstyle="miter"/>
              <v:path gradientshapeok="t" o:connecttype="rect"/>
            </v:shapetype>
            <v:shape id="Text Box 8" o:spid="_x0000_s1032" type="#_x0000_t202" alt="Title: background - Description: background" style="position:absolute;margin-left:28.15pt;margin-top:0;width:79.35pt;height:42.5pt;z-index:-251648000;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" filled="f" stroked="f" strokeweight=".5pt">
              <v:textbox inset="0,0,18mm,10mm">
                <w:txbxContent>
                  <w:p w14:paraId="1BED4683" w14:textId="188FD669" w:rsidR="008E07C6" w:rsidRPr="007A05BE" w:rsidRDefault="008E07C6" w:rsidP="00546218">
                    <w:pPr>
                      <w:pStyle w:val="Footer"/>
                      <w:jc w:val="right"/>
                      <w:rPr>
                        <w:rStyle w:val="PageNumber"/>
                      </w:rPr>
                    </w:pPr>
                    <w:r w:rsidRPr="007A05BE">
                      <w:rPr>
                        <w:rStyle w:val="PageNumber"/>
                      </w:rPr>
                      <w:fldChar w:fldCharType="begin"/>
                    </w:r>
                    <w:r w:rsidRPr="007A05BE">
                      <w:rPr>
                        <w:rStyle w:val="PageNumber"/>
                      </w:rPr>
                      <w:instrText xml:space="preserve"> PAGE   \* MERGEFORMAT </w:instrText>
                    </w:r>
                    <w:r w:rsidRPr="007A05BE">
                      <w:rPr>
                        <w:rStyle w:val="PageNumber"/>
                      </w:rPr>
                      <w:fldChar w:fldCharType="separate"/>
                    </w:r>
                    <w:r>
                      <w:rPr>
                        <w:rStyle w:val="PageNumber"/>
                        <w:noProof/>
                      </w:rPr>
                      <w:t>21</w:t>
                    </w:r>
                    <w:r w:rsidRPr="007A05BE">
                      <w:rPr>
                        <w:rStyle w:val="PageNumber"/>
                      </w:rPr>
                      <w:fldChar w:fldCharType="end"/>
                    </w:r>
                  </w:p>
                </w:txbxContent>
              </v:textbox>
              <w10:wrap anchorx="page" anchory="page"/>
              <w10:anchorlock/>
            </v:shape>
          </w:pict>
        </mc:Fallback>
      </mc:AlternateContent>
    </w:r>
    <w:r>
      <w:rPr>
        <w:noProof/>
        <w:lang w:eastAsia="en-AU"/>
      </w:rPr>
      <mc:AlternateContent>
        <mc:Choice Requires="wps">
          <w:drawing>
            <wp:anchor distT="0" distB="0" distL="114300" distR="114300" simplePos="0" relativeHeight="251667456" behindDoc="1" locked="1" layoutInCell="1" allowOverlap="1" wp14:anchorId="22E1088E" wp14:editId="2E11F69F">
              <wp:simplePos x="0" y="0"/>
              <wp:positionH relativeFrom="page">
                <wp:align>right</wp:align>
              </wp:positionH>
              <wp:positionV relativeFrom="page">
                <wp:align>bottom</wp:align>
              </wp:positionV>
              <wp:extent cx="4320000" cy="539640"/>
              <wp:effectExtent l="0" t="0" r="0" b="0"/>
              <wp:wrapNone/>
              <wp:docPr id="9" name="Text Box 9" descr="background" title="background"/>
              <wp:cNvGraphicFramePr/>
              <a:graphic xmlns:a="http://schemas.openxmlformats.org/drawingml/2006/main">
                <a:graphicData uri="http://schemas.microsoft.com/office/word/2010/wordprocessingShape">
                  <wps:wsp>
                    <wps:cNvSpPr txBox="1"/>
                    <wps:spPr>
                      <a:xfrm>
                        <a:off x="0" y="0"/>
                        <a:ext cx="4320000" cy="539640"/>
                      </a:xfrm>
                      <a:prstGeom prst="rect">
                        <a:avLst/>
                      </a:prstGeom>
                      <a:noFill/>
                      <a:ln w="6350">
                        <a:noFill/>
                      </a:ln>
                    </wps:spPr>
                    <wps:txbx>
                      <w:txbxContent>
                        <w:sdt>
                          <w:sdtPr>
                            <w:alias w:val="Title"/>
                            <w:tag w:val=""/>
                            <w:id w:val="962004615"/>
                            <w:dataBinding w:prefixMappings="xmlns:ns0='http://purl.org/dc/elements/1.1/' xmlns:ns1='http://schemas.openxmlformats.org/package/2006/metadata/core-properties' " w:xpath="/ns1:coreProperties[1]/ns0:title[1]" w:storeItemID="{6C3C8BC8-F283-45AE-878A-BAB7291924A1}"/>
                            <w:text/>
                          </w:sdtPr>
                          <w:sdtContent>
                            <w:p w14:paraId="190116D9" w14:textId="5C2ABB70" w:rsidR="008E07C6" w:rsidRDefault="008E07C6" w:rsidP="00546218">
                              <w:pPr>
                                <w:pStyle w:val="Footer"/>
                                <w:jc w:val="right"/>
                              </w:pPr>
                              <w:r>
                                <w:t>REDUCING HEAVY VEHICLE LANE DEPARTURE CRASHES</w:t>
                              </w:r>
                            </w:p>
                          </w:sdtContent>
                        </w:sdt>
                      </w:txbxContent>
                    </wps:txbx>
                    <wps:bodyPr rot="0" spcFirstLastPara="0" vertOverflow="overflow" horzOverflow="overflow" vert="horz" wrap="square" lIns="0" tIns="0" rIns="1008000" bIns="36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E1088E" id="Text Box 9" o:spid="_x0000_s1033" type="#_x0000_t202" alt="Title: background - Description: background" style="position:absolute;margin-left:288.95pt;margin-top:0;width:340.15pt;height:42.5pt;z-index:-25164902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" filled="f" stroked="f" strokeweight=".5pt">
              <v:textbox inset="0,0,28mm,10mm">
                <w:txbxContent>
                  <w:sdt>
                    <w:sdtPr>
                      <w:alias w:val="Title"/>
                      <w:tag w:val=""/>
                      <w:id w:val="962004615"/>
                      <w:dataBinding w:prefixMappings="xmlns:ns0='http://purl.org/dc/elements/1.1/' xmlns:ns1='http://schemas.openxmlformats.org/package/2006/metadata/core-properties' " w:xpath="/ns1:coreProperties[1]/ns0:title[1]" w:storeItemID="{6C3C8BC8-F283-45AE-878A-BAB7291924A1}"/>
                      <w:text/>
                    </w:sdtPr>
                    <w:sdtContent>
                      <w:p w14:paraId="190116D9" w14:textId="5C2ABB70" w:rsidR="008E07C6" w:rsidRDefault="008E07C6" w:rsidP="00546218">
                        <w:pPr>
                          <w:pStyle w:val="Footer"/>
                          <w:jc w:val="right"/>
                        </w:pPr>
                        <w:r>
                          <w:t>REDUCING HEAVY VEHICLE LANE DEPARTURE CRASHES</w:t>
                        </w:r>
                      </w:p>
                    </w:sdtContent>
                  </w:sdt>
                </w:txbxContent>
              </v:textbox>
              <w10:wrap anchorx="page" anchory="page"/>
              <w10:anchorlock/>
            </v:shape>
          </w:pict>
        </mc:Fallback>
      </mc:AlternateContent>
    </w:r>
    <w:r>
      <w:rPr>
        <w:noProof/>
        <w:lang w:eastAsia="en-AU"/>
      </w:rPr>
      <w:drawing>
        <wp:anchor distT="0" distB="0" distL="114300" distR="114300" simplePos="0" relativeHeight="251666432" behindDoc="1" locked="1" layoutInCell="1" allowOverlap="1" wp14:anchorId="022EECBC" wp14:editId="5D3C99E6">
          <wp:simplePos x="0" y="0"/>
          <wp:positionH relativeFrom="page">
            <wp:align>right</wp:align>
          </wp:positionH>
          <wp:positionV relativeFrom="page">
            <wp:align>bottom</wp:align>
          </wp:positionV>
          <wp:extent cx="10692000" cy="183240"/>
          <wp:effectExtent l="0" t="0" r="0" b="7620"/>
          <wp:wrapNone/>
          <wp:docPr id="7" name="Picture 7" descr="background" title="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eport-Template-Long_BGs-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8324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D1ED64" w14:textId="77777777" w:rsidR="008E07C6" w:rsidRPr="005912BE" w:rsidRDefault="008E07C6" w:rsidP="005912BE">
      <w:pPr>
        <w:spacing w:before="300"/>
        <w:rPr>
          <w:color w:val="4BB3B5" w:themeColor="accent2"/>
        </w:rPr>
      </w:pPr>
      <w:r>
        <w:rPr>
          <w:color w:val="4BB3B5" w:themeColor="accent2"/>
        </w:rPr>
        <w:t>----------</w:t>
      </w:r>
    </w:p>
  </w:footnote>
  <w:footnote w:type="continuationSeparator" w:id="0">
    <w:p w14:paraId="5B1D42B9" w14:textId="77777777" w:rsidR="008E07C6" w:rsidRDefault="008E07C6" w:rsidP="008456D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4AF203" w14:textId="1269EC39" w:rsidR="008E07C6" w:rsidRDefault="008E07C6" w:rsidP="00D87AD8">
    <w:pPr>
      <w:pStyle w:val="Header"/>
      <w:spacing w:after="1320"/>
      <w:jc w:val="left"/>
    </w:pPr>
    <w:fldSimple w:instr=" STYLEREF  &quot;Heading 1&quot;  \* MERGEFORMAT ">
      <w:r>
        <w:rPr>
          <w:noProof/>
        </w:rPr>
        <w:t>Executive Summary</w:t>
      </w:r>
    </w:fldSimple>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72C754" w14:textId="77777777" w:rsidR="008E07C6" w:rsidRDefault="008E07C6" w:rsidP="00546218">
    <w:pPr>
      <w:pStyle w:val="Header"/>
      <w:spacing w:after="132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1C7FDB" w14:textId="77777777" w:rsidR="008E07C6" w:rsidRPr="005912BE" w:rsidRDefault="008E07C6" w:rsidP="005912BE">
    <w:pPr>
      <w:pStyle w:val="Header"/>
      <w:spacing w:after="1320"/>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DF1748" w14:textId="77777777" w:rsidR="008E07C6" w:rsidRDefault="008E07C6" w:rsidP="00546218">
    <w:pPr>
      <w:pStyle w:val="Header"/>
      <w:spacing w:after="1320"/>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6E783C" w14:textId="77777777" w:rsidR="008E07C6" w:rsidRPr="002D7327" w:rsidRDefault="008E07C6" w:rsidP="005912BE">
    <w:pPr>
      <w:pStyle w:val="Header"/>
      <w:spacing w:after="1320"/>
      <w:rPr>
        <w:lang w:val="en-US"/>
      </w:rPr>
    </w:pPr>
    <w:r>
      <w:rPr>
        <w:lang w:val="en-US"/>
      </w:rPr>
      <w:t xml:space="preserve">Consultation Regulation Impact Statement - </w:t>
    </w:r>
    <w:r w:rsidRPr="002D7327">
      <w:rPr>
        <w:lang w:val="en-US"/>
      </w:rPr>
      <w:t>Department of Infra</w:t>
    </w:r>
    <w:r>
      <w:rPr>
        <w:lang w:val="en-US"/>
      </w:rPr>
      <w:t>structure, Transport, Regional Development and Communications</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6B403B" w14:textId="58D2674D" w:rsidR="008E07C6" w:rsidRDefault="008E07C6" w:rsidP="005912BE">
    <w:pPr>
      <w:pStyle w:val="Header"/>
      <w:spacing w:after="1320"/>
    </w:pPr>
    <w:fldSimple w:instr=" STYLEREF  &quot;Heading 1&quot;  \* MERGEFORMAT ">
      <w:r>
        <w:rPr>
          <w:noProof/>
        </w:rPr>
        <w:t>Executive Summary</w:t>
      </w:r>
    </w:fldSimple>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F552B9"/>
    <w:multiLevelType w:val="multilevel"/>
    <w:tmpl w:val="9E1E9102"/>
    <w:styleLink w:val="ListNumbered"/>
    <w:lvl w:ilvl="0">
      <w:start w:val="1"/>
      <w:numFmt w:val="decimal"/>
      <w:pStyle w:val="ListNumbered1"/>
      <w:lvlText w:val="%1."/>
      <w:lvlJc w:val="left"/>
      <w:pPr>
        <w:ind w:left="284" w:hanging="284"/>
      </w:pPr>
      <w:rPr>
        <w:rFonts w:hint="default"/>
      </w:rPr>
    </w:lvl>
    <w:lvl w:ilvl="1">
      <w:start w:val="1"/>
      <w:numFmt w:val="decimal"/>
      <w:pStyle w:val="ListNumbered21"/>
      <w:lvlText w:val="%1.%2"/>
      <w:lvlJc w:val="left"/>
      <w:pPr>
        <w:ind w:left="851" w:hanging="567"/>
      </w:pPr>
      <w:rPr>
        <w:rFonts w:hint="default"/>
      </w:rPr>
    </w:lvl>
    <w:lvl w:ilvl="2">
      <w:start w:val="1"/>
      <w:numFmt w:val="decimal"/>
      <w:pStyle w:val="ListNumbered311"/>
      <w:lvlText w:val="%1.%2.%3"/>
      <w:lvlJc w:val="left"/>
      <w:pPr>
        <w:ind w:left="1701" w:hanging="850"/>
      </w:pPr>
      <w:rPr>
        <w:rFonts w:hint="default"/>
      </w:rPr>
    </w:lvl>
    <w:lvl w:ilvl="3">
      <w:start w:val="1"/>
      <w:numFmt w:val="decimal"/>
      <w:lvlText w:val="%1.%2.%3.%4"/>
      <w:lvlJc w:val="left"/>
      <w:pPr>
        <w:ind w:left="1440" w:hanging="360"/>
      </w:pPr>
      <w:rPr>
        <w:rFonts w:hint="default"/>
      </w:rPr>
    </w:lvl>
    <w:lvl w:ilvl="4">
      <w:start w:val="1"/>
      <w:numFmt w:val="decimal"/>
      <w:lvlText w:val="%1.%2.%3.%4.%5"/>
      <w:lvlJc w:val="left"/>
      <w:pPr>
        <w:ind w:left="2552" w:hanging="851"/>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51E7A6E"/>
    <w:multiLevelType w:val="multilevel"/>
    <w:tmpl w:val="AC7A6284"/>
    <w:styleLink w:val="Appendices"/>
    <w:lvl w:ilvl="0">
      <w:start w:val="1"/>
      <w:numFmt w:val="decimal"/>
      <w:suff w:val="space"/>
      <w:lvlText w:val="Appendix %1 —"/>
      <w:lvlJc w:val="left"/>
      <w:pPr>
        <w:ind w:left="1871" w:hanging="1871"/>
      </w:pPr>
      <w:rPr>
        <w:rFonts w:hint="default"/>
      </w:rPr>
    </w:lvl>
    <w:lvl w:ilvl="1">
      <w:start w:val="1"/>
      <w:numFmt w:val="decimal"/>
      <w:lvlText w:val="%1.%2."/>
      <w:lvlJc w:val="left"/>
      <w:pPr>
        <w:ind w:left="357" w:hanging="357"/>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D621AED"/>
    <w:multiLevelType w:val="multilevel"/>
    <w:tmpl w:val="C2EED61A"/>
    <w:numStyleLink w:val="NumberedHeadings"/>
  </w:abstractNum>
  <w:abstractNum w:abstractNumId="3" w15:restartNumberingAfterBreak="0">
    <w:nsid w:val="0E016AAE"/>
    <w:multiLevelType w:val="hybridMultilevel"/>
    <w:tmpl w:val="B20269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E031C0"/>
    <w:multiLevelType w:val="hybridMultilevel"/>
    <w:tmpl w:val="F048BA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A64F7A"/>
    <w:multiLevelType w:val="hybridMultilevel"/>
    <w:tmpl w:val="81727D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35D101B"/>
    <w:multiLevelType w:val="hybridMultilevel"/>
    <w:tmpl w:val="DCAC6F2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8287EAC"/>
    <w:multiLevelType w:val="hybridMultilevel"/>
    <w:tmpl w:val="C7628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AF69D8"/>
    <w:multiLevelType w:val="multilevel"/>
    <w:tmpl w:val="81DC60A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21E472D7"/>
    <w:multiLevelType w:val="hybridMultilevel"/>
    <w:tmpl w:val="D362DA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3F52B8C"/>
    <w:multiLevelType w:val="hybridMultilevel"/>
    <w:tmpl w:val="808A8CB2"/>
    <w:lvl w:ilvl="0" w:tplc="086ECC00">
      <w:start w:val="1"/>
      <w:numFmt w:val="decimal"/>
      <w:pStyle w:val="Appendix-Heading"/>
      <w:suff w:val="nothing"/>
      <w:lvlText w:val="Appendix %1"/>
      <w:lvlJc w:val="left"/>
      <w:pPr>
        <w:ind w:left="1474" w:hanging="1474"/>
      </w:pPr>
      <w:rPr>
        <w:rFonts w:ascii="Cambria" w:hAnsi="Cambria" w:cs="Times New Roman"/>
        <w:b/>
        <w:bCs w:val="0"/>
        <w:i w:val="0"/>
        <w:iCs w:val="0"/>
        <w:caps/>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lowerLetter"/>
      <w:lvlText w:val="%2."/>
      <w:lvlJc w:val="left"/>
      <w:pPr>
        <w:ind w:left="-2104" w:hanging="360"/>
      </w:pPr>
    </w:lvl>
    <w:lvl w:ilvl="2" w:tplc="0C09001B" w:tentative="1">
      <w:start w:val="1"/>
      <w:numFmt w:val="lowerRoman"/>
      <w:lvlText w:val="%3."/>
      <w:lvlJc w:val="right"/>
      <w:pPr>
        <w:ind w:left="-1384" w:hanging="180"/>
      </w:pPr>
    </w:lvl>
    <w:lvl w:ilvl="3" w:tplc="0C09000F" w:tentative="1">
      <w:start w:val="1"/>
      <w:numFmt w:val="decimal"/>
      <w:lvlText w:val="%4."/>
      <w:lvlJc w:val="left"/>
      <w:pPr>
        <w:ind w:left="-664" w:hanging="360"/>
      </w:pPr>
    </w:lvl>
    <w:lvl w:ilvl="4" w:tplc="0C090019" w:tentative="1">
      <w:start w:val="1"/>
      <w:numFmt w:val="lowerLetter"/>
      <w:lvlText w:val="%5."/>
      <w:lvlJc w:val="left"/>
      <w:pPr>
        <w:ind w:left="56" w:hanging="360"/>
      </w:pPr>
    </w:lvl>
    <w:lvl w:ilvl="5" w:tplc="0C09001B" w:tentative="1">
      <w:start w:val="1"/>
      <w:numFmt w:val="lowerRoman"/>
      <w:lvlText w:val="%6."/>
      <w:lvlJc w:val="right"/>
      <w:pPr>
        <w:ind w:left="776" w:hanging="180"/>
      </w:pPr>
    </w:lvl>
    <w:lvl w:ilvl="6" w:tplc="0C09000F" w:tentative="1">
      <w:start w:val="1"/>
      <w:numFmt w:val="decimal"/>
      <w:lvlText w:val="%7."/>
      <w:lvlJc w:val="left"/>
      <w:pPr>
        <w:ind w:left="1496" w:hanging="360"/>
      </w:pPr>
    </w:lvl>
    <w:lvl w:ilvl="7" w:tplc="0C090019" w:tentative="1">
      <w:start w:val="1"/>
      <w:numFmt w:val="lowerLetter"/>
      <w:lvlText w:val="%8."/>
      <w:lvlJc w:val="left"/>
      <w:pPr>
        <w:ind w:left="2216" w:hanging="360"/>
      </w:pPr>
    </w:lvl>
    <w:lvl w:ilvl="8" w:tplc="0C09001B" w:tentative="1">
      <w:start w:val="1"/>
      <w:numFmt w:val="lowerRoman"/>
      <w:lvlText w:val="%9."/>
      <w:lvlJc w:val="right"/>
      <w:pPr>
        <w:ind w:left="2936" w:hanging="180"/>
      </w:pPr>
    </w:lvl>
  </w:abstractNum>
  <w:abstractNum w:abstractNumId="11" w15:restartNumberingAfterBreak="0">
    <w:nsid w:val="28AF6F97"/>
    <w:multiLevelType w:val="hybridMultilevel"/>
    <w:tmpl w:val="65AAC3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BBB6A03"/>
    <w:multiLevelType w:val="hybridMultilevel"/>
    <w:tmpl w:val="A1747F1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E257B18"/>
    <w:multiLevelType w:val="hybridMultilevel"/>
    <w:tmpl w:val="3FFCF2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F160C5E"/>
    <w:multiLevelType w:val="multilevel"/>
    <w:tmpl w:val="298C34E4"/>
    <w:styleLink w:val="AppendixNumbers"/>
    <w:lvl w:ilvl="0">
      <w:start w:val="1"/>
      <w:numFmt w:val="upperLetter"/>
      <w:pStyle w:val="AppendixHeading1"/>
      <w:suff w:val="space"/>
      <w:lvlText w:val="Appendix %1 –"/>
      <w:lvlJc w:val="left"/>
      <w:pPr>
        <w:ind w:left="0" w:firstLine="0"/>
      </w:pPr>
      <w:rPr>
        <w:rFonts w:hint="default"/>
      </w:rPr>
    </w:lvl>
    <w:lvl w:ilvl="1">
      <w:start w:val="1"/>
      <w:numFmt w:val="decimal"/>
      <w:pStyle w:val="Appendix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4027078"/>
    <w:multiLevelType w:val="hybridMultilevel"/>
    <w:tmpl w:val="DC9CD91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4E03CA8"/>
    <w:multiLevelType w:val="hybridMultilevel"/>
    <w:tmpl w:val="8F924AB6"/>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7" w15:restartNumberingAfterBreak="0">
    <w:nsid w:val="3AA51938"/>
    <w:multiLevelType w:val="multilevel"/>
    <w:tmpl w:val="298C34E4"/>
    <w:numStyleLink w:val="AppendixNumbers"/>
  </w:abstractNum>
  <w:abstractNum w:abstractNumId="18" w15:restartNumberingAfterBreak="0">
    <w:nsid w:val="3D260C71"/>
    <w:multiLevelType w:val="hybridMultilevel"/>
    <w:tmpl w:val="F000D892"/>
    <w:lvl w:ilvl="0" w:tplc="0C090001">
      <w:start w:val="1"/>
      <w:numFmt w:val="lowerRoman"/>
      <w:pStyle w:val="ListParagraphIndent1"/>
      <w:lvlText w:val="%1."/>
      <w:lvlJc w:val="right"/>
      <w:pPr>
        <w:ind w:left="360" w:hanging="360"/>
      </w:pPr>
    </w:lvl>
    <w:lvl w:ilvl="1" w:tplc="0C090003" w:tentative="1">
      <w:start w:val="1"/>
      <w:numFmt w:val="lowerLetter"/>
      <w:lvlText w:val="%2."/>
      <w:lvlJc w:val="left"/>
      <w:pPr>
        <w:ind w:left="2160" w:hanging="360"/>
      </w:pPr>
    </w:lvl>
    <w:lvl w:ilvl="2" w:tplc="0C090005" w:tentative="1">
      <w:start w:val="1"/>
      <w:numFmt w:val="lowerRoman"/>
      <w:lvlText w:val="%3."/>
      <w:lvlJc w:val="right"/>
      <w:pPr>
        <w:ind w:left="2880" w:hanging="180"/>
      </w:pPr>
    </w:lvl>
    <w:lvl w:ilvl="3" w:tplc="0C090001" w:tentative="1">
      <w:start w:val="1"/>
      <w:numFmt w:val="decimal"/>
      <w:lvlText w:val="%4."/>
      <w:lvlJc w:val="left"/>
      <w:pPr>
        <w:ind w:left="3600" w:hanging="360"/>
      </w:pPr>
    </w:lvl>
    <w:lvl w:ilvl="4" w:tplc="0C090003" w:tentative="1">
      <w:start w:val="1"/>
      <w:numFmt w:val="lowerLetter"/>
      <w:lvlText w:val="%5."/>
      <w:lvlJc w:val="left"/>
      <w:pPr>
        <w:ind w:left="4320" w:hanging="360"/>
      </w:pPr>
    </w:lvl>
    <w:lvl w:ilvl="5" w:tplc="0C090005" w:tentative="1">
      <w:start w:val="1"/>
      <w:numFmt w:val="lowerRoman"/>
      <w:lvlText w:val="%6."/>
      <w:lvlJc w:val="right"/>
      <w:pPr>
        <w:ind w:left="5040" w:hanging="180"/>
      </w:pPr>
    </w:lvl>
    <w:lvl w:ilvl="6" w:tplc="0C090001" w:tentative="1">
      <w:start w:val="1"/>
      <w:numFmt w:val="decimal"/>
      <w:lvlText w:val="%7."/>
      <w:lvlJc w:val="left"/>
      <w:pPr>
        <w:ind w:left="5760" w:hanging="360"/>
      </w:pPr>
    </w:lvl>
    <w:lvl w:ilvl="7" w:tplc="0C090003" w:tentative="1">
      <w:start w:val="1"/>
      <w:numFmt w:val="lowerLetter"/>
      <w:lvlText w:val="%8."/>
      <w:lvlJc w:val="left"/>
      <w:pPr>
        <w:ind w:left="6480" w:hanging="360"/>
      </w:pPr>
    </w:lvl>
    <w:lvl w:ilvl="8" w:tplc="0C090005" w:tentative="1">
      <w:start w:val="1"/>
      <w:numFmt w:val="lowerRoman"/>
      <w:lvlText w:val="%9."/>
      <w:lvlJc w:val="right"/>
      <w:pPr>
        <w:ind w:left="7200" w:hanging="180"/>
      </w:pPr>
    </w:lvl>
  </w:abstractNum>
  <w:abstractNum w:abstractNumId="19" w15:restartNumberingAfterBreak="0">
    <w:nsid w:val="3F166873"/>
    <w:multiLevelType w:val="multilevel"/>
    <w:tmpl w:val="C2EED61A"/>
    <w:styleLink w:val="NumberedHeadings"/>
    <w:lvl w:ilvl="0">
      <w:start w:val="1"/>
      <w:numFmt w:val="decimal"/>
      <w:pStyle w:val="Heading1Numbered"/>
      <w:lvlText w:val="%1."/>
      <w:lvlJc w:val="left"/>
      <w:pPr>
        <w:ind w:left="567" w:hanging="567"/>
      </w:pPr>
      <w:rPr>
        <w:rFonts w:hint="default"/>
      </w:rPr>
    </w:lvl>
    <w:lvl w:ilvl="1">
      <w:start w:val="1"/>
      <w:numFmt w:val="decimal"/>
      <w:pStyle w:val="Heading2Numbered"/>
      <w:lvlText w:val="%1.%2"/>
      <w:lvlJc w:val="left"/>
      <w:pPr>
        <w:ind w:left="851" w:hanging="851"/>
      </w:pPr>
      <w:rPr>
        <w:rFonts w:hint="default"/>
      </w:rPr>
    </w:lvl>
    <w:lvl w:ilvl="2">
      <w:start w:val="1"/>
      <w:numFmt w:val="decimal"/>
      <w:pStyle w:val="Heading3Numbered"/>
      <w:lvlText w:val="%1.%2.%3"/>
      <w:lvlJc w:val="left"/>
      <w:pPr>
        <w:ind w:left="1134" w:hanging="1134"/>
      </w:pPr>
      <w:rPr>
        <w:rFonts w:hint="default"/>
      </w:rPr>
    </w:lvl>
    <w:lvl w:ilvl="3">
      <w:start w:val="1"/>
      <w:numFmt w:val="decimal"/>
      <w:pStyle w:val="Heading4Numbered"/>
      <w:lvlText w:val="%1.%2.%3.%4"/>
      <w:lvlJc w:val="left"/>
      <w:pPr>
        <w:ind w:left="1134" w:hanging="1134"/>
      </w:pPr>
      <w:rPr>
        <w:rFonts w:hint="default"/>
      </w:rPr>
    </w:lvl>
    <w:lvl w:ilvl="4">
      <w:start w:val="1"/>
      <w:numFmt w:val="decimal"/>
      <w:pStyle w:val="Heading5Numbered"/>
      <w:lvlText w:val="%1.%2.%3.%4.%5"/>
      <w:lvlJc w:val="left"/>
      <w:pPr>
        <w:ind w:left="1134" w:hanging="1134"/>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4173295E"/>
    <w:multiLevelType w:val="multilevel"/>
    <w:tmpl w:val="5B2C35CE"/>
    <w:styleLink w:val="Bullets"/>
    <w:lvl w:ilvl="0">
      <w:start w:val="1"/>
      <w:numFmt w:val="bullet"/>
      <w:pStyle w:val="Bullet1"/>
      <w:lvlText w:val="•"/>
      <w:lvlJc w:val="left"/>
      <w:pPr>
        <w:ind w:left="284" w:hanging="284"/>
      </w:pPr>
      <w:rPr>
        <w:rFonts w:ascii="Calibri" w:hAnsi="Calibri" w:hint="default"/>
        <w:color w:val="auto"/>
      </w:rPr>
    </w:lvl>
    <w:lvl w:ilvl="1">
      <w:start w:val="1"/>
      <w:numFmt w:val="bullet"/>
      <w:pStyle w:val="Bullet2"/>
      <w:lvlText w:val="–"/>
      <w:lvlJc w:val="left"/>
      <w:pPr>
        <w:ind w:left="568" w:hanging="284"/>
      </w:pPr>
      <w:rPr>
        <w:rFonts w:ascii="Calibri" w:hAnsi="Calibri" w:hint="default"/>
        <w:color w:val="auto"/>
      </w:rPr>
    </w:lvl>
    <w:lvl w:ilvl="2">
      <w:start w:val="1"/>
      <w:numFmt w:val="bullet"/>
      <w:pStyle w:val="Bullet3"/>
      <w:lvlText w:val="›"/>
      <w:lvlJc w:val="left"/>
      <w:pPr>
        <w:ind w:left="852" w:hanging="284"/>
      </w:pPr>
      <w:rPr>
        <w:rFonts w:ascii="Calibri" w:hAnsi="Calibri" w:hint="default"/>
        <w:color w:val="auto"/>
      </w:rPr>
    </w:lvl>
    <w:lvl w:ilvl="3">
      <w:start w:val="1"/>
      <w:numFmt w:val="bullet"/>
      <w:lvlText w:val="▫"/>
      <w:lvlJc w:val="left"/>
      <w:pPr>
        <w:ind w:left="1136" w:hanging="284"/>
      </w:pPr>
      <w:rPr>
        <w:rFonts w:ascii="Calibri" w:hAnsi="Calibri" w:hint="default"/>
        <w:color w:val="auto"/>
      </w:rPr>
    </w:lvl>
    <w:lvl w:ilvl="4">
      <w:start w:val="1"/>
      <w:numFmt w:val="bullet"/>
      <w:lvlText w:val="—"/>
      <w:lvlJc w:val="left"/>
      <w:pPr>
        <w:ind w:left="1420" w:hanging="284"/>
      </w:pPr>
      <w:rPr>
        <w:rFonts w:ascii="Calibri" w:hAnsi="Calibri" w:hint="default"/>
        <w:color w:val="auto"/>
      </w:rPr>
    </w:lvl>
    <w:lvl w:ilvl="5">
      <w:start w:val="1"/>
      <w:numFmt w:val="bullet"/>
      <w:lvlText w:val="»"/>
      <w:lvlJc w:val="left"/>
      <w:pPr>
        <w:ind w:left="1704" w:hanging="284"/>
      </w:pPr>
      <w:rPr>
        <w:rFonts w:ascii="Calibri" w:hAnsi="Calibri" w:hint="default"/>
        <w:color w:val="auto"/>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21" w15:restartNumberingAfterBreak="0">
    <w:nsid w:val="41AF1A7E"/>
    <w:multiLevelType w:val="hybridMultilevel"/>
    <w:tmpl w:val="242868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5451B1A"/>
    <w:multiLevelType w:val="hybridMultilevel"/>
    <w:tmpl w:val="E0A22D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8B51B0E"/>
    <w:multiLevelType w:val="hybridMultilevel"/>
    <w:tmpl w:val="BEB4969C"/>
    <w:lvl w:ilvl="0" w:tplc="414C5748">
      <w:start w:val="1"/>
      <w:numFmt w:val="decimal"/>
      <w:pStyle w:val="Heading71"/>
      <w:suff w:val="nothing"/>
      <w:lvlText w:val="Appendix %1"/>
      <w:lvlJc w:val="left"/>
      <w:pPr>
        <w:ind w:left="72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2AB1F23"/>
    <w:multiLevelType w:val="hybridMultilevel"/>
    <w:tmpl w:val="4552A8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70060DC"/>
    <w:multiLevelType w:val="hybridMultilevel"/>
    <w:tmpl w:val="647EBEF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8F7506F"/>
    <w:multiLevelType w:val="multilevel"/>
    <w:tmpl w:val="7882B440"/>
    <w:lvl w:ilvl="0">
      <w:start w:val="1"/>
      <w:numFmt w:val="decimal"/>
      <w:pStyle w:val="MainHeadding"/>
      <w:lvlText w:val="%1."/>
      <w:lvlJc w:val="left"/>
      <w:pPr>
        <w:tabs>
          <w:tab w:val="num" w:pos="851"/>
        </w:tabs>
        <w:ind w:left="851" w:hanging="851"/>
      </w:pPr>
      <w:rPr>
        <w:rFonts w:hint="default"/>
      </w:rPr>
    </w:lvl>
    <w:lvl w:ilvl="1">
      <w:start w:val="1"/>
      <w:numFmt w:val="decimal"/>
      <w:pStyle w:val="Subsection"/>
      <w:lvlText w:val="%1.%2."/>
      <w:lvlJc w:val="left"/>
      <w:pPr>
        <w:tabs>
          <w:tab w:val="num" w:pos="3545"/>
        </w:tabs>
        <w:ind w:left="3545" w:hanging="851"/>
      </w:pPr>
      <w:rPr>
        <w:rFonts w:hint="default"/>
      </w:rPr>
    </w:lvl>
    <w:lvl w:ilvl="2">
      <w:start w:val="1"/>
      <w:numFmt w:val="decimal"/>
      <w:pStyle w:val="Subsubsection"/>
      <w:lvlText w:val="%1.%2.%3."/>
      <w:lvlJc w:val="left"/>
      <w:pPr>
        <w:tabs>
          <w:tab w:val="num" w:pos="851"/>
        </w:tabs>
        <w:ind w:left="851" w:hanging="851"/>
      </w:pPr>
      <w:rPr>
        <w:rFonts w:hint="default"/>
      </w:rPr>
    </w:lvl>
    <w:lvl w:ilvl="3">
      <w:start w:val="1"/>
      <w:numFmt w:val="decimal"/>
      <w:pStyle w:val="Subsubsubsection"/>
      <w:lvlText w:val="%1.%2.%3.%4."/>
      <w:lvlJc w:val="left"/>
      <w:pPr>
        <w:tabs>
          <w:tab w:val="num" w:pos="851"/>
        </w:tabs>
        <w:ind w:left="851" w:hanging="851"/>
      </w:pPr>
      <w:rPr>
        <w:rFonts w:hint="default"/>
      </w:rPr>
    </w:lvl>
    <w:lvl w:ilvl="4">
      <w:start w:val="1"/>
      <w:numFmt w:val="decimal"/>
      <w:lvlText w:val="%1.%2.%3.%4.%5."/>
      <w:lvlJc w:val="left"/>
      <w:pPr>
        <w:tabs>
          <w:tab w:val="num" w:pos="1418"/>
        </w:tabs>
        <w:ind w:left="0" w:firstLine="0"/>
      </w:pPr>
      <w:rPr>
        <w:rFonts w:hint="default"/>
      </w:rPr>
    </w:lvl>
    <w:lvl w:ilvl="5">
      <w:start w:val="1"/>
      <w:numFmt w:val="decimal"/>
      <w:lvlText w:val="%1.%2.%3.%4.%5.%6."/>
      <w:lvlJc w:val="left"/>
      <w:pPr>
        <w:tabs>
          <w:tab w:val="num" w:pos="3816"/>
        </w:tabs>
        <w:ind w:left="3816" w:hanging="936"/>
      </w:pPr>
      <w:rPr>
        <w:rFonts w:hint="default"/>
      </w:rPr>
    </w:lvl>
    <w:lvl w:ilvl="6">
      <w:start w:val="1"/>
      <w:numFmt w:val="decimal"/>
      <w:lvlText w:val="%1.%2.%3.%4.%5.%6.%7."/>
      <w:lvlJc w:val="left"/>
      <w:pPr>
        <w:tabs>
          <w:tab w:val="num" w:pos="4320"/>
        </w:tabs>
        <w:ind w:left="4320" w:hanging="1080"/>
      </w:pPr>
      <w:rPr>
        <w:rFonts w:hint="default"/>
      </w:rPr>
    </w:lvl>
    <w:lvl w:ilvl="7">
      <w:start w:val="1"/>
      <w:numFmt w:val="decimal"/>
      <w:lvlText w:val="%1.%2.%3.%4.%5.%6.%7.%8."/>
      <w:lvlJc w:val="left"/>
      <w:pPr>
        <w:tabs>
          <w:tab w:val="num" w:pos="4824"/>
        </w:tabs>
        <w:ind w:left="4824" w:hanging="1224"/>
      </w:pPr>
      <w:rPr>
        <w:rFonts w:hint="default"/>
      </w:rPr>
    </w:lvl>
    <w:lvl w:ilvl="8">
      <w:start w:val="1"/>
      <w:numFmt w:val="decimal"/>
      <w:lvlText w:val="%1.%2.%3.%4.%5.%6.%7.%8.%9."/>
      <w:lvlJc w:val="left"/>
      <w:pPr>
        <w:tabs>
          <w:tab w:val="num" w:pos="5400"/>
        </w:tabs>
        <w:ind w:left="5400" w:hanging="1440"/>
      </w:pPr>
      <w:rPr>
        <w:rFonts w:hint="default"/>
      </w:rPr>
    </w:lvl>
  </w:abstractNum>
  <w:abstractNum w:abstractNumId="27" w15:restartNumberingAfterBreak="0">
    <w:nsid w:val="5C7C5C3D"/>
    <w:multiLevelType w:val="multilevel"/>
    <w:tmpl w:val="4B5A47B2"/>
    <w:styleLink w:val="AttachmentNumbers"/>
    <w:lvl w:ilvl="0">
      <w:start w:val="1"/>
      <w:numFmt w:val="upperLetter"/>
      <w:pStyle w:val="AttachmentHeading1"/>
      <w:suff w:val="space"/>
      <w:lvlText w:val="Attachment %1 –"/>
      <w:lvlJc w:val="left"/>
      <w:pPr>
        <w:ind w:left="0" w:firstLine="0"/>
      </w:pPr>
      <w:rPr>
        <w:rFonts w:hint="default"/>
      </w:rPr>
    </w:lvl>
    <w:lvl w:ilvl="1">
      <w:start w:val="1"/>
      <w:numFmt w:val="decimal"/>
      <w:pStyle w:val="AttachmentHeading2"/>
      <w:lvlText w:val="%1.%2"/>
      <w:lvlJc w:val="left"/>
      <w:pPr>
        <w:ind w:left="851" w:hanging="851"/>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5F191989"/>
    <w:multiLevelType w:val="hybridMultilevel"/>
    <w:tmpl w:val="9A66E1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47A5905"/>
    <w:multiLevelType w:val="hybridMultilevel"/>
    <w:tmpl w:val="C4C41E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86D71EA"/>
    <w:multiLevelType w:val="hybridMultilevel"/>
    <w:tmpl w:val="C33C70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FC9445F"/>
    <w:multiLevelType w:val="hybridMultilevel"/>
    <w:tmpl w:val="6068FC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E554E84"/>
    <w:multiLevelType w:val="multilevel"/>
    <w:tmpl w:val="8FCE6D18"/>
    <w:styleLink w:val="ListLegal"/>
    <w:lvl w:ilvl="0">
      <w:start w:val="1"/>
      <w:numFmt w:val="decimal"/>
      <w:pStyle w:val="ListLegal1"/>
      <w:lvlText w:val="%1."/>
      <w:lvlJc w:val="left"/>
      <w:pPr>
        <w:ind w:left="284" w:hanging="284"/>
      </w:pPr>
      <w:rPr>
        <w:rFonts w:hint="default"/>
      </w:rPr>
    </w:lvl>
    <w:lvl w:ilvl="1">
      <w:start w:val="1"/>
      <w:numFmt w:val="lowerLetter"/>
      <w:pStyle w:val="ListLegal2"/>
      <w:lvlText w:val="%2."/>
      <w:lvlJc w:val="left"/>
      <w:pPr>
        <w:ind w:left="568" w:hanging="284"/>
      </w:pPr>
      <w:rPr>
        <w:rFonts w:hint="default"/>
      </w:rPr>
    </w:lvl>
    <w:lvl w:ilvl="2">
      <w:start w:val="1"/>
      <w:numFmt w:val="lowerRoman"/>
      <w:pStyle w:val="ListLegal3"/>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1" w:hanging="281"/>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abstractNumId w:val="20"/>
  </w:num>
  <w:num w:numId="2">
    <w:abstractNumId w:val="32"/>
  </w:num>
  <w:num w:numId="3">
    <w:abstractNumId w:val="0"/>
  </w:num>
  <w:num w:numId="4">
    <w:abstractNumId w:val="19"/>
  </w:num>
  <w:num w:numId="5">
    <w:abstractNumId w:val="2"/>
  </w:num>
  <w:num w:numId="6">
    <w:abstractNumId w:val="14"/>
  </w:num>
  <w:num w:numId="7">
    <w:abstractNumId w:val="17"/>
  </w:num>
  <w:num w:numId="8">
    <w:abstractNumId w:val="27"/>
  </w:num>
  <w:num w:numId="9">
    <w:abstractNumId w:val="29"/>
  </w:num>
  <w:num w:numId="10">
    <w:abstractNumId w:val="4"/>
  </w:num>
  <w:num w:numId="11">
    <w:abstractNumId w:val="3"/>
  </w:num>
  <w:num w:numId="12">
    <w:abstractNumId w:val="9"/>
  </w:num>
  <w:num w:numId="13">
    <w:abstractNumId w:val="11"/>
  </w:num>
  <w:num w:numId="14">
    <w:abstractNumId w:val="30"/>
  </w:num>
  <w:num w:numId="15">
    <w:abstractNumId w:val="31"/>
  </w:num>
  <w:num w:numId="16">
    <w:abstractNumId w:val="25"/>
  </w:num>
  <w:num w:numId="17">
    <w:abstractNumId w:val="28"/>
  </w:num>
  <w:num w:numId="18">
    <w:abstractNumId w:val="13"/>
  </w:num>
  <w:num w:numId="19">
    <w:abstractNumId w:val="22"/>
  </w:num>
  <w:num w:numId="20">
    <w:abstractNumId w:val="24"/>
  </w:num>
  <w:num w:numId="21">
    <w:abstractNumId w:val="6"/>
  </w:num>
  <w:num w:numId="22">
    <w:abstractNumId w:val="21"/>
  </w:num>
  <w:num w:numId="23">
    <w:abstractNumId w:val="5"/>
  </w:num>
  <w:num w:numId="24">
    <w:abstractNumId w:val="7"/>
  </w:num>
  <w:num w:numId="25">
    <w:abstractNumId w:val="16"/>
  </w:num>
  <w:num w:numId="26">
    <w:abstractNumId w:val="26"/>
  </w:num>
  <w:num w:numId="27">
    <w:abstractNumId w:val="18"/>
  </w:num>
  <w:num w:numId="28">
    <w:abstractNumId w:val="1"/>
  </w:num>
  <w:num w:numId="29">
    <w:abstractNumId w:val="10"/>
  </w:num>
  <w:num w:numId="30">
    <w:abstractNumId w:val="23"/>
  </w:num>
  <w:num w:numId="31">
    <w:abstractNumId w:val="8"/>
  </w:num>
  <w:num w:numId="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num>
  <w:num w:numId="44">
    <w:abstractNumId w:val="12"/>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attachedTemplate r:id="rId1"/>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76AD"/>
    <w:rsid w:val="00002C1F"/>
    <w:rsid w:val="00003F50"/>
    <w:rsid w:val="000120A2"/>
    <w:rsid w:val="000126E2"/>
    <w:rsid w:val="00013D4E"/>
    <w:rsid w:val="0001430B"/>
    <w:rsid w:val="000150C0"/>
    <w:rsid w:val="00015E30"/>
    <w:rsid w:val="000206BC"/>
    <w:rsid w:val="00025153"/>
    <w:rsid w:val="000306A0"/>
    <w:rsid w:val="00030AEA"/>
    <w:rsid w:val="00033532"/>
    <w:rsid w:val="00035E18"/>
    <w:rsid w:val="00036D76"/>
    <w:rsid w:val="00037653"/>
    <w:rsid w:val="00040252"/>
    <w:rsid w:val="00041608"/>
    <w:rsid w:val="00041A6D"/>
    <w:rsid w:val="00042060"/>
    <w:rsid w:val="000431FB"/>
    <w:rsid w:val="000443CD"/>
    <w:rsid w:val="00044540"/>
    <w:rsid w:val="00045453"/>
    <w:rsid w:val="00050F3D"/>
    <w:rsid w:val="000603AA"/>
    <w:rsid w:val="00062168"/>
    <w:rsid w:val="00064530"/>
    <w:rsid w:val="00070381"/>
    <w:rsid w:val="00071F45"/>
    <w:rsid w:val="0008538D"/>
    <w:rsid w:val="00085622"/>
    <w:rsid w:val="000856E9"/>
    <w:rsid w:val="000910B7"/>
    <w:rsid w:val="00092EF0"/>
    <w:rsid w:val="00094693"/>
    <w:rsid w:val="00097C30"/>
    <w:rsid w:val="00097DB5"/>
    <w:rsid w:val="000A0EB7"/>
    <w:rsid w:val="000A3A4D"/>
    <w:rsid w:val="000B29EB"/>
    <w:rsid w:val="000B3CD7"/>
    <w:rsid w:val="000B46D4"/>
    <w:rsid w:val="000B61A1"/>
    <w:rsid w:val="000B6BB3"/>
    <w:rsid w:val="000B784A"/>
    <w:rsid w:val="000B7973"/>
    <w:rsid w:val="000C2AB6"/>
    <w:rsid w:val="000C3B08"/>
    <w:rsid w:val="000C3CD0"/>
    <w:rsid w:val="000C601C"/>
    <w:rsid w:val="000D25AA"/>
    <w:rsid w:val="000D3271"/>
    <w:rsid w:val="000D4B1C"/>
    <w:rsid w:val="000D5324"/>
    <w:rsid w:val="000D64DD"/>
    <w:rsid w:val="000E24BA"/>
    <w:rsid w:val="000E42C6"/>
    <w:rsid w:val="000E5674"/>
    <w:rsid w:val="000F0B93"/>
    <w:rsid w:val="000F5030"/>
    <w:rsid w:val="001033AD"/>
    <w:rsid w:val="00106450"/>
    <w:rsid w:val="001100FF"/>
    <w:rsid w:val="00110215"/>
    <w:rsid w:val="00111346"/>
    <w:rsid w:val="001119D5"/>
    <w:rsid w:val="00112418"/>
    <w:rsid w:val="001128A8"/>
    <w:rsid w:val="001144EE"/>
    <w:rsid w:val="001148D3"/>
    <w:rsid w:val="00114B1A"/>
    <w:rsid w:val="001168FB"/>
    <w:rsid w:val="00116C09"/>
    <w:rsid w:val="00117A3C"/>
    <w:rsid w:val="00120E88"/>
    <w:rsid w:val="00121711"/>
    <w:rsid w:val="001229EC"/>
    <w:rsid w:val="00125A8E"/>
    <w:rsid w:val="00125C88"/>
    <w:rsid w:val="00127D76"/>
    <w:rsid w:val="001349C6"/>
    <w:rsid w:val="00134ED8"/>
    <w:rsid w:val="00135B52"/>
    <w:rsid w:val="00136719"/>
    <w:rsid w:val="00136F63"/>
    <w:rsid w:val="001432AE"/>
    <w:rsid w:val="00144486"/>
    <w:rsid w:val="001458E9"/>
    <w:rsid w:val="00146363"/>
    <w:rsid w:val="0014790B"/>
    <w:rsid w:val="00152595"/>
    <w:rsid w:val="001543D9"/>
    <w:rsid w:val="001614F7"/>
    <w:rsid w:val="0016249B"/>
    <w:rsid w:val="00166617"/>
    <w:rsid w:val="00167D04"/>
    <w:rsid w:val="00171935"/>
    <w:rsid w:val="00173328"/>
    <w:rsid w:val="00173D4F"/>
    <w:rsid w:val="00174171"/>
    <w:rsid w:val="00175931"/>
    <w:rsid w:val="00175E92"/>
    <w:rsid w:val="0017627C"/>
    <w:rsid w:val="00176512"/>
    <w:rsid w:val="00177EF5"/>
    <w:rsid w:val="00181B98"/>
    <w:rsid w:val="00187698"/>
    <w:rsid w:val="00194F3A"/>
    <w:rsid w:val="00195087"/>
    <w:rsid w:val="00195EE9"/>
    <w:rsid w:val="0019635A"/>
    <w:rsid w:val="001A0096"/>
    <w:rsid w:val="001A28F9"/>
    <w:rsid w:val="001A3C46"/>
    <w:rsid w:val="001A68C5"/>
    <w:rsid w:val="001A7411"/>
    <w:rsid w:val="001B0607"/>
    <w:rsid w:val="001B4CB6"/>
    <w:rsid w:val="001B7E3F"/>
    <w:rsid w:val="001C0B42"/>
    <w:rsid w:val="001C37FB"/>
    <w:rsid w:val="001C41BD"/>
    <w:rsid w:val="001C43ED"/>
    <w:rsid w:val="001C4E24"/>
    <w:rsid w:val="001C6FB2"/>
    <w:rsid w:val="001C73E1"/>
    <w:rsid w:val="001D2336"/>
    <w:rsid w:val="001D79A4"/>
    <w:rsid w:val="001E1BA6"/>
    <w:rsid w:val="001E35C9"/>
    <w:rsid w:val="001F07B1"/>
    <w:rsid w:val="001F3B10"/>
    <w:rsid w:val="001F76CB"/>
    <w:rsid w:val="00200F57"/>
    <w:rsid w:val="002019D7"/>
    <w:rsid w:val="002023BF"/>
    <w:rsid w:val="0020323C"/>
    <w:rsid w:val="00206410"/>
    <w:rsid w:val="00212E16"/>
    <w:rsid w:val="00213F67"/>
    <w:rsid w:val="00215C67"/>
    <w:rsid w:val="00216CEC"/>
    <w:rsid w:val="00217290"/>
    <w:rsid w:val="002218D5"/>
    <w:rsid w:val="002246F5"/>
    <w:rsid w:val="002254D5"/>
    <w:rsid w:val="0022611D"/>
    <w:rsid w:val="002327CB"/>
    <w:rsid w:val="00233166"/>
    <w:rsid w:val="00235C4A"/>
    <w:rsid w:val="0024270A"/>
    <w:rsid w:val="00243707"/>
    <w:rsid w:val="00244610"/>
    <w:rsid w:val="0025347F"/>
    <w:rsid w:val="00253642"/>
    <w:rsid w:val="00253937"/>
    <w:rsid w:val="0025431D"/>
    <w:rsid w:val="002553A0"/>
    <w:rsid w:val="00257112"/>
    <w:rsid w:val="00257E8E"/>
    <w:rsid w:val="00261967"/>
    <w:rsid w:val="002647CB"/>
    <w:rsid w:val="002648F6"/>
    <w:rsid w:val="00267050"/>
    <w:rsid w:val="00270B0C"/>
    <w:rsid w:val="00274C1D"/>
    <w:rsid w:val="00284164"/>
    <w:rsid w:val="00291050"/>
    <w:rsid w:val="00296A7B"/>
    <w:rsid w:val="002976DD"/>
    <w:rsid w:val="002A0A2D"/>
    <w:rsid w:val="002A1355"/>
    <w:rsid w:val="002A496E"/>
    <w:rsid w:val="002A638C"/>
    <w:rsid w:val="002A6402"/>
    <w:rsid w:val="002B3569"/>
    <w:rsid w:val="002B5004"/>
    <w:rsid w:val="002B5BC2"/>
    <w:rsid w:val="002B7197"/>
    <w:rsid w:val="002B7593"/>
    <w:rsid w:val="002B7608"/>
    <w:rsid w:val="002C4968"/>
    <w:rsid w:val="002C7A8B"/>
    <w:rsid w:val="002D3DC4"/>
    <w:rsid w:val="002D50A6"/>
    <w:rsid w:val="002D5567"/>
    <w:rsid w:val="002D7327"/>
    <w:rsid w:val="002E034E"/>
    <w:rsid w:val="002E0FB6"/>
    <w:rsid w:val="002E11CA"/>
    <w:rsid w:val="002E1ADA"/>
    <w:rsid w:val="002E371B"/>
    <w:rsid w:val="002E7B9E"/>
    <w:rsid w:val="002F23D2"/>
    <w:rsid w:val="002F4B37"/>
    <w:rsid w:val="002F651B"/>
    <w:rsid w:val="003009EC"/>
    <w:rsid w:val="00302773"/>
    <w:rsid w:val="00304CF3"/>
    <w:rsid w:val="00305061"/>
    <w:rsid w:val="003071FF"/>
    <w:rsid w:val="00307EBF"/>
    <w:rsid w:val="003147B2"/>
    <w:rsid w:val="0031620E"/>
    <w:rsid w:val="00320E79"/>
    <w:rsid w:val="00320F71"/>
    <w:rsid w:val="00321C88"/>
    <w:rsid w:val="00321FEB"/>
    <w:rsid w:val="00322F42"/>
    <w:rsid w:val="00323FF6"/>
    <w:rsid w:val="00325F77"/>
    <w:rsid w:val="003261CF"/>
    <w:rsid w:val="00326FD2"/>
    <w:rsid w:val="00330B51"/>
    <w:rsid w:val="0033432B"/>
    <w:rsid w:val="003343FD"/>
    <w:rsid w:val="003371E9"/>
    <w:rsid w:val="00337B6B"/>
    <w:rsid w:val="00341F44"/>
    <w:rsid w:val="00343261"/>
    <w:rsid w:val="003435D5"/>
    <w:rsid w:val="00344B23"/>
    <w:rsid w:val="00347BC2"/>
    <w:rsid w:val="00352C22"/>
    <w:rsid w:val="00353E02"/>
    <w:rsid w:val="003569A0"/>
    <w:rsid w:val="00370071"/>
    <w:rsid w:val="003702DF"/>
    <w:rsid w:val="0037147A"/>
    <w:rsid w:val="003720E9"/>
    <w:rsid w:val="00372C61"/>
    <w:rsid w:val="003774A7"/>
    <w:rsid w:val="00377781"/>
    <w:rsid w:val="00383596"/>
    <w:rsid w:val="003904FD"/>
    <w:rsid w:val="00393C1B"/>
    <w:rsid w:val="00393E1E"/>
    <w:rsid w:val="003A01CA"/>
    <w:rsid w:val="003A2E8A"/>
    <w:rsid w:val="003A4C6E"/>
    <w:rsid w:val="003A55BC"/>
    <w:rsid w:val="003A703A"/>
    <w:rsid w:val="003A71A0"/>
    <w:rsid w:val="003A759B"/>
    <w:rsid w:val="003B1B9F"/>
    <w:rsid w:val="003C036C"/>
    <w:rsid w:val="003C1D09"/>
    <w:rsid w:val="003C6183"/>
    <w:rsid w:val="003C625A"/>
    <w:rsid w:val="003C6E25"/>
    <w:rsid w:val="003D1945"/>
    <w:rsid w:val="003D1D68"/>
    <w:rsid w:val="003D3978"/>
    <w:rsid w:val="003D5CC5"/>
    <w:rsid w:val="003E7D7C"/>
    <w:rsid w:val="003E7F89"/>
    <w:rsid w:val="003F0186"/>
    <w:rsid w:val="003F05F7"/>
    <w:rsid w:val="003F2432"/>
    <w:rsid w:val="003F6F0F"/>
    <w:rsid w:val="003F775D"/>
    <w:rsid w:val="00400C38"/>
    <w:rsid w:val="00401E64"/>
    <w:rsid w:val="00402C98"/>
    <w:rsid w:val="004042CD"/>
    <w:rsid w:val="00406764"/>
    <w:rsid w:val="0041073A"/>
    <w:rsid w:val="0041183D"/>
    <w:rsid w:val="00414CED"/>
    <w:rsid w:val="00415204"/>
    <w:rsid w:val="00415205"/>
    <w:rsid w:val="004163B6"/>
    <w:rsid w:val="0042093B"/>
    <w:rsid w:val="00420F04"/>
    <w:rsid w:val="00421CAA"/>
    <w:rsid w:val="0042302E"/>
    <w:rsid w:val="00427EBE"/>
    <w:rsid w:val="00430D9F"/>
    <w:rsid w:val="00432DF7"/>
    <w:rsid w:val="004345C7"/>
    <w:rsid w:val="004363D2"/>
    <w:rsid w:val="00437E2B"/>
    <w:rsid w:val="00442C30"/>
    <w:rsid w:val="00443158"/>
    <w:rsid w:val="0044414C"/>
    <w:rsid w:val="00445D5D"/>
    <w:rsid w:val="00450ADD"/>
    <w:rsid w:val="00451001"/>
    <w:rsid w:val="004551C6"/>
    <w:rsid w:val="004565F7"/>
    <w:rsid w:val="004606CF"/>
    <w:rsid w:val="00467477"/>
    <w:rsid w:val="00470CEB"/>
    <w:rsid w:val="004715C4"/>
    <w:rsid w:val="0047162F"/>
    <w:rsid w:val="00471A4A"/>
    <w:rsid w:val="004725A9"/>
    <w:rsid w:val="00472BC4"/>
    <w:rsid w:val="00473D2A"/>
    <w:rsid w:val="00473D49"/>
    <w:rsid w:val="00477E77"/>
    <w:rsid w:val="00484B2B"/>
    <w:rsid w:val="00484B5F"/>
    <w:rsid w:val="00487F1C"/>
    <w:rsid w:val="00493389"/>
    <w:rsid w:val="0049404F"/>
    <w:rsid w:val="00494FFB"/>
    <w:rsid w:val="00496BF4"/>
    <w:rsid w:val="004A057F"/>
    <w:rsid w:val="004A0E84"/>
    <w:rsid w:val="004A7F27"/>
    <w:rsid w:val="004B0F18"/>
    <w:rsid w:val="004B1FA1"/>
    <w:rsid w:val="004B3092"/>
    <w:rsid w:val="004B6EE8"/>
    <w:rsid w:val="004C2077"/>
    <w:rsid w:val="004C2611"/>
    <w:rsid w:val="004C3624"/>
    <w:rsid w:val="004C4CDC"/>
    <w:rsid w:val="004C5497"/>
    <w:rsid w:val="004D4397"/>
    <w:rsid w:val="004D4AA6"/>
    <w:rsid w:val="004D63B7"/>
    <w:rsid w:val="004E1E4C"/>
    <w:rsid w:val="004E49F9"/>
    <w:rsid w:val="004F76B6"/>
    <w:rsid w:val="0050105C"/>
    <w:rsid w:val="00502E60"/>
    <w:rsid w:val="005141E1"/>
    <w:rsid w:val="005215D4"/>
    <w:rsid w:val="00523E9E"/>
    <w:rsid w:val="00524131"/>
    <w:rsid w:val="00530671"/>
    <w:rsid w:val="00541213"/>
    <w:rsid w:val="0054303B"/>
    <w:rsid w:val="0054565B"/>
    <w:rsid w:val="00546218"/>
    <w:rsid w:val="00547078"/>
    <w:rsid w:val="005505F9"/>
    <w:rsid w:val="00550A4F"/>
    <w:rsid w:val="00550A89"/>
    <w:rsid w:val="00552A2E"/>
    <w:rsid w:val="0055741B"/>
    <w:rsid w:val="0056113C"/>
    <w:rsid w:val="00561999"/>
    <w:rsid w:val="005619F7"/>
    <w:rsid w:val="00562765"/>
    <w:rsid w:val="00562B18"/>
    <w:rsid w:val="005637CE"/>
    <w:rsid w:val="00564A8B"/>
    <w:rsid w:val="00564EAE"/>
    <w:rsid w:val="005657DD"/>
    <w:rsid w:val="005718FF"/>
    <w:rsid w:val="00576C98"/>
    <w:rsid w:val="00580D0F"/>
    <w:rsid w:val="005819BD"/>
    <w:rsid w:val="005828E7"/>
    <w:rsid w:val="00582E2B"/>
    <w:rsid w:val="00583199"/>
    <w:rsid w:val="00583843"/>
    <w:rsid w:val="005912BE"/>
    <w:rsid w:val="0059526E"/>
    <w:rsid w:val="0059549A"/>
    <w:rsid w:val="00595EF9"/>
    <w:rsid w:val="00596709"/>
    <w:rsid w:val="00597BD6"/>
    <w:rsid w:val="005A015A"/>
    <w:rsid w:val="005A074D"/>
    <w:rsid w:val="005A1731"/>
    <w:rsid w:val="005A467F"/>
    <w:rsid w:val="005A5805"/>
    <w:rsid w:val="005A5FA1"/>
    <w:rsid w:val="005B2A57"/>
    <w:rsid w:val="005B3E11"/>
    <w:rsid w:val="005B52F7"/>
    <w:rsid w:val="005C0AA1"/>
    <w:rsid w:val="005C18CA"/>
    <w:rsid w:val="005D10D7"/>
    <w:rsid w:val="005D1375"/>
    <w:rsid w:val="005D1D0D"/>
    <w:rsid w:val="005D3366"/>
    <w:rsid w:val="005E1FA1"/>
    <w:rsid w:val="005E29AD"/>
    <w:rsid w:val="005E2E77"/>
    <w:rsid w:val="005E3848"/>
    <w:rsid w:val="005E6AA4"/>
    <w:rsid w:val="005F1096"/>
    <w:rsid w:val="005F2921"/>
    <w:rsid w:val="005F33C1"/>
    <w:rsid w:val="005F33ED"/>
    <w:rsid w:val="005F3799"/>
    <w:rsid w:val="005F5B06"/>
    <w:rsid w:val="005F793F"/>
    <w:rsid w:val="005F794B"/>
    <w:rsid w:val="006028B7"/>
    <w:rsid w:val="00602D3D"/>
    <w:rsid w:val="00604A5C"/>
    <w:rsid w:val="00605533"/>
    <w:rsid w:val="00615602"/>
    <w:rsid w:val="00615B91"/>
    <w:rsid w:val="00616B01"/>
    <w:rsid w:val="006202AC"/>
    <w:rsid w:val="00620770"/>
    <w:rsid w:val="00624B69"/>
    <w:rsid w:val="006312A6"/>
    <w:rsid w:val="00632E03"/>
    <w:rsid w:val="00633A35"/>
    <w:rsid w:val="0064391F"/>
    <w:rsid w:val="00643D47"/>
    <w:rsid w:val="00643E94"/>
    <w:rsid w:val="00644128"/>
    <w:rsid w:val="0065065A"/>
    <w:rsid w:val="00654055"/>
    <w:rsid w:val="00655AEE"/>
    <w:rsid w:val="00657808"/>
    <w:rsid w:val="00662D1A"/>
    <w:rsid w:val="0066500C"/>
    <w:rsid w:val="0067057A"/>
    <w:rsid w:val="00671D84"/>
    <w:rsid w:val="006728EB"/>
    <w:rsid w:val="00675A1F"/>
    <w:rsid w:val="00675FF3"/>
    <w:rsid w:val="006815F8"/>
    <w:rsid w:val="00681B89"/>
    <w:rsid w:val="006820A4"/>
    <w:rsid w:val="0068471B"/>
    <w:rsid w:val="00686208"/>
    <w:rsid w:val="00686E27"/>
    <w:rsid w:val="0069165A"/>
    <w:rsid w:val="006A0067"/>
    <w:rsid w:val="006A1A13"/>
    <w:rsid w:val="006A24C4"/>
    <w:rsid w:val="006A7209"/>
    <w:rsid w:val="006A754F"/>
    <w:rsid w:val="006B208D"/>
    <w:rsid w:val="006B3284"/>
    <w:rsid w:val="006B6B4A"/>
    <w:rsid w:val="006B708B"/>
    <w:rsid w:val="006B7373"/>
    <w:rsid w:val="006B7C78"/>
    <w:rsid w:val="006C080C"/>
    <w:rsid w:val="006C1340"/>
    <w:rsid w:val="006C14F6"/>
    <w:rsid w:val="006C3071"/>
    <w:rsid w:val="006C4A3D"/>
    <w:rsid w:val="006C5DB9"/>
    <w:rsid w:val="006C5E94"/>
    <w:rsid w:val="006C6C4C"/>
    <w:rsid w:val="006C7E1C"/>
    <w:rsid w:val="006D1274"/>
    <w:rsid w:val="006E1ECA"/>
    <w:rsid w:val="006E37EF"/>
    <w:rsid w:val="006E4628"/>
    <w:rsid w:val="006F2379"/>
    <w:rsid w:val="006F2400"/>
    <w:rsid w:val="006F274C"/>
    <w:rsid w:val="006F42D3"/>
    <w:rsid w:val="006F44B3"/>
    <w:rsid w:val="006F535F"/>
    <w:rsid w:val="006F6683"/>
    <w:rsid w:val="00703914"/>
    <w:rsid w:val="007110D5"/>
    <w:rsid w:val="00711783"/>
    <w:rsid w:val="00715ED7"/>
    <w:rsid w:val="00717983"/>
    <w:rsid w:val="00717A6A"/>
    <w:rsid w:val="00720743"/>
    <w:rsid w:val="00721232"/>
    <w:rsid w:val="00723284"/>
    <w:rsid w:val="00723A8C"/>
    <w:rsid w:val="007279AC"/>
    <w:rsid w:val="00730A79"/>
    <w:rsid w:val="007311C0"/>
    <w:rsid w:val="007359D5"/>
    <w:rsid w:val="00735D96"/>
    <w:rsid w:val="00741BCE"/>
    <w:rsid w:val="00745A45"/>
    <w:rsid w:val="007469A6"/>
    <w:rsid w:val="0075102B"/>
    <w:rsid w:val="0075188D"/>
    <w:rsid w:val="00752AEA"/>
    <w:rsid w:val="00762DE0"/>
    <w:rsid w:val="007655F3"/>
    <w:rsid w:val="0076686E"/>
    <w:rsid w:val="007673D3"/>
    <w:rsid w:val="007710E0"/>
    <w:rsid w:val="0077398A"/>
    <w:rsid w:val="0077403A"/>
    <w:rsid w:val="007740F3"/>
    <w:rsid w:val="007749F2"/>
    <w:rsid w:val="00776492"/>
    <w:rsid w:val="007809EA"/>
    <w:rsid w:val="007810F0"/>
    <w:rsid w:val="00781EC9"/>
    <w:rsid w:val="0078384C"/>
    <w:rsid w:val="00784CC4"/>
    <w:rsid w:val="00785A42"/>
    <w:rsid w:val="0078661C"/>
    <w:rsid w:val="0079032E"/>
    <w:rsid w:val="00790338"/>
    <w:rsid w:val="007908D9"/>
    <w:rsid w:val="007943C2"/>
    <w:rsid w:val="0079519A"/>
    <w:rsid w:val="00796800"/>
    <w:rsid w:val="007A05BE"/>
    <w:rsid w:val="007A0C88"/>
    <w:rsid w:val="007A2F64"/>
    <w:rsid w:val="007A4371"/>
    <w:rsid w:val="007A6D36"/>
    <w:rsid w:val="007B310D"/>
    <w:rsid w:val="007B3670"/>
    <w:rsid w:val="007B46DF"/>
    <w:rsid w:val="007B545C"/>
    <w:rsid w:val="007B6EB1"/>
    <w:rsid w:val="007C0516"/>
    <w:rsid w:val="007C5979"/>
    <w:rsid w:val="007C6341"/>
    <w:rsid w:val="007C7812"/>
    <w:rsid w:val="007D4899"/>
    <w:rsid w:val="007D4BF0"/>
    <w:rsid w:val="007E0C3C"/>
    <w:rsid w:val="007E3795"/>
    <w:rsid w:val="007E4C6B"/>
    <w:rsid w:val="007F2ABA"/>
    <w:rsid w:val="007F4D2F"/>
    <w:rsid w:val="007F4F5A"/>
    <w:rsid w:val="007F718A"/>
    <w:rsid w:val="007F74DC"/>
    <w:rsid w:val="00800050"/>
    <w:rsid w:val="008008B1"/>
    <w:rsid w:val="00805C43"/>
    <w:rsid w:val="0080609A"/>
    <w:rsid w:val="008067A1"/>
    <w:rsid w:val="00806A90"/>
    <w:rsid w:val="0080729F"/>
    <w:rsid w:val="00807DD9"/>
    <w:rsid w:val="00810956"/>
    <w:rsid w:val="0081105A"/>
    <w:rsid w:val="00812B5E"/>
    <w:rsid w:val="008130B1"/>
    <w:rsid w:val="008151F6"/>
    <w:rsid w:val="00817470"/>
    <w:rsid w:val="00817C22"/>
    <w:rsid w:val="0082009E"/>
    <w:rsid w:val="00821111"/>
    <w:rsid w:val="00826DAD"/>
    <w:rsid w:val="008278F8"/>
    <w:rsid w:val="00830E64"/>
    <w:rsid w:val="0083212C"/>
    <w:rsid w:val="00834540"/>
    <w:rsid w:val="00834E59"/>
    <w:rsid w:val="008359BF"/>
    <w:rsid w:val="0084160B"/>
    <w:rsid w:val="008423AE"/>
    <w:rsid w:val="0084376F"/>
    <w:rsid w:val="008456D5"/>
    <w:rsid w:val="00846006"/>
    <w:rsid w:val="0084634B"/>
    <w:rsid w:val="008471BE"/>
    <w:rsid w:val="008471D1"/>
    <w:rsid w:val="0085546E"/>
    <w:rsid w:val="00863E3C"/>
    <w:rsid w:val="00863E9A"/>
    <w:rsid w:val="0086539A"/>
    <w:rsid w:val="008653F9"/>
    <w:rsid w:val="0086564C"/>
    <w:rsid w:val="00870846"/>
    <w:rsid w:val="008742A6"/>
    <w:rsid w:val="0088319F"/>
    <w:rsid w:val="00887FE7"/>
    <w:rsid w:val="0089042C"/>
    <w:rsid w:val="00891613"/>
    <w:rsid w:val="00892579"/>
    <w:rsid w:val="00893230"/>
    <w:rsid w:val="00894AB1"/>
    <w:rsid w:val="0089525B"/>
    <w:rsid w:val="00896802"/>
    <w:rsid w:val="008A04F6"/>
    <w:rsid w:val="008A0DBB"/>
    <w:rsid w:val="008A1887"/>
    <w:rsid w:val="008A23AD"/>
    <w:rsid w:val="008A2546"/>
    <w:rsid w:val="008A4826"/>
    <w:rsid w:val="008A4C96"/>
    <w:rsid w:val="008A7F0D"/>
    <w:rsid w:val="008B1419"/>
    <w:rsid w:val="008B23CA"/>
    <w:rsid w:val="008B3839"/>
    <w:rsid w:val="008B602A"/>
    <w:rsid w:val="008B6A81"/>
    <w:rsid w:val="008B7E1D"/>
    <w:rsid w:val="008C21AE"/>
    <w:rsid w:val="008C262A"/>
    <w:rsid w:val="008C616F"/>
    <w:rsid w:val="008D1081"/>
    <w:rsid w:val="008D4507"/>
    <w:rsid w:val="008D47AD"/>
    <w:rsid w:val="008D49D8"/>
    <w:rsid w:val="008D632A"/>
    <w:rsid w:val="008D6CD1"/>
    <w:rsid w:val="008D7007"/>
    <w:rsid w:val="008D71A3"/>
    <w:rsid w:val="008E07C6"/>
    <w:rsid w:val="008E1486"/>
    <w:rsid w:val="008E226D"/>
    <w:rsid w:val="008E2A0D"/>
    <w:rsid w:val="008E616D"/>
    <w:rsid w:val="008E7D81"/>
    <w:rsid w:val="00900673"/>
    <w:rsid w:val="0090552B"/>
    <w:rsid w:val="009062B0"/>
    <w:rsid w:val="00911559"/>
    <w:rsid w:val="0091315A"/>
    <w:rsid w:val="009148A5"/>
    <w:rsid w:val="00922FBF"/>
    <w:rsid w:val="00932203"/>
    <w:rsid w:val="0093261E"/>
    <w:rsid w:val="009342D0"/>
    <w:rsid w:val="00934E33"/>
    <w:rsid w:val="0093636A"/>
    <w:rsid w:val="00936BDA"/>
    <w:rsid w:val="00937A52"/>
    <w:rsid w:val="0094071C"/>
    <w:rsid w:val="00944BFC"/>
    <w:rsid w:val="00947A42"/>
    <w:rsid w:val="00947E02"/>
    <w:rsid w:val="009507E6"/>
    <w:rsid w:val="009527E8"/>
    <w:rsid w:val="00953EC4"/>
    <w:rsid w:val="009629F8"/>
    <w:rsid w:val="009718A9"/>
    <w:rsid w:val="0097198A"/>
    <w:rsid w:val="00973040"/>
    <w:rsid w:val="0097692D"/>
    <w:rsid w:val="00977CA5"/>
    <w:rsid w:val="00981C36"/>
    <w:rsid w:val="0098344D"/>
    <w:rsid w:val="00987900"/>
    <w:rsid w:val="00990E26"/>
    <w:rsid w:val="00997804"/>
    <w:rsid w:val="009A2F3E"/>
    <w:rsid w:val="009B00F2"/>
    <w:rsid w:val="009B023B"/>
    <w:rsid w:val="009B12E0"/>
    <w:rsid w:val="009B43E4"/>
    <w:rsid w:val="009B4485"/>
    <w:rsid w:val="009B63A9"/>
    <w:rsid w:val="009B6B52"/>
    <w:rsid w:val="009B6DEB"/>
    <w:rsid w:val="009C21D5"/>
    <w:rsid w:val="009C45AB"/>
    <w:rsid w:val="009D7B2F"/>
    <w:rsid w:val="009E04E9"/>
    <w:rsid w:val="009E7FD5"/>
    <w:rsid w:val="009F1B54"/>
    <w:rsid w:val="009F7003"/>
    <w:rsid w:val="00A004E9"/>
    <w:rsid w:val="00A062E4"/>
    <w:rsid w:val="00A070A2"/>
    <w:rsid w:val="00A11244"/>
    <w:rsid w:val="00A13F97"/>
    <w:rsid w:val="00A13FC1"/>
    <w:rsid w:val="00A20144"/>
    <w:rsid w:val="00A23BA0"/>
    <w:rsid w:val="00A30214"/>
    <w:rsid w:val="00A34E5E"/>
    <w:rsid w:val="00A36337"/>
    <w:rsid w:val="00A409AB"/>
    <w:rsid w:val="00A42C6E"/>
    <w:rsid w:val="00A43F01"/>
    <w:rsid w:val="00A44545"/>
    <w:rsid w:val="00A448B6"/>
    <w:rsid w:val="00A45BEA"/>
    <w:rsid w:val="00A4669B"/>
    <w:rsid w:val="00A47553"/>
    <w:rsid w:val="00A47A43"/>
    <w:rsid w:val="00A505AC"/>
    <w:rsid w:val="00A51A48"/>
    <w:rsid w:val="00A57C96"/>
    <w:rsid w:val="00A60DD6"/>
    <w:rsid w:val="00A62603"/>
    <w:rsid w:val="00A671A8"/>
    <w:rsid w:val="00A70107"/>
    <w:rsid w:val="00A76D9B"/>
    <w:rsid w:val="00A803B0"/>
    <w:rsid w:val="00A81EA1"/>
    <w:rsid w:val="00A94051"/>
    <w:rsid w:val="00A95970"/>
    <w:rsid w:val="00A96685"/>
    <w:rsid w:val="00A9727A"/>
    <w:rsid w:val="00A9793F"/>
    <w:rsid w:val="00AA3690"/>
    <w:rsid w:val="00AA3897"/>
    <w:rsid w:val="00AA5BA5"/>
    <w:rsid w:val="00AB0CC1"/>
    <w:rsid w:val="00AB2450"/>
    <w:rsid w:val="00AB540B"/>
    <w:rsid w:val="00AB7B71"/>
    <w:rsid w:val="00AC3A73"/>
    <w:rsid w:val="00AC404E"/>
    <w:rsid w:val="00AD08D0"/>
    <w:rsid w:val="00AD3485"/>
    <w:rsid w:val="00AD465A"/>
    <w:rsid w:val="00AD7703"/>
    <w:rsid w:val="00AE1036"/>
    <w:rsid w:val="00AE1996"/>
    <w:rsid w:val="00AE4CC8"/>
    <w:rsid w:val="00AE4D58"/>
    <w:rsid w:val="00AE6164"/>
    <w:rsid w:val="00AE7364"/>
    <w:rsid w:val="00AF04A0"/>
    <w:rsid w:val="00AF1281"/>
    <w:rsid w:val="00AF3413"/>
    <w:rsid w:val="00AF43B1"/>
    <w:rsid w:val="00AF4710"/>
    <w:rsid w:val="00AF74B6"/>
    <w:rsid w:val="00B027DC"/>
    <w:rsid w:val="00B02F7C"/>
    <w:rsid w:val="00B04B1E"/>
    <w:rsid w:val="00B07685"/>
    <w:rsid w:val="00B11BAC"/>
    <w:rsid w:val="00B14F96"/>
    <w:rsid w:val="00B24191"/>
    <w:rsid w:val="00B24A1F"/>
    <w:rsid w:val="00B24ABC"/>
    <w:rsid w:val="00B24DD2"/>
    <w:rsid w:val="00B3083D"/>
    <w:rsid w:val="00B34190"/>
    <w:rsid w:val="00B4084D"/>
    <w:rsid w:val="00B410E5"/>
    <w:rsid w:val="00B42AC2"/>
    <w:rsid w:val="00B42D45"/>
    <w:rsid w:val="00B4462B"/>
    <w:rsid w:val="00B50E95"/>
    <w:rsid w:val="00B532F8"/>
    <w:rsid w:val="00B54397"/>
    <w:rsid w:val="00B55D55"/>
    <w:rsid w:val="00B57323"/>
    <w:rsid w:val="00B63181"/>
    <w:rsid w:val="00B64FBE"/>
    <w:rsid w:val="00B67A1C"/>
    <w:rsid w:val="00B7037C"/>
    <w:rsid w:val="00B70D2E"/>
    <w:rsid w:val="00B751D4"/>
    <w:rsid w:val="00B76846"/>
    <w:rsid w:val="00B775C9"/>
    <w:rsid w:val="00B86743"/>
    <w:rsid w:val="00B94761"/>
    <w:rsid w:val="00B961F5"/>
    <w:rsid w:val="00BA2EB9"/>
    <w:rsid w:val="00BA5245"/>
    <w:rsid w:val="00BA5AF3"/>
    <w:rsid w:val="00BB0E7E"/>
    <w:rsid w:val="00BB1B9F"/>
    <w:rsid w:val="00BB28DD"/>
    <w:rsid w:val="00BB3AAC"/>
    <w:rsid w:val="00BB4565"/>
    <w:rsid w:val="00BB5083"/>
    <w:rsid w:val="00BC09AE"/>
    <w:rsid w:val="00BC138B"/>
    <w:rsid w:val="00BC2949"/>
    <w:rsid w:val="00BC3154"/>
    <w:rsid w:val="00BC58C5"/>
    <w:rsid w:val="00BD18F7"/>
    <w:rsid w:val="00BD194A"/>
    <w:rsid w:val="00BD27F0"/>
    <w:rsid w:val="00BD5D4F"/>
    <w:rsid w:val="00BD6414"/>
    <w:rsid w:val="00BD6E54"/>
    <w:rsid w:val="00BE1F3D"/>
    <w:rsid w:val="00BE471C"/>
    <w:rsid w:val="00BE6F5C"/>
    <w:rsid w:val="00BF05E5"/>
    <w:rsid w:val="00BF59C5"/>
    <w:rsid w:val="00C0365F"/>
    <w:rsid w:val="00C06695"/>
    <w:rsid w:val="00C11A3B"/>
    <w:rsid w:val="00C12912"/>
    <w:rsid w:val="00C13061"/>
    <w:rsid w:val="00C130A2"/>
    <w:rsid w:val="00C14C74"/>
    <w:rsid w:val="00C17E9E"/>
    <w:rsid w:val="00C24390"/>
    <w:rsid w:val="00C255C9"/>
    <w:rsid w:val="00C270B6"/>
    <w:rsid w:val="00C32554"/>
    <w:rsid w:val="00C34E23"/>
    <w:rsid w:val="00C3531E"/>
    <w:rsid w:val="00C36785"/>
    <w:rsid w:val="00C37011"/>
    <w:rsid w:val="00C4309C"/>
    <w:rsid w:val="00C43F7E"/>
    <w:rsid w:val="00C45516"/>
    <w:rsid w:val="00C46510"/>
    <w:rsid w:val="00C55CC5"/>
    <w:rsid w:val="00C56329"/>
    <w:rsid w:val="00C564D0"/>
    <w:rsid w:val="00C5678B"/>
    <w:rsid w:val="00C57631"/>
    <w:rsid w:val="00C60125"/>
    <w:rsid w:val="00C60D57"/>
    <w:rsid w:val="00C6254C"/>
    <w:rsid w:val="00C62831"/>
    <w:rsid w:val="00C6432A"/>
    <w:rsid w:val="00C66D0C"/>
    <w:rsid w:val="00C6727B"/>
    <w:rsid w:val="00C73875"/>
    <w:rsid w:val="00C7560A"/>
    <w:rsid w:val="00C766D1"/>
    <w:rsid w:val="00C77555"/>
    <w:rsid w:val="00C77FDD"/>
    <w:rsid w:val="00C85CB4"/>
    <w:rsid w:val="00C86BC6"/>
    <w:rsid w:val="00C86CCB"/>
    <w:rsid w:val="00C874C0"/>
    <w:rsid w:val="00C94010"/>
    <w:rsid w:val="00C9540A"/>
    <w:rsid w:val="00C96A81"/>
    <w:rsid w:val="00CA317D"/>
    <w:rsid w:val="00CA4174"/>
    <w:rsid w:val="00CA77E5"/>
    <w:rsid w:val="00CB0804"/>
    <w:rsid w:val="00CB2B98"/>
    <w:rsid w:val="00CB76AD"/>
    <w:rsid w:val="00CC25F1"/>
    <w:rsid w:val="00CC3345"/>
    <w:rsid w:val="00CC6E82"/>
    <w:rsid w:val="00CC6F65"/>
    <w:rsid w:val="00CD0353"/>
    <w:rsid w:val="00CD2331"/>
    <w:rsid w:val="00CD233E"/>
    <w:rsid w:val="00CD23A1"/>
    <w:rsid w:val="00CD2A59"/>
    <w:rsid w:val="00CD2D84"/>
    <w:rsid w:val="00CD56AB"/>
    <w:rsid w:val="00CD712B"/>
    <w:rsid w:val="00CE0727"/>
    <w:rsid w:val="00CE1F78"/>
    <w:rsid w:val="00CE208B"/>
    <w:rsid w:val="00CE7389"/>
    <w:rsid w:val="00CE7C57"/>
    <w:rsid w:val="00CF0D88"/>
    <w:rsid w:val="00CF6CFD"/>
    <w:rsid w:val="00CF7B5B"/>
    <w:rsid w:val="00D00325"/>
    <w:rsid w:val="00D01623"/>
    <w:rsid w:val="00D030C1"/>
    <w:rsid w:val="00D047AC"/>
    <w:rsid w:val="00D0719C"/>
    <w:rsid w:val="00D0737B"/>
    <w:rsid w:val="00D07E4E"/>
    <w:rsid w:val="00D11838"/>
    <w:rsid w:val="00D12A45"/>
    <w:rsid w:val="00D17801"/>
    <w:rsid w:val="00D17970"/>
    <w:rsid w:val="00D17B53"/>
    <w:rsid w:val="00D209BF"/>
    <w:rsid w:val="00D20A17"/>
    <w:rsid w:val="00D21627"/>
    <w:rsid w:val="00D21CB1"/>
    <w:rsid w:val="00D24CEE"/>
    <w:rsid w:val="00D30E19"/>
    <w:rsid w:val="00D33D17"/>
    <w:rsid w:val="00D42B8F"/>
    <w:rsid w:val="00D433F9"/>
    <w:rsid w:val="00D451C6"/>
    <w:rsid w:val="00D46C6A"/>
    <w:rsid w:val="00D46F17"/>
    <w:rsid w:val="00D509A5"/>
    <w:rsid w:val="00D55889"/>
    <w:rsid w:val="00D55B27"/>
    <w:rsid w:val="00D5655E"/>
    <w:rsid w:val="00D60DF7"/>
    <w:rsid w:val="00D6423B"/>
    <w:rsid w:val="00D6429D"/>
    <w:rsid w:val="00D64F44"/>
    <w:rsid w:val="00D67416"/>
    <w:rsid w:val="00D67D28"/>
    <w:rsid w:val="00D70041"/>
    <w:rsid w:val="00D762EA"/>
    <w:rsid w:val="00D83318"/>
    <w:rsid w:val="00D8384F"/>
    <w:rsid w:val="00D87AD8"/>
    <w:rsid w:val="00D903D7"/>
    <w:rsid w:val="00D90890"/>
    <w:rsid w:val="00D9137E"/>
    <w:rsid w:val="00D91DB2"/>
    <w:rsid w:val="00D931BF"/>
    <w:rsid w:val="00D937D1"/>
    <w:rsid w:val="00D94E32"/>
    <w:rsid w:val="00D96A35"/>
    <w:rsid w:val="00DA04D9"/>
    <w:rsid w:val="00DA2099"/>
    <w:rsid w:val="00DA29A0"/>
    <w:rsid w:val="00DA3E85"/>
    <w:rsid w:val="00DA6EC0"/>
    <w:rsid w:val="00DB0DCF"/>
    <w:rsid w:val="00DB5464"/>
    <w:rsid w:val="00DC0862"/>
    <w:rsid w:val="00DC0C3E"/>
    <w:rsid w:val="00DC745E"/>
    <w:rsid w:val="00DD3172"/>
    <w:rsid w:val="00DD4825"/>
    <w:rsid w:val="00DD5E11"/>
    <w:rsid w:val="00DE05FD"/>
    <w:rsid w:val="00DE4362"/>
    <w:rsid w:val="00DE4FE2"/>
    <w:rsid w:val="00DE71BA"/>
    <w:rsid w:val="00DF1FA0"/>
    <w:rsid w:val="00DF2C99"/>
    <w:rsid w:val="00DF39A4"/>
    <w:rsid w:val="00DF3F5B"/>
    <w:rsid w:val="00DF4399"/>
    <w:rsid w:val="00DF50AE"/>
    <w:rsid w:val="00DF7998"/>
    <w:rsid w:val="00E035C9"/>
    <w:rsid w:val="00E04908"/>
    <w:rsid w:val="00E05184"/>
    <w:rsid w:val="00E07EFE"/>
    <w:rsid w:val="00E13A9C"/>
    <w:rsid w:val="00E14A0B"/>
    <w:rsid w:val="00E16B4E"/>
    <w:rsid w:val="00E16C80"/>
    <w:rsid w:val="00E27B88"/>
    <w:rsid w:val="00E303D0"/>
    <w:rsid w:val="00E32027"/>
    <w:rsid w:val="00E32E27"/>
    <w:rsid w:val="00E3364A"/>
    <w:rsid w:val="00E336E5"/>
    <w:rsid w:val="00E375ED"/>
    <w:rsid w:val="00E37CA8"/>
    <w:rsid w:val="00E40773"/>
    <w:rsid w:val="00E40786"/>
    <w:rsid w:val="00E41354"/>
    <w:rsid w:val="00E5089B"/>
    <w:rsid w:val="00E50D64"/>
    <w:rsid w:val="00E5146A"/>
    <w:rsid w:val="00E53EFB"/>
    <w:rsid w:val="00E54F28"/>
    <w:rsid w:val="00E57EC7"/>
    <w:rsid w:val="00E618E6"/>
    <w:rsid w:val="00E63590"/>
    <w:rsid w:val="00E64482"/>
    <w:rsid w:val="00E721DE"/>
    <w:rsid w:val="00E729F2"/>
    <w:rsid w:val="00E74785"/>
    <w:rsid w:val="00E74BD1"/>
    <w:rsid w:val="00E74F4F"/>
    <w:rsid w:val="00E77416"/>
    <w:rsid w:val="00E80CD2"/>
    <w:rsid w:val="00E828F1"/>
    <w:rsid w:val="00E83477"/>
    <w:rsid w:val="00E90F37"/>
    <w:rsid w:val="00E940FA"/>
    <w:rsid w:val="00E96FB1"/>
    <w:rsid w:val="00EA1421"/>
    <w:rsid w:val="00EA37B3"/>
    <w:rsid w:val="00EB0C1E"/>
    <w:rsid w:val="00EB78CF"/>
    <w:rsid w:val="00EC23DE"/>
    <w:rsid w:val="00EC3528"/>
    <w:rsid w:val="00EC371E"/>
    <w:rsid w:val="00EC504E"/>
    <w:rsid w:val="00EC6AEA"/>
    <w:rsid w:val="00ED009B"/>
    <w:rsid w:val="00ED1084"/>
    <w:rsid w:val="00ED1D29"/>
    <w:rsid w:val="00ED51F0"/>
    <w:rsid w:val="00EF22A9"/>
    <w:rsid w:val="00EF24EF"/>
    <w:rsid w:val="00EF2C7F"/>
    <w:rsid w:val="00F01498"/>
    <w:rsid w:val="00F045C5"/>
    <w:rsid w:val="00F046E3"/>
    <w:rsid w:val="00F06010"/>
    <w:rsid w:val="00F11D48"/>
    <w:rsid w:val="00F1428D"/>
    <w:rsid w:val="00F145FC"/>
    <w:rsid w:val="00F14D55"/>
    <w:rsid w:val="00F16D21"/>
    <w:rsid w:val="00F16D3C"/>
    <w:rsid w:val="00F20388"/>
    <w:rsid w:val="00F20B00"/>
    <w:rsid w:val="00F2274C"/>
    <w:rsid w:val="00F24B8E"/>
    <w:rsid w:val="00F26318"/>
    <w:rsid w:val="00F27032"/>
    <w:rsid w:val="00F3086A"/>
    <w:rsid w:val="00F311DF"/>
    <w:rsid w:val="00F331F2"/>
    <w:rsid w:val="00F33352"/>
    <w:rsid w:val="00F33EC0"/>
    <w:rsid w:val="00F4063A"/>
    <w:rsid w:val="00F4178C"/>
    <w:rsid w:val="00F42BCC"/>
    <w:rsid w:val="00F431E2"/>
    <w:rsid w:val="00F4691A"/>
    <w:rsid w:val="00F47199"/>
    <w:rsid w:val="00F514B5"/>
    <w:rsid w:val="00F515D4"/>
    <w:rsid w:val="00F53F14"/>
    <w:rsid w:val="00F54E96"/>
    <w:rsid w:val="00F54FED"/>
    <w:rsid w:val="00F560FB"/>
    <w:rsid w:val="00F606E3"/>
    <w:rsid w:val="00F608BE"/>
    <w:rsid w:val="00F67CDB"/>
    <w:rsid w:val="00F7314B"/>
    <w:rsid w:val="00F73F6F"/>
    <w:rsid w:val="00F75DDA"/>
    <w:rsid w:val="00F80934"/>
    <w:rsid w:val="00F80D21"/>
    <w:rsid w:val="00F818A6"/>
    <w:rsid w:val="00F830FB"/>
    <w:rsid w:val="00F83979"/>
    <w:rsid w:val="00F97573"/>
    <w:rsid w:val="00FA5FCA"/>
    <w:rsid w:val="00FB3AEA"/>
    <w:rsid w:val="00FB3F0E"/>
    <w:rsid w:val="00FB4019"/>
    <w:rsid w:val="00FC2E86"/>
    <w:rsid w:val="00FC2EB9"/>
    <w:rsid w:val="00FC32B2"/>
    <w:rsid w:val="00FC34AF"/>
    <w:rsid w:val="00FC3B63"/>
    <w:rsid w:val="00FC47BD"/>
    <w:rsid w:val="00FC700A"/>
    <w:rsid w:val="00FD17AC"/>
    <w:rsid w:val="00FD318B"/>
    <w:rsid w:val="00FD45D7"/>
    <w:rsid w:val="00FD76C3"/>
    <w:rsid w:val="00FE00E4"/>
    <w:rsid w:val="00FE0A97"/>
    <w:rsid w:val="00FE17D3"/>
    <w:rsid w:val="00FE1B46"/>
    <w:rsid w:val="00FE2D46"/>
    <w:rsid w:val="00FE5705"/>
    <w:rsid w:val="00FE5E6C"/>
    <w:rsid w:val="00FE6024"/>
    <w:rsid w:val="00FE6CF4"/>
    <w:rsid w:val="00FE7FBE"/>
    <w:rsid w:val="00FF0101"/>
    <w:rsid w:val="00FF0E4C"/>
    <w:rsid w:val="00FF2A22"/>
    <w:rsid w:val="00FF3991"/>
    <w:rsid w:val="00FF46B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64E3B693"/>
  <w15:chartTrackingRefBased/>
  <w15:docId w15:val="{CBFFB6BB-DA7F-4009-8B64-B2B11FD9A9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color w:val="000000" w:themeColor="text1"/>
        <w:lang w:val="en-AU" w:eastAsia="en-US" w:bidi="ar-SA"/>
      </w:rPr>
    </w:rPrDefault>
    <w:pPrDefault>
      <w:pPr>
        <w:spacing w:before="160" w:after="8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uiPriority="28"/>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1D68"/>
    <w:pPr>
      <w:suppressAutoHyphens/>
    </w:pPr>
    <w:rPr>
      <w:kern w:val="12"/>
    </w:rPr>
  </w:style>
  <w:style w:type="paragraph" w:styleId="Heading1">
    <w:name w:val="heading 1"/>
    <w:basedOn w:val="Normal"/>
    <w:next w:val="Normal"/>
    <w:link w:val="Heading1Char"/>
    <w:uiPriority w:val="9"/>
    <w:qFormat/>
    <w:rsid w:val="00DE4362"/>
    <w:pPr>
      <w:keepNext/>
      <w:keepLines/>
      <w:spacing w:before="480" w:after="160"/>
      <w:contextualSpacing/>
      <w:outlineLvl w:val="0"/>
    </w:pPr>
    <w:rPr>
      <w:rFonts w:asciiTheme="majorHAnsi" w:eastAsiaTheme="majorEastAsia" w:hAnsiTheme="majorHAnsi" w:cstheme="majorBidi"/>
      <w:color w:val="081E3E" w:themeColor="text2"/>
      <w:sz w:val="44"/>
      <w:szCs w:val="32"/>
    </w:rPr>
  </w:style>
  <w:style w:type="paragraph" w:styleId="Heading2">
    <w:name w:val="heading 2"/>
    <w:basedOn w:val="Normal"/>
    <w:next w:val="Normal"/>
    <w:link w:val="Heading2Char"/>
    <w:uiPriority w:val="9"/>
    <w:unhideWhenUsed/>
    <w:qFormat/>
    <w:rsid w:val="005F794B"/>
    <w:pPr>
      <w:keepNext/>
      <w:keepLines/>
      <w:spacing w:before="320" w:after="160"/>
      <w:outlineLvl w:val="1"/>
    </w:pPr>
    <w:rPr>
      <w:rFonts w:asciiTheme="majorHAnsi" w:eastAsiaTheme="majorEastAsia" w:hAnsiTheme="majorHAnsi" w:cstheme="majorBidi"/>
      <w:color w:val="081E3E" w:themeColor="text2"/>
      <w:sz w:val="36"/>
      <w:szCs w:val="26"/>
    </w:rPr>
  </w:style>
  <w:style w:type="paragraph" w:styleId="Heading3">
    <w:name w:val="heading 3"/>
    <w:basedOn w:val="Normal"/>
    <w:next w:val="Normal"/>
    <w:link w:val="Heading3Char"/>
    <w:uiPriority w:val="9"/>
    <w:unhideWhenUsed/>
    <w:qFormat/>
    <w:rsid w:val="003261CF"/>
    <w:pPr>
      <w:keepNext/>
      <w:keepLines/>
      <w:spacing w:before="240" w:after="160"/>
      <w:outlineLvl w:val="2"/>
    </w:pPr>
    <w:rPr>
      <w:rFonts w:asciiTheme="majorHAnsi" w:eastAsiaTheme="majorEastAsia" w:hAnsiTheme="majorHAnsi" w:cstheme="majorBidi"/>
      <w:b/>
      <w:color w:val="6D7989" w:themeColor="accent4" w:themeShade="BF"/>
      <w:sz w:val="32"/>
      <w:szCs w:val="24"/>
    </w:rPr>
  </w:style>
  <w:style w:type="paragraph" w:styleId="Heading4">
    <w:name w:val="heading 4"/>
    <w:basedOn w:val="Normal"/>
    <w:next w:val="Normal"/>
    <w:link w:val="Heading4Char"/>
    <w:uiPriority w:val="9"/>
    <w:unhideWhenUsed/>
    <w:qFormat/>
    <w:rsid w:val="003261CF"/>
    <w:pPr>
      <w:keepNext/>
      <w:keepLines/>
      <w:spacing w:before="240" w:after="160"/>
      <w:outlineLvl w:val="3"/>
    </w:pPr>
    <w:rPr>
      <w:rFonts w:asciiTheme="majorHAnsi" w:eastAsiaTheme="majorEastAsia" w:hAnsiTheme="majorHAnsi" w:cstheme="majorBidi"/>
      <w:b/>
      <w:iCs/>
      <w:color w:val="6D7989" w:themeColor="accent4" w:themeShade="BF"/>
      <w:sz w:val="26"/>
    </w:rPr>
  </w:style>
  <w:style w:type="paragraph" w:styleId="Heading5">
    <w:name w:val="heading 5"/>
    <w:basedOn w:val="Normal"/>
    <w:next w:val="Normal"/>
    <w:link w:val="Heading5Char"/>
    <w:uiPriority w:val="9"/>
    <w:unhideWhenUsed/>
    <w:qFormat/>
    <w:rsid w:val="005F794B"/>
    <w:pPr>
      <w:keepNext/>
      <w:keepLines/>
      <w:spacing w:before="240" w:after="160"/>
      <w:outlineLvl w:val="4"/>
    </w:pPr>
    <w:rPr>
      <w:rFonts w:asciiTheme="majorHAnsi" w:eastAsiaTheme="majorEastAsia" w:hAnsiTheme="majorHAnsi" w:cstheme="majorBidi"/>
      <w:b/>
      <w:color w:val="081E3E" w:themeColor="text2"/>
      <w:sz w:val="22"/>
    </w:rPr>
  </w:style>
  <w:style w:type="paragraph" w:styleId="Heading6">
    <w:name w:val="heading 6"/>
    <w:basedOn w:val="Normal"/>
    <w:next w:val="Normal"/>
    <w:link w:val="Heading6Char"/>
    <w:uiPriority w:val="9"/>
    <w:unhideWhenUsed/>
    <w:qFormat/>
    <w:rsid w:val="005F794B"/>
    <w:pPr>
      <w:keepNext/>
      <w:keepLines/>
      <w:spacing w:before="240" w:after="160"/>
      <w:outlineLvl w:val="5"/>
    </w:pPr>
    <w:rPr>
      <w:rFonts w:asciiTheme="majorHAnsi" w:eastAsiaTheme="majorEastAsia" w:hAnsiTheme="majorHAnsi" w:cstheme="majorBidi"/>
      <w:i/>
      <w:color w:val="081E3E" w:themeColor="text2"/>
      <w:sz w:val="22"/>
    </w:rPr>
  </w:style>
  <w:style w:type="paragraph" w:styleId="Heading7">
    <w:name w:val="heading 7"/>
    <w:basedOn w:val="Normal"/>
    <w:next w:val="Normal"/>
    <w:link w:val="Heading7Char"/>
    <w:uiPriority w:val="9"/>
    <w:semiHidden/>
    <w:unhideWhenUsed/>
    <w:qFormat/>
    <w:rsid w:val="00620770"/>
    <w:pPr>
      <w:keepNext/>
      <w:keepLines/>
      <w:spacing w:before="40" w:after="0"/>
      <w:outlineLvl w:val="6"/>
    </w:pPr>
    <w:rPr>
      <w:rFonts w:ascii="Cambria" w:eastAsia="Times New Roman" w:hAnsi="Cambria" w:cs="Times New Roman"/>
      <w:b/>
      <w:bCs/>
      <w:caps/>
      <w:kern w:val="0"/>
      <w:sz w:val="24"/>
      <w:szCs w:val="28"/>
    </w:rPr>
  </w:style>
  <w:style w:type="paragraph" w:styleId="Heading8">
    <w:name w:val="heading 8"/>
    <w:basedOn w:val="Normal"/>
    <w:next w:val="Normal"/>
    <w:link w:val="Heading8Char"/>
    <w:uiPriority w:val="9"/>
    <w:unhideWhenUsed/>
    <w:qFormat/>
    <w:rsid w:val="00620770"/>
    <w:pPr>
      <w:keepNext/>
      <w:keepLines/>
      <w:tabs>
        <w:tab w:val="left" w:pos="720"/>
        <w:tab w:val="left" w:pos="851"/>
      </w:tabs>
      <w:suppressAutoHyphens w:val="0"/>
      <w:spacing w:before="200" w:after="0" w:line="264" w:lineRule="auto"/>
      <w:outlineLvl w:val="7"/>
    </w:pPr>
    <w:rPr>
      <w:rFonts w:ascii="Cambria" w:eastAsia="Times New Roman" w:hAnsi="Cambria" w:cs="Times New Roman"/>
      <w:color w:val="404040"/>
      <w:kern w:val="0"/>
    </w:rPr>
  </w:style>
  <w:style w:type="paragraph" w:styleId="Heading9">
    <w:name w:val="heading 9"/>
    <w:basedOn w:val="Normal"/>
    <w:next w:val="Normal"/>
    <w:link w:val="Heading9Char"/>
    <w:uiPriority w:val="9"/>
    <w:unhideWhenUsed/>
    <w:qFormat/>
    <w:rsid w:val="00620770"/>
    <w:pPr>
      <w:keepNext/>
      <w:keepLines/>
      <w:tabs>
        <w:tab w:val="left" w:pos="720"/>
        <w:tab w:val="left" w:pos="851"/>
      </w:tabs>
      <w:suppressAutoHyphens w:val="0"/>
      <w:spacing w:before="200" w:after="0" w:line="264" w:lineRule="auto"/>
      <w:outlineLvl w:val="8"/>
    </w:pPr>
    <w:rPr>
      <w:rFonts w:ascii="Cambria" w:eastAsia="Times New Roman" w:hAnsi="Cambria" w:cs="Times New Roman"/>
      <w:i/>
      <w:iCs/>
      <w:color w:val="404040"/>
      <w:kern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E4FE2"/>
    <w:rPr>
      <w:color w:val="808080"/>
    </w:rPr>
  </w:style>
  <w:style w:type="paragraph" w:styleId="Title">
    <w:name w:val="Title"/>
    <w:basedOn w:val="Normal"/>
    <w:next w:val="Normal"/>
    <w:link w:val="TitleChar"/>
    <w:uiPriority w:val="10"/>
    <w:qFormat/>
    <w:rsid w:val="003261CF"/>
    <w:pPr>
      <w:spacing w:before="1680" w:after="480"/>
    </w:pPr>
    <w:rPr>
      <w:rFonts w:asciiTheme="majorHAnsi" w:eastAsiaTheme="majorEastAsia" w:hAnsiTheme="majorHAnsi" w:cstheme="majorBidi"/>
      <w:b/>
      <w:sz w:val="60"/>
      <w:szCs w:val="56"/>
    </w:rPr>
  </w:style>
  <w:style w:type="character" w:customStyle="1" w:styleId="TitleChar">
    <w:name w:val="Title Char"/>
    <w:basedOn w:val="DefaultParagraphFont"/>
    <w:link w:val="Title"/>
    <w:uiPriority w:val="10"/>
    <w:rsid w:val="003261CF"/>
    <w:rPr>
      <w:rFonts w:asciiTheme="majorHAnsi" w:eastAsiaTheme="majorEastAsia" w:hAnsiTheme="majorHAnsi" w:cstheme="majorBidi"/>
      <w:b/>
      <w:kern w:val="12"/>
      <w:sz w:val="60"/>
      <w:szCs w:val="56"/>
    </w:rPr>
  </w:style>
  <w:style w:type="paragraph" w:styleId="Subtitle">
    <w:name w:val="Subtitle"/>
    <w:basedOn w:val="Normal"/>
    <w:next w:val="Normal"/>
    <w:link w:val="SubtitleChar"/>
    <w:uiPriority w:val="11"/>
    <w:qFormat/>
    <w:rsid w:val="003261CF"/>
    <w:pPr>
      <w:numPr>
        <w:ilvl w:val="1"/>
      </w:numPr>
      <w:spacing w:before="480" w:after="160"/>
    </w:pPr>
    <w:rPr>
      <w:rFonts w:asciiTheme="majorHAnsi" w:eastAsiaTheme="minorEastAsia" w:hAnsiTheme="majorHAnsi"/>
      <w:color w:val="377B88"/>
      <w:sz w:val="44"/>
      <w:szCs w:val="22"/>
    </w:rPr>
  </w:style>
  <w:style w:type="character" w:customStyle="1" w:styleId="SubtitleChar">
    <w:name w:val="Subtitle Char"/>
    <w:basedOn w:val="DefaultParagraphFont"/>
    <w:link w:val="Subtitle"/>
    <w:uiPriority w:val="11"/>
    <w:rsid w:val="003261CF"/>
    <w:rPr>
      <w:rFonts w:asciiTheme="majorHAnsi" w:eastAsiaTheme="minorEastAsia" w:hAnsiTheme="majorHAnsi"/>
      <w:color w:val="377B88"/>
      <w:kern w:val="12"/>
      <w:sz w:val="44"/>
      <w:szCs w:val="22"/>
    </w:rPr>
  </w:style>
  <w:style w:type="paragraph" w:customStyle="1" w:styleId="CoverDate">
    <w:name w:val="Cover Date"/>
    <w:basedOn w:val="Normal"/>
    <w:uiPriority w:val="19"/>
    <w:qFormat/>
    <w:rsid w:val="003261CF"/>
    <w:rPr>
      <w:b/>
    </w:rPr>
  </w:style>
  <w:style w:type="paragraph" w:styleId="Header">
    <w:name w:val="header"/>
    <w:basedOn w:val="Normal"/>
    <w:link w:val="HeaderChar"/>
    <w:uiPriority w:val="99"/>
    <w:unhideWhenUsed/>
    <w:rsid w:val="005912BE"/>
    <w:pPr>
      <w:tabs>
        <w:tab w:val="center" w:pos="4513"/>
        <w:tab w:val="right" w:pos="9026"/>
      </w:tabs>
      <w:spacing w:before="0" w:after="0"/>
      <w:jc w:val="right"/>
    </w:pPr>
    <w:rPr>
      <w:sz w:val="16"/>
    </w:rPr>
  </w:style>
  <w:style w:type="character" w:customStyle="1" w:styleId="HeaderChar">
    <w:name w:val="Header Char"/>
    <w:basedOn w:val="DefaultParagraphFont"/>
    <w:link w:val="Header"/>
    <w:uiPriority w:val="99"/>
    <w:rsid w:val="005912BE"/>
    <w:rPr>
      <w:kern w:val="12"/>
      <w:sz w:val="16"/>
    </w:rPr>
  </w:style>
  <w:style w:type="paragraph" w:styleId="Footer">
    <w:name w:val="footer"/>
    <w:basedOn w:val="Normal"/>
    <w:link w:val="FooterChar"/>
    <w:uiPriority w:val="99"/>
    <w:unhideWhenUsed/>
    <w:rsid w:val="007A05BE"/>
    <w:pPr>
      <w:tabs>
        <w:tab w:val="center" w:pos="4513"/>
        <w:tab w:val="right" w:pos="9026"/>
      </w:tabs>
      <w:spacing w:before="0" w:after="0"/>
    </w:pPr>
    <w:rPr>
      <w:sz w:val="16"/>
    </w:rPr>
  </w:style>
  <w:style w:type="character" w:customStyle="1" w:styleId="FooterChar">
    <w:name w:val="Footer Char"/>
    <w:basedOn w:val="DefaultParagraphFont"/>
    <w:link w:val="Footer"/>
    <w:uiPriority w:val="99"/>
    <w:rsid w:val="007A05BE"/>
    <w:rPr>
      <w:kern w:val="12"/>
      <w:sz w:val="16"/>
    </w:rPr>
  </w:style>
  <w:style w:type="character" w:styleId="PageNumber">
    <w:name w:val="page number"/>
    <w:basedOn w:val="DefaultParagraphFont"/>
    <w:uiPriority w:val="99"/>
    <w:semiHidden/>
    <w:rsid w:val="007A05BE"/>
    <w:rPr>
      <w:b/>
      <w:sz w:val="20"/>
    </w:rPr>
  </w:style>
  <w:style w:type="paragraph" w:customStyle="1" w:styleId="CoverPhoto">
    <w:name w:val="Cover Photo"/>
    <w:basedOn w:val="Normal"/>
    <w:uiPriority w:val="19"/>
    <w:qFormat/>
    <w:rsid w:val="0022611D"/>
    <w:pPr>
      <w:spacing w:before="1240" w:after="160"/>
    </w:pPr>
  </w:style>
  <w:style w:type="paragraph" w:styleId="NoSpacing">
    <w:name w:val="No Spacing"/>
    <w:uiPriority w:val="1"/>
    <w:qFormat/>
    <w:rsid w:val="000E5674"/>
    <w:pPr>
      <w:suppressAutoHyphens/>
      <w:contextualSpacing/>
    </w:pPr>
    <w:rPr>
      <w:kern w:val="12"/>
    </w:rPr>
  </w:style>
  <w:style w:type="paragraph" w:customStyle="1" w:styleId="ImprintHeading">
    <w:name w:val="Imprint Heading"/>
    <w:basedOn w:val="Normal"/>
    <w:uiPriority w:val="12"/>
    <w:rsid w:val="000E5674"/>
    <w:pPr>
      <w:spacing w:before="240" w:after="160"/>
      <w:outlineLvl w:val="1"/>
    </w:pPr>
    <w:rPr>
      <w:b/>
      <w:sz w:val="22"/>
      <w:szCs w:val="22"/>
      <w:lang w:val="x-none"/>
    </w:rPr>
  </w:style>
  <w:style w:type="character" w:styleId="Hyperlink">
    <w:name w:val="Hyperlink"/>
    <w:basedOn w:val="DefaultParagraphFont"/>
    <w:uiPriority w:val="99"/>
    <w:unhideWhenUsed/>
    <w:rsid w:val="000E5674"/>
    <w:rPr>
      <w:color w:val="0046FF" w:themeColor="hyperlink"/>
      <w:u w:val="single"/>
    </w:rPr>
  </w:style>
  <w:style w:type="table" w:styleId="TableGrid">
    <w:name w:val="Table Grid"/>
    <w:basedOn w:val="TableNormal"/>
    <w:uiPriority w:val="39"/>
    <w:rsid w:val="005F794B"/>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5912BE"/>
    <w:pPr>
      <w:spacing w:before="0" w:after="0"/>
      <w:ind w:left="284" w:hanging="284"/>
    </w:pPr>
    <w:rPr>
      <w:sz w:val="18"/>
    </w:rPr>
  </w:style>
  <w:style w:type="character" w:customStyle="1" w:styleId="FootnoteTextChar">
    <w:name w:val="Footnote Text Char"/>
    <w:basedOn w:val="DefaultParagraphFont"/>
    <w:link w:val="FootnoteText"/>
    <w:uiPriority w:val="99"/>
    <w:rsid w:val="005912BE"/>
    <w:rPr>
      <w:kern w:val="12"/>
      <w:sz w:val="18"/>
    </w:rPr>
  </w:style>
  <w:style w:type="character" w:styleId="FootnoteReference">
    <w:name w:val="footnote reference"/>
    <w:basedOn w:val="DefaultParagraphFont"/>
    <w:uiPriority w:val="99"/>
    <w:unhideWhenUsed/>
    <w:rsid w:val="005F794B"/>
    <w:rPr>
      <w:vertAlign w:val="superscript"/>
    </w:rPr>
  </w:style>
  <w:style w:type="character" w:customStyle="1" w:styleId="Heading1Char">
    <w:name w:val="Heading 1 Char"/>
    <w:basedOn w:val="DefaultParagraphFont"/>
    <w:link w:val="Heading1"/>
    <w:uiPriority w:val="9"/>
    <w:rsid w:val="00DE4362"/>
    <w:rPr>
      <w:rFonts w:asciiTheme="majorHAnsi" w:eastAsiaTheme="majorEastAsia" w:hAnsiTheme="majorHAnsi" w:cstheme="majorBidi"/>
      <w:color w:val="081E3E" w:themeColor="text2"/>
      <w:kern w:val="12"/>
      <w:sz w:val="44"/>
      <w:szCs w:val="32"/>
    </w:rPr>
  </w:style>
  <w:style w:type="character" w:customStyle="1" w:styleId="Heading2Char">
    <w:name w:val="Heading 2 Char"/>
    <w:basedOn w:val="DefaultParagraphFont"/>
    <w:link w:val="Heading2"/>
    <w:uiPriority w:val="9"/>
    <w:rsid w:val="005F794B"/>
    <w:rPr>
      <w:rFonts w:asciiTheme="majorHAnsi" w:eastAsiaTheme="majorEastAsia" w:hAnsiTheme="majorHAnsi" w:cstheme="majorBidi"/>
      <w:color w:val="081E3E" w:themeColor="text2"/>
      <w:kern w:val="12"/>
      <w:sz w:val="36"/>
      <w:szCs w:val="26"/>
    </w:rPr>
  </w:style>
  <w:style w:type="paragraph" w:customStyle="1" w:styleId="Introduction">
    <w:name w:val="Introduction"/>
    <w:basedOn w:val="Normal"/>
    <w:uiPriority w:val="2"/>
    <w:qFormat/>
    <w:rsid w:val="003261CF"/>
    <w:pPr>
      <w:spacing w:before="240" w:after="240"/>
    </w:pPr>
    <w:rPr>
      <w:color w:val="377B88"/>
      <w:sz w:val="26"/>
      <w:lang w:val="x-none"/>
    </w:rPr>
  </w:style>
  <w:style w:type="character" w:customStyle="1" w:styleId="Heading3Char">
    <w:name w:val="Heading 3 Char"/>
    <w:basedOn w:val="DefaultParagraphFont"/>
    <w:link w:val="Heading3"/>
    <w:uiPriority w:val="9"/>
    <w:rsid w:val="003261CF"/>
    <w:rPr>
      <w:rFonts w:asciiTheme="majorHAnsi" w:eastAsiaTheme="majorEastAsia" w:hAnsiTheme="majorHAnsi" w:cstheme="majorBidi"/>
      <w:b/>
      <w:color w:val="6D7989" w:themeColor="accent4" w:themeShade="BF"/>
      <w:kern w:val="12"/>
      <w:sz w:val="32"/>
      <w:szCs w:val="24"/>
    </w:rPr>
  </w:style>
  <w:style w:type="character" w:customStyle="1" w:styleId="Heading4Char">
    <w:name w:val="Heading 4 Char"/>
    <w:basedOn w:val="DefaultParagraphFont"/>
    <w:link w:val="Heading4"/>
    <w:uiPriority w:val="9"/>
    <w:rsid w:val="003261CF"/>
    <w:rPr>
      <w:rFonts w:asciiTheme="majorHAnsi" w:eastAsiaTheme="majorEastAsia" w:hAnsiTheme="majorHAnsi" w:cstheme="majorBidi"/>
      <w:b/>
      <w:iCs/>
      <w:color w:val="6D7989" w:themeColor="accent4" w:themeShade="BF"/>
      <w:kern w:val="12"/>
      <w:sz w:val="26"/>
    </w:rPr>
  </w:style>
  <w:style w:type="character" w:customStyle="1" w:styleId="Heading5Char">
    <w:name w:val="Heading 5 Char"/>
    <w:basedOn w:val="DefaultParagraphFont"/>
    <w:link w:val="Heading5"/>
    <w:uiPriority w:val="9"/>
    <w:rsid w:val="005F794B"/>
    <w:rPr>
      <w:rFonts w:asciiTheme="majorHAnsi" w:eastAsiaTheme="majorEastAsia" w:hAnsiTheme="majorHAnsi" w:cstheme="majorBidi"/>
      <w:b/>
      <w:color w:val="081E3E" w:themeColor="text2"/>
      <w:kern w:val="12"/>
      <w:sz w:val="22"/>
    </w:rPr>
  </w:style>
  <w:style w:type="character" w:customStyle="1" w:styleId="Heading6Char">
    <w:name w:val="Heading 6 Char"/>
    <w:basedOn w:val="DefaultParagraphFont"/>
    <w:link w:val="Heading6"/>
    <w:uiPriority w:val="9"/>
    <w:rsid w:val="005F794B"/>
    <w:rPr>
      <w:rFonts w:asciiTheme="majorHAnsi" w:eastAsiaTheme="majorEastAsia" w:hAnsiTheme="majorHAnsi" w:cstheme="majorBidi"/>
      <w:i/>
      <w:color w:val="081E3E" w:themeColor="text2"/>
      <w:kern w:val="12"/>
      <w:sz w:val="22"/>
    </w:rPr>
  </w:style>
  <w:style w:type="paragraph" w:styleId="Caption">
    <w:name w:val="caption"/>
    <w:basedOn w:val="Normal"/>
    <w:next w:val="Normal"/>
    <w:uiPriority w:val="99"/>
    <w:qFormat/>
    <w:rsid w:val="005F794B"/>
    <w:pPr>
      <w:spacing w:before="240" w:after="160"/>
    </w:pPr>
    <w:rPr>
      <w:b/>
      <w:iCs/>
      <w:szCs w:val="18"/>
    </w:rPr>
  </w:style>
  <w:style w:type="table" w:customStyle="1" w:styleId="DefaultTable1">
    <w:name w:val="Default Table 1"/>
    <w:basedOn w:val="TableNormal"/>
    <w:uiPriority w:val="99"/>
    <w:rsid w:val="00D5655E"/>
    <w:pPr>
      <w:spacing w:before="80"/>
    </w:pPr>
    <w:tblPr>
      <w:tblStyleRowBandSize w:val="1"/>
      <w:tblStyleColBandSize w:val="1"/>
      <w:tblBorders>
        <w:top w:val="single" w:sz="4" w:space="0" w:color="4BB3B5" w:themeColor="accent2"/>
        <w:bottom w:val="single" w:sz="4" w:space="0" w:color="4BB3B5" w:themeColor="accent2"/>
        <w:insideH w:val="single" w:sz="4" w:space="0" w:color="4BB3B5" w:themeColor="accent2"/>
      </w:tblBorders>
    </w:tblPr>
    <w:tblStylePr w:type="firstRow">
      <w:rPr>
        <w:b/>
        <w:color w:val="FFFFFF" w:themeColor="background1"/>
      </w:rPr>
      <w:tblPr/>
      <w:trPr>
        <w:tblHeader/>
      </w:trPr>
      <w:tcPr>
        <w:tcBorders>
          <w:top w:val="nil"/>
          <w:bottom w:val="nil"/>
        </w:tcBorders>
        <w:shd w:val="clear" w:color="auto" w:fill="081E3E" w:themeFill="accent1"/>
      </w:tcPr>
    </w:tblStylePr>
    <w:tblStylePr w:type="lastRow">
      <w:rPr>
        <w:b/>
      </w:rPr>
      <w:tblPr/>
      <w:tcPr>
        <w:shd w:val="clear" w:color="auto" w:fill="F2F6E8" w:themeFill="accent5" w:themeFillTint="33"/>
      </w:tcPr>
    </w:tblStylePr>
    <w:tblStylePr w:type="firstCol">
      <w:rPr>
        <w:b/>
      </w:rPr>
    </w:tblStylePr>
    <w:tblStylePr w:type="band2Vert">
      <w:tblPr/>
      <w:tcPr>
        <w:shd w:val="clear" w:color="auto" w:fill="F2F2F2" w:themeFill="background1" w:themeFillShade="F2"/>
      </w:tcPr>
    </w:tblStylePr>
    <w:tblStylePr w:type="band2Horz">
      <w:tblPr/>
      <w:tcPr>
        <w:shd w:val="clear" w:color="auto" w:fill="F2F2F2" w:themeFill="background1" w:themeFillShade="F2"/>
      </w:tcPr>
    </w:tblStylePr>
  </w:style>
  <w:style w:type="paragraph" w:customStyle="1" w:styleId="Sourcenotes">
    <w:name w:val="Source notes"/>
    <w:basedOn w:val="Normal"/>
    <w:uiPriority w:val="15"/>
    <w:qFormat/>
    <w:rsid w:val="001349C6"/>
    <w:pPr>
      <w:spacing w:before="120"/>
    </w:pPr>
    <w:rPr>
      <w:sz w:val="16"/>
      <w:lang w:val="x-none"/>
    </w:rPr>
  </w:style>
  <w:style w:type="paragraph" w:customStyle="1" w:styleId="Sourcenotesnumbered">
    <w:name w:val="Source notes numbered"/>
    <w:basedOn w:val="Sourcenotes"/>
    <w:uiPriority w:val="15"/>
    <w:qFormat/>
    <w:rsid w:val="001349C6"/>
    <w:pPr>
      <w:spacing w:before="80"/>
    </w:pPr>
  </w:style>
  <w:style w:type="paragraph" w:customStyle="1" w:styleId="ListLegal1">
    <w:name w:val="List Legal 1"/>
    <w:basedOn w:val="Normal"/>
    <w:uiPriority w:val="3"/>
    <w:qFormat/>
    <w:rsid w:val="00FC32B2"/>
    <w:pPr>
      <w:numPr>
        <w:numId w:val="2"/>
      </w:numPr>
      <w:spacing w:before="80"/>
    </w:pPr>
    <w:rPr>
      <w:lang w:val="x-none"/>
    </w:rPr>
  </w:style>
  <w:style w:type="paragraph" w:customStyle="1" w:styleId="ListLegal2">
    <w:name w:val="List Legal 2"/>
    <w:basedOn w:val="ListLegal1"/>
    <w:uiPriority w:val="3"/>
    <w:rsid w:val="00FC32B2"/>
    <w:pPr>
      <w:numPr>
        <w:ilvl w:val="1"/>
      </w:numPr>
    </w:pPr>
  </w:style>
  <w:style w:type="paragraph" w:customStyle="1" w:styleId="ListLegal3">
    <w:name w:val="List Legal 3"/>
    <w:basedOn w:val="ListLegal2"/>
    <w:uiPriority w:val="3"/>
    <w:rsid w:val="00FC32B2"/>
    <w:pPr>
      <w:numPr>
        <w:ilvl w:val="2"/>
      </w:numPr>
    </w:pPr>
  </w:style>
  <w:style w:type="paragraph" w:customStyle="1" w:styleId="ListNumbered1">
    <w:name w:val="List Numbered 1"/>
    <w:basedOn w:val="Normal"/>
    <w:uiPriority w:val="3"/>
    <w:qFormat/>
    <w:rsid w:val="00FC32B2"/>
    <w:pPr>
      <w:numPr>
        <w:numId w:val="3"/>
      </w:numPr>
      <w:spacing w:before="80"/>
    </w:pPr>
    <w:rPr>
      <w:lang w:val="x-none"/>
    </w:rPr>
  </w:style>
  <w:style w:type="paragraph" w:customStyle="1" w:styleId="ListNumbered21">
    <w:name w:val="List Numbered 2.1"/>
    <w:basedOn w:val="ListNumbered1"/>
    <w:uiPriority w:val="3"/>
    <w:rsid w:val="00FC32B2"/>
    <w:pPr>
      <w:numPr>
        <w:ilvl w:val="1"/>
      </w:numPr>
    </w:pPr>
  </w:style>
  <w:style w:type="paragraph" w:customStyle="1" w:styleId="ListNumbered311">
    <w:name w:val="List Numbered 3.1.1"/>
    <w:basedOn w:val="ListNumbered21"/>
    <w:uiPriority w:val="3"/>
    <w:rsid w:val="00FC32B2"/>
    <w:pPr>
      <w:numPr>
        <w:ilvl w:val="2"/>
      </w:numPr>
    </w:pPr>
  </w:style>
  <w:style w:type="paragraph" w:customStyle="1" w:styleId="Bullet1">
    <w:name w:val="Bullet 1"/>
    <w:basedOn w:val="Normal"/>
    <w:uiPriority w:val="3"/>
    <w:qFormat/>
    <w:rsid w:val="00CF6CFD"/>
    <w:pPr>
      <w:numPr>
        <w:numId w:val="1"/>
      </w:numPr>
      <w:spacing w:before="80"/>
    </w:pPr>
    <w:rPr>
      <w:lang w:val="x-none"/>
    </w:rPr>
  </w:style>
  <w:style w:type="paragraph" w:customStyle="1" w:styleId="Bullet2">
    <w:name w:val="Bullet 2"/>
    <w:basedOn w:val="Bullet1"/>
    <w:uiPriority w:val="3"/>
    <w:rsid w:val="00CF6CFD"/>
    <w:pPr>
      <w:numPr>
        <w:ilvl w:val="1"/>
      </w:numPr>
    </w:pPr>
  </w:style>
  <w:style w:type="paragraph" w:customStyle="1" w:styleId="Bullet3">
    <w:name w:val="Bullet 3"/>
    <w:basedOn w:val="Bullet2"/>
    <w:uiPriority w:val="3"/>
    <w:rsid w:val="00CF6CFD"/>
    <w:pPr>
      <w:numPr>
        <w:ilvl w:val="2"/>
      </w:numPr>
    </w:pPr>
  </w:style>
  <w:style w:type="paragraph" w:styleId="TOCHeading">
    <w:name w:val="TOC Heading"/>
    <w:basedOn w:val="Heading1"/>
    <w:next w:val="Normal"/>
    <w:uiPriority w:val="39"/>
    <w:qFormat/>
    <w:rsid w:val="00CF6CFD"/>
    <w:pPr>
      <w:spacing w:before="0"/>
    </w:pPr>
  </w:style>
  <w:style w:type="paragraph" w:customStyle="1" w:styleId="Box1Text">
    <w:name w:val="Box 1 Text"/>
    <w:basedOn w:val="Normal"/>
    <w:uiPriority w:val="23"/>
    <w:qFormat/>
    <w:rsid w:val="00CF6CFD"/>
    <w:pPr>
      <w:pBdr>
        <w:top w:val="single" w:sz="4" w:space="14" w:color="4BB3B5" w:themeColor="accent2"/>
        <w:left w:val="single" w:sz="4" w:space="14" w:color="4BB3B5" w:themeColor="accent2"/>
        <w:bottom w:val="single" w:sz="4" w:space="14" w:color="4BB3B5" w:themeColor="accent2"/>
        <w:right w:val="single" w:sz="4" w:space="14" w:color="4BB3B5" w:themeColor="accent2"/>
      </w:pBdr>
      <w:ind w:left="284" w:right="284"/>
    </w:pPr>
    <w:rPr>
      <w:lang w:val="x-none"/>
    </w:rPr>
  </w:style>
  <w:style w:type="paragraph" w:customStyle="1" w:styleId="Box1Heading">
    <w:name w:val="Box 1 Heading"/>
    <w:basedOn w:val="Box1Text"/>
    <w:uiPriority w:val="23"/>
    <w:qFormat/>
    <w:rsid w:val="00CF6CFD"/>
    <w:rPr>
      <w:b/>
      <w:sz w:val="22"/>
      <w:szCs w:val="22"/>
    </w:rPr>
  </w:style>
  <w:style w:type="paragraph" w:customStyle="1" w:styleId="Box1Bullet1">
    <w:name w:val="Box 1 Bullet 1"/>
    <w:basedOn w:val="Box1Text"/>
    <w:uiPriority w:val="24"/>
    <w:qFormat/>
    <w:rsid w:val="00CF6CFD"/>
    <w:pPr>
      <w:spacing w:before="80"/>
    </w:pPr>
  </w:style>
  <w:style w:type="paragraph" w:customStyle="1" w:styleId="Box2Text">
    <w:name w:val="Box 2 Text"/>
    <w:basedOn w:val="Normal"/>
    <w:uiPriority w:val="24"/>
    <w:qFormat/>
    <w:rsid w:val="00CF6CFD"/>
    <w:pPr>
      <w:pBdr>
        <w:top w:val="single" w:sz="4" w:space="14" w:color="F2F6E8" w:themeColor="accent5" w:themeTint="33"/>
        <w:left w:val="single" w:sz="4" w:space="14" w:color="F2F6E8" w:themeColor="accent5" w:themeTint="33"/>
        <w:bottom w:val="single" w:sz="4" w:space="14" w:color="F2F6E8" w:themeColor="accent5" w:themeTint="33"/>
        <w:right w:val="single" w:sz="4" w:space="14" w:color="F2F6E8" w:themeColor="accent5" w:themeTint="33"/>
      </w:pBdr>
      <w:shd w:val="clear" w:color="auto" w:fill="F2F6E8" w:themeFill="accent5" w:themeFillTint="33"/>
      <w:ind w:left="283" w:right="283"/>
    </w:pPr>
    <w:rPr>
      <w:lang w:val="x-none"/>
    </w:rPr>
  </w:style>
  <w:style w:type="paragraph" w:customStyle="1" w:styleId="Box2Heading">
    <w:name w:val="Box 2 Heading"/>
    <w:basedOn w:val="Box2Text"/>
    <w:uiPriority w:val="24"/>
    <w:qFormat/>
    <w:rsid w:val="00541213"/>
    <w:rPr>
      <w:b/>
      <w:sz w:val="22"/>
    </w:rPr>
  </w:style>
  <w:style w:type="paragraph" w:customStyle="1" w:styleId="Box2Bullet1">
    <w:name w:val="Box 2 Bullet 1"/>
    <w:basedOn w:val="Box2Text"/>
    <w:uiPriority w:val="25"/>
    <w:qFormat/>
    <w:rsid w:val="00CF6CFD"/>
    <w:pPr>
      <w:spacing w:before="80"/>
    </w:pPr>
  </w:style>
  <w:style w:type="table" w:customStyle="1" w:styleId="IconBoxTable">
    <w:name w:val="Icon Box Table"/>
    <w:basedOn w:val="TableNormal"/>
    <w:uiPriority w:val="99"/>
    <w:rsid w:val="00D5655E"/>
    <w:pPr>
      <w:spacing w:before="80"/>
    </w:pPr>
    <w:tblPr>
      <w:tblCellMar>
        <w:top w:w="57" w:type="dxa"/>
        <w:left w:w="170" w:type="dxa"/>
        <w:bottom w:w="57" w:type="dxa"/>
        <w:right w:w="170" w:type="dxa"/>
      </w:tblCellMar>
    </w:tblPr>
    <w:tcPr>
      <w:shd w:val="clear" w:color="auto" w:fill="F2F2F2" w:themeFill="background1" w:themeFillShade="F2"/>
    </w:tcPr>
    <w:tblStylePr w:type="firstRow">
      <w:tblPr/>
      <w:trPr>
        <w:tblHeader/>
      </w:trPr>
    </w:tblStylePr>
    <w:tblStylePr w:type="firstCol">
      <w:tblPr>
        <w:tblCellMar>
          <w:top w:w="57" w:type="dxa"/>
          <w:left w:w="170" w:type="dxa"/>
          <w:bottom w:w="57" w:type="dxa"/>
          <w:right w:w="6" w:type="dxa"/>
        </w:tblCellMar>
      </w:tblPr>
      <w:tcPr>
        <w:tcMar>
          <w:top w:w="0" w:type="nil"/>
          <w:left w:w="170" w:type="dxa"/>
          <w:bottom w:w="0" w:type="nil"/>
          <w:right w:w="6" w:type="dxa"/>
        </w:tcMar>
      </w:tcPr>
    </w:tblStylePr>
  </w:style>
  <w:style w:type="numbering" w:customStyle="1" w:styleId="Bullets">
    <w:name w:val="Bullets"/>
    <w:uiPriority w:val="99"/>
    <w:rsid w:val="009B00F2"/>
    <w:pPr>
      <w:numPr>
        <w:numId w:val="1"/>
      </w:numPr>
    </w:pPr>
  </w:style>
  <w:style w:type="numbering" w:customStyle="1" w:styleId="ListLegal">
    <w:name w:val="List Legal"/>
    <w:uiPriority w:val="99"/>
    <w:rsid w:val="00477E77"/>
    <w:pPr>
      <w:numPr>
        <w:numId w:val="2"/>
      </w:numPr>
    </w:pPr>
  </w:style>
  <w:style w:type="numbering" w:customStyle="1" w:styleId="ListNumbered">
    <w:name w:val="List Numbered"/>
    <w:uiPriority w:val="99"/>
    <w:rsid w:val="00477E77"/>
    <w:pPr>
      <w:numPr>
        <w:numId w:val="3"/>
      </w:numPr>
    </w:pPr>
  </w:style>
  <w:style w:type="paragraph" w:customStyle="1" w:styleId="Heading1Numbered">
    <w:name w:val="Heading 1 Numbered"/>
    <w:basedOn w:val="Heading1"/>
    <w:uiPriority w:val="10"/>
    <w:rsid w:val="003F775D"/>
    <w:pPr>
      <w:numPr>
        <w:numId w:val="5"/>
      </w:numPr>
    </w:pPr>
  </w:style>
  <w:style w:type="paragraph" w:customStyle="1" w:styleId="Heading2Numbered">
    <w:name w:val="Heading 2 Numbered"/>
    <w:basedOn w:val="Heading2"/>
    <w:uiPriority w:val="10"/>
    <w:rsid w:val="003F775D"/>
    <w:pPr>
      <w:numPr>
        <w:ilvl w:val="1"/>
        <w:numId w:val="5"/>
      </w:numPr>
    </w:pPr>
  </w:style>
  <w:style w:type="paragraph" w:customStyle="1" w:styleId="Heading3Numbered">
    <w:name w:val="Heading 3 Numbered"/>
    <w:basedOn w:val="Heading3"/>
    <w:uiPriority w:val="10"/>
    <w:rsid w:val="003F775D"/>
    <w:pPr>
      <w:numPr>
        <w:ilvl w:val="2"/>
        <w:numId w:val="5"/>
      </w:numPr>
    </w:pPr>
  </w:style>
  <w:style w:type="paragraph" w:customStyle="1" w:styleId="Heading4Numbered">
    <w:name w:val="Heading 4 Numbered"/>
    <w:basedOn w:val="Heading4"/>
    <w:uiPriority w:val="10"/>
    <w:rsid w:val="003F775D"/>
    <w:pPr>
      <w:numPr>
        <w:ilvl w:val="3"/>
        <w:numId w:val="5"/>
      </w:numPr>
    </w:pPr>
  </w:style>
  <w:style w:type="paragraph" w:customStyle="1" w:styleId="Heading5Numbered">
    <w:name w:val="Heading 5 Numbered"/>
    <w:basedOn w:val="Heading5"/>
    <w:uiPriority w:val="10"/>
    <w:rsid w:val="003F775D"/>
    <w:pPr>
      <w:numPr>
        <w:ilvl w:val="4"/>
        <w:numId w:val="5"/>
      </w:numPr>
    </w:pPr>
  </w:style>
  <w:style w:type="numbering" w:customStyle="1" w:styleId="NumberedHeadings">
    <w:name w:val="Numbered Headings"/>
    <w:uiPriority w:val="99"/>
    <w:rsid w:val="003F775D"/>
    <w:pPr>
      <w:numPr>
        <w:numId w:val="4"/>
      </w:numPr>
    </w:pPr>
  </w:style>
  <w:style w:type="paragraph" w:customStyle="1" w:styleId="AppendixHeading1">
    <w:name w:val="Appendix Heading 1"/>
    <w:basedOn w:val="Heading1"/>
    <w:uiPriority w:val="11"/>
    <w:qFormat/>
    <w:rsid w:val="0001430B"/>
    <w:pPr>
      <w:numPr>
        <w:numId w:val="7"/>
      </w:numPr>
    </w:pPr>
  </w:style>
  <w:style w:type="paragraph" w:customStyle="1" w:styleId="AppendixHeading2">
    <w:name w:val="Appendix Heading 2"/>
    <w:basedOn w:val="Heading2"/>
    <w:uiPriority w:val="11"/>
    <w:rsid w:val="0001430B"/>
    <w:pPr>
      <w:numPr>
        <w:ilvl w:val="1"/>
        <w:numId w:val="7"/>
      </w:numPr>
    </w:pPr>
  </w:style>
  <w:style w:type="paragraph" w:customStyle="1" w:styleId="AttachmentHeading1">
    <w:name w:val="Attachment Heading 1"/>
    <w:basedOn w:val="Heading1"/>
    <w:uiPriority w:val="11"/>
    <w:qFormat/>
    <w:rsid w:val="0001430B"/>
    <w:pPr>
      <w:numPr>
        <w:numId w:val="8"/>
      </w:numPr>
    </w:pPr>
  </w:style>
  <w:style w:type="paragraph" w:customStyle="1" w:styleId="AttachmentHeading2">
    <w:name w:val="Attachment Heading 2"/>
    <w:basedOn w:val="Heading2"/>
    <w:uiPriority w:val="11"/>
    <w:rsid w:val="0001430B"/>
    <w:pPr>
      <w:numPr>
        <w:ilvl w:val="1"/>
        <w:numId w:val="8"/>
      </w:numPr>
    </w:pPr>
  </w:style>
  <w:style w:type="numbering" w:customStyle="1" w:styleId="AppendixNumbers">
    <w:name w:val="Appendix Numbers"/>
    <w:uiPriority w:val="99"/>
    <w:rsid w:val="0001430B"/>
    <w:pPr>
      <w:numPr>
        <w:numId w:val="6"/>
      </w:numPr>
    </w:pPr>
  </w:style>
  <w:style w:type="numbering" w:customStyle="1" w:styleId="AttachmentNumbers">
    <w:name w:val="Attachment Numbers"/>
    <w:uiPriority w:val="99"/>
    <w:rsid w:val="0001430B"/>
    <w:pPr>
      <w:numPr>
        <w:numId w:val="8"/>
      </w:numPr>
    </w:pPr>
  </w:style>
  <w:style w:type="paragraph" w:styleId="Quote">
    <w:name w:val="Quote"/>
    <w:basedOn w:val="Normal"/>
    <w:next w:val="Normal"/>
    <w:link w:val="QuoteChar"/>
    <w:uiPriority w:val="29"/>
    <w:qFormat/>
    <w:rsid w:val="00E04908"/>
    <w:pPr>
      <w:pBdr>
        <w:left w:val="single" w:sz="48" w:space="22" w:color="4BB3B5" w:themeColor="accent2"/>
      </w:pBdr>
      <w:spacing w:after="160"/>
      <w:ind w:left="567" w:right="567"/>
    </w:pPr>
    <w:rPr>
      <w:b/>
      <w:iCs/>
      <w:color w:val="404040" w:themeColor="text1" w:themeTint="BF"/>
    </w:rPr>
  </w:style>
  <w:style w:type="character" w:customStyle="1" w:styleId="QuoteChar">
    <w:name w:val="Quote Char"/>
    <w:basedOn w:val="DefaultParagraphFont"/>
    <w:link w:val="Quote"/>
    <w:uiPriority w:val="29"/>
    <w:rsid w:val="00E04908"/>
    <w:rPr>
      <w:b/>
      <w:iCs/>
      <w:color w:val="404040" w:themeColor="text1" w:themeTint="BF"/>
      <w:kern w:val="12"/>
    </w:rPr>
  </w:style>
  <w:style w:type="paragraph" w:styleId="TOC1">
    <w:name w:val="toc 1"/>
    <w:basedOn w:val="Normal"/>
    <w:next w:val="Normal"/>
    <w:autoRedefine/>
    <w:uiPriority w:val="39"/>
    <w:qFormat/>
    <w:rsid w:val="00291050"/>
    <w:pPr>
      <w:keepLines/>
      <w:tabs>
        <w:tab w:val="right" w:pos="9854"/>
      </w:tabs>
      <w:ind w:left="567" w:hanging="567"/>
    </w:pPr>
    <w:rPr>
      <w:b/>
      <w:sz w:val="24"/>
      <w:u w:val="single" w:color="4BB3B5" w:themeColor="accent2"/>
    </w:rPr>
  </w:style>
  <w:style w:type="paragraph" w:styleId="TOC2">
    <w:name w:val="toc 2"/>
    <w:basedOn w:val="Normal"/>
    <w:next w:val="Normal"/>
    <w:autoRedefine/>
    <w:uiPriority w:val="39"/>
    <w:qFormat/>
    <w:rsid w:val="00A95970"/>
    <w:pPr>
      <w:keepLines/>
      <w:spacing w:before="80"/>
      <w:ind w:left="567" w:hanging="567"/>
    </w:pPr>
  </w:style>
  <w:style w:type="paragraph" w:styleId="TOC3">
    <w:name w:val="toc 3"/>
    <w:basedOn w:val="Normal"/>
    <w:next w:val="Normal"/>
    <w:autoRedefine/>
    <w:uiPriority w:val="39"/>
    <w:qFormat/>
    <w:rsid w:val="00DE4362"/>
    <w:pPr>
      <w:spacing w:before="80"/>
      <w:ind w:left="1134" w:hanging="567"/>
    </w:pPr>
  </w:style>
  <w:style w:type="paragraph" w:styleId="TableofFigures">
    <w:name w:val="table of figures"/>
    <w:basedOn w:val="Normal"/>
    <w:next w:val="Normal"/>
    <w:uiPriority w:val="99"/>
    <w:unhideWhenUsed/>
    <w:rsid w:val="006E1ECA"/>
    <w:pPr>
      <w:spacing w:before="80"/>
    </w:pPr>
  </w:style>
  <w:style w:type="paragraph" w:customStyle="1" w:styleId="AreaHeading">
    <w:name w:val="Area Heading"/>
    <w:basedOn w:val="Normal"/>
    <w:qFormat/>
    <w:rsid w:val="003261CF"/>
    <w:pPr>
      <w:spacing w:before="0"/>
      <w:ind w:left="-1020" w:firstLine="1020"/>
    </w:pPr>
    <w:rPr>
      <w:rFonts w:cs="Times New Roman (Body CS)"/>
      <w:caps/>
      <w:color w:val="6D7989" w:themeColor="accent4" w:themeShade="BF"/>
      <w:sz w:val="21"/>
    </w:rPr>
  </w:style>
  <w:style w:type="character" w:styleId="FollowedHyperlink">
    <w:name w:val="FollowedHyperlink"/>
    <w:basedOn w:val="DefaultParagraphFont"/>
    <w:uiPriority w:val="99"/>
    <w:semiHidden/>
    <w:unhideWhenUsed/>
    <w:rsid w:val="001F3B10"/>
    <w:rPr>
      <w:color w:val="0046FF" w:themeColor="followedHyperlink"/>
      <w:u w:val="single"/>
    </w:rPr>
  </w:style>
  <w:style w:type="paragraph" w:customStyle="1" w:styleId="references">
    <w:name w:val="references"/>
    <w:basedOn w:val="Normal"/>
    <w:link w:val="referencesChar"/>
    <w:qFormat/>
    <w:rsid w:val="002F4B37"/>
    <w:pPr>
      <w:tabs>
        <w:tab w:val="left" w:pos="720"/>
        <w:tab w:val="left" w:pos="851"/>
      </w:tabs>
      <w:suppressAutoHyphens w:val="0"/>
      <w:spacing w:before="240" w:after="240" w:line="264" w:lineRule="auto"/>
      <w:ind w:left="720" w:hanging="720"/>
    </w:pPr>
    <w:rPr>
      <w:rFonts w:ascii="Times New Roman" w:eastAsia="Calibri" w:hAnsi="Times New Roman" w:cs="Times New Roman"/>
      <w:color w:val="auto"/>
      <w:kern w:val="0"/>
      <w:sz w:val="24"/>
      <w:szCs w:val="22"/>
    </w:rPr>
  </w:style>
  <w:style w:type="character" w:customStyle="1" w:styleId="referencesChar">
    <w:name w:val="references Char"/>
    <w:basedOn w:val="DefaultParagraphFont"/>
    <w:link w:val="references"/>
    <w:rsid w:val="002F4B37"/>
    <w:rPr>
      <w:rFonts w:ascii="Times New Roman" w:eastAsia="Calibri" w:hAnsi="Times New Roman" w:cs="Times New Roman"/>
      <w:color w:val="auto"/>
      <w:sz w:val="24"/>
      <w:szCs w:val="22"/>
    </w:rPr>
  </w:style>
  <w:style w:type="paragraph" w:customStyle="1" w:styleId="Glossarylist">
    <w:name w:val="Glossary list"/>
    <w:qFormat/>
    <w:rsid w:val="00FD318B"/>
    <w:pPr>
      <w:tabs>
        <w:tab w:val="left" w:pos="3119"/>
      </w:tabs>
      <w:spacing w:before="0" w:after="0" w:line="300" w:lineRule="auto"/>
      <w:ind w:left="3119" w:hanging="3119"/>
    </w:pPr>
    <w:rPr>
      <w:rFonts w:ascii="Times New Roman" w:eastAsia="Calibri" w:hAnsi="Times New Roman" w:cs="Times New Roman"/>
      <w:color w:val="auto"/>
      <w:sz w:val="22"/>
      <w:szCs w:val="22"/>
    </w:rPr>
  </w:style>
  <w:style w:type="paragraph" w:customStyle="1" w:styleId="Table1">
    <w:name w:val="Table 1"/>
    <w:basedOn w:val="Normal"/>
    <w:next w:val="Normal"/>
    <w:link w:val="Table1Char"/>
    <w:qFormat/>
    <w:rsid w:val="00D509A5"/>
    <w:pPr>
      <w:tabs>
        <w:tab w:val="left" w:pos="720"/>
        <w:tab w:val="left" w:pos="851"/>
      </w:tabs>
      <w:suppressAutoHyphens w:val="0"/>
      <w:spacing w:before="30" w:after="30"/>
    </w:pPr>
    <w:rPr>
      <w:rFonts w:ascii="Times New Roman" w:eastAsia="Calibri" w:hAnsi="Times New Roman" w:cs="Times New Roman"/>
      <w:color w:val="auto"/>
      <w:kern w:val="0"/>
      <w:sz w:val="24"/>
      <w:szCs w:val="22"/>
    </w:rPr>
  </w:style>
  <w:style w:type="character" w:customStyle="1" w:styleId="Table1Char">
    <w:name w:val="Table 1 Char"/>
    <w:basedOn w:val="DefaultParagraphFont"/>
    <w:link w:val="Table1"/>
    <w:rsid w:val="00D509A5"/>
    <w:rPr>
      <w:rFonts w:ascii="Times New Roman" w:eastAsia="Calibri" w:hAnsi="Times New Roman" w:cs="Times New Roman"/>
      <w:color w:val="auto"/>
      <w:sz w:val="24"/>
      <w:szCs w:val="22"/>
    </w:rPr>
  </w:style>
  <w:style w:type="paragraph" w:styleId="ListParagraph">
    <w:name w:val="List Paragraph"/>
    <w:basedOn w:val="Normal"/>
    <w:link w:val="ListParagraphChar"/>
    <w:uiPriority w:val="34"/>
    <w:qFormat/>
    <w:rsid w:val="00E90F37"/>
    <w:pPr>
      <w:autoSpaceDE w:val="0"/>
      <w:autoSpaceDN w:val="0"/>
      <w:adjustRightInd w:val="0"/>
      <w:spacing w:before="0" w:after="113" w:line="280" w:lineRule="atLeast"/>
      <w:ind w:left="720"/>
      <w:contextualSpacing/>
      <w:textAlignment w:val="center"/>
    </w:pPr>
    <w:rPr>
      <w:rFonts w:ascii="Arial" w:hAnsi="Arial" w:cs="FranklinGothic-Book"/>
      <w:color w:val="000000"/>
      <w:kern w:val="0"/>
      <w:sz w:val="22"/>
      <w:szCs w:val="22"/>
    </w:rPr>
  </w:style>
  <w:style w:type="character" w:customStyle="1" w:styleId="ListParagraphChar">
    <w:name w:val="List Paragraph Char"/>
    <w:link w:val="ListParagraph"/>
    <w:uiPriority w:val="34"/>
    <w:rsid w:val="00E90F37"/>
    <w:rPr>
      <w:rFonts w:ascii="Arial" w:hAnsi="Arial" w:cs="FranklinGothic-Book"/>
      <w:color w:val="000000"/>
      <w:sz w:val="22"/>
      <w:szCs w:val="22"/>
    </w:rPr>
  </w:style>
  <w:style w:type="character" w:styleId="CommentReference">
    <w:name w:val="annotation reference"/>
    <w:basedOn w:val="DefaultParagraphFont"/>
    <w:uiPriority w:val="99"/>
    <w:semiHidden/>
    <w:unhideWhenUsed/>
    <w:rsid w:val="008130B1"/>
    <w:rPr>
      <w:sz w:val="16"/>
      <w:szCs w:val="16"/>
    </w:rPr>
  </w:style>
  <w:style w:type="paragraph" w:styleId="CommentText">
    <w:name w:val="annotation text"/>
    <w:basedOn w:val="Normal"/>
    <w:link w:val="CommentTextChar"/>
    <w:uiPriority w:val="99"/>
    <w:unhideWhenUsed/>
    <w:rsid w:val="008130B1"/>
  </w:style>
  <w:style w:type="character" w:customStyle="1" w:styleId="CommentTextChar">
    <w:name w:val="Comment Text Char"/>
    <w:basedOn w:val="DefaultParagraphFont"/>
    <w:link w:val="CommentText"/>
    <w:uiPriority w:val="99"/>
    <w:rsid w:val="008130B1"/>
    <w:rPr>
      <w:kern w:val="12"/>
    </w:rPr>
  </w:style>
  <w:style w:type="paragraph" w:styleId="CommentSubject">
    <w:name w:val="annotation subject"/>
    <w:basedOn w:val="CommentText"/>
    <w:next w:val="CommentText"/>
    <w:link w:val="CommentSubjectChar"/>
    <w:uiPriority w:val="99"/>
    <w:semiHidden/>
    <w:unhideWhenUsed/>
    <w:rsid w:val="008130B1"/>
    <w:rPr>
      <w:b/>
      <w:bCs/>
    </w:rPr>
  </w:style>
  <w:style w:type="character" w:customStyle="1" w:styleId="CommentSubjectChar">
    <w:name w:val="Comment Subject Char"/>
    <w:basedOn w:val="CommentTextChar"/>
    <w:link w:val="CommentSubject"/>
    <w:uiPriority w:val="99"/>
    <w:semiHidden/>
    <w:rsid w:val="008130B1"/>
    <w:rPr>
      <w:b/>
      <w:bCs/>
      <w:kern w:val="12"/>
    </w:rPr>
  </w:style>
  <w:style w:type="paragraph" w:styleId="BalloonText">
    <w:name w:val="Balloon Text"/>
    <w:basedOn w:val="Normal"/>
    <w:link w:val="BalloonTextChar"/>
    <w:uiPriority w:val="99"/>
    <w:semiHidden/>
    <w:unhideWhenUsed/>
    <w:rsid w:val="008130B1"/>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30B1"/>
    <w:rPr>
      <w:rFonts w:ascii="Segoe UI" w:hAnsi="Segoe UI" w:cs="Segoe UI"/>
      <w:kern w:val="12"/>
      <w:sz w:val="18"/>
      <w:szCs w:val="18"/>
    </w:rPr>
  </w:style>
  <w:style w:type="paragraph" w:customStyle="1" w:styleId="MainHeadding">
    <w:name w:val="Main Headding"/>
    <w:basedOn w:val="Normal"/>
    <w:next w:val="Normal"/>
    <w:rsid w:val="00A57C96"/>
    <w:pPr>
      <w:numPr>
        <w:numId w:val="26"/>
      </w:numPr>
      <w:suppressAutoHyphens w:val="0"/>
      <w:spacing w:before="240" w:after="120"/>
      <w:outlineLvl w:val="0"/>
    </w:pPr>
    <w:rPr>
      <w:rFonts w:ascii="Times New Roman" w:eastAsia="Times New Roman" w:hAnsi="Times New Roman" w:cs="Times New Roman"/>
      <w:b/>
      <w:caps/>
      <w:color w:val="auto"/>
      <w:kern w:val="0"/>
      <w:sz w:val="24"/>
      <w:szCs w:val="24"/>
      <w:lang w:eastAsia="en-AU"/>
    </w:rPr>
  </w:style>
  <w:style w:type="paragraph" w:customStyle="1" w:styleId="Subsection">
    <w:name w:val="Sub section"/>
    <w:basedOn w:val="Normal"/>
    <w:next w:val="Normal"/>
    <w:rsid w:val="00A57C96"/>
    <w:pPr>
      <w:numPr>
        <w:ilvl w:val="1"/>
        <w:numId w:val="26"/>
      </w:numPr>
      <w:suppressAutoHyphens w:val="0"/>
      <w:spacing w:before="120" w:after="120"/>
      <w:outlineLvl w:val="1"/>
    </w:pPr>
    <w:rPr>
      <w:rFonts w:ascii="Times New Roman" w:eastAsia="Times New Roman" w:hAnsi="Times New Roman" w:cs="Times New Roman"/>
      <w:color w:val="auto"/>
      <w:kern w:val="0"/>
      <w:sz w:val="24"/>
      <w:szCs w:val="24"/>
      <w:lang w:eastAsia="en-AU"/>
    </w:rPr>
  </w:style>
  <w:style w:type="paragraph" w:customStyle="1" w:styleId="Subsubsection">
    <w:name w:val="Subsub section"/>
    <w:basedOn w:val="Normal"/>
    <w:next w:val="Normal"/>
    <w:rsid w:val="00A57C96"/>
    <w:pPr>
      <w:numPr>
        <w:ilvl w:val="2"/>
        <w:numId w:val="26"/>
      </w:numPr>
      <w:suppressAutoHyphens w:val="0"/>
      <w:spacing w:before="120" w:after="120"/>
    </w:pPr>
    <w:rPr>
      <w:rFonts w:ascii="Times New Roman" w:eastAsia="Times New Roman" w:hAnsi="Times New Roman" w:cs="Times New Roman"/>
      <w:color w:val="auto"/>
      <w:kern w:val="0"/>
      <w:sz w:val="24"/>
      <w:szCs w:val="24"/>
      <w:lang w:eastAsia="en-AU"/>
    </w:rPr>
  </w:style>
  <w:style w:type="paragraph" w:customStyle="1" w:styleId="Subsubsubsection">
    <w:name w:val="Subsubsub section"/>
    <w:basedOn w:val="Normal"/>
    <w:next w:val="Normal"/>
    <w:rsid w:val="00A57C96"/>
    <w:pPr>
      <w:numPr>
        <w:ilvl w:val="3"/>
        <w:numId w:val="26"/>
      </w:numPr>
      <w:suppressAutoHyphens w:val="0"/>
      <w:spacing w:before="120" w:after="120"/>
    </w:pPr>
    <w:rPr>
      <w:rFonts w:ascii="Times New Roman" w:eastAsia="Times New Roman" w:hAnsi="Times New Roman" w:cs="Times New Roman"/>
      <w:color w:val="auto"/>
      <w:kern w:val="0"/>
      <w:sz w:val="24"/>
      <w:szCs w:val="24"/>
      <w:lang w:eastAsia="en-AU"/>
    </w:rPr>
  </w:style>
  <w:style w:type="paragraph" w:customStyle="1" w:styleId="Heading71">
    <w:name w:val="Heading 71"/>
    <w:basedOn w:val="Heading1"/>
    <w:next w:val="Normal"/>
    <w:uiPriority w:val="9"/>
    <w:unhideWhenUsed/>
    <w:rsid w:val="00620770"/>
    <w:pPr>
      <w:numPr>
        <w:numId w:val="30"/>
      </w:numPr>
      <w:tabs>
        <w:tab w:val="num" w:pos="643"/>
        <w:tab w:val="left" w:pos="720"/>
        <w:tab w:val="left" w:pos="851"/>
      </w:tabs>
      <w:suppressAutoHyphens w:val="0"/>
      <w:spacing w:before="240" w:after="240"/>
      <w:ind w:left="643" w:hanging="360"/>
      <w:contextualSpacing w:val="0"/>
      <w:outlineLvl w:val="6"/>
    </w:pPr>
    <w:rPr>
      <w:rFonts w:eastAsia="Times New Roman" w:cs="Times New Roman"/>
      <w:b/>
      <w:bCs/>
      <w:caps/>
      <w:color w:val="auto"/>
      <w:kern w:val="0"/>
      <w:sz w:val="24"/>
      <w:szCs w:val="28"/>
    </w:rPr>
  </w:style>
  <w:style w:type="character" w:customStyle="1" w:styleId="Heading8Char">
    <w:name w:val="Heading 8 Char"/>
    <w:basedOn w:val="DefaultParagraphFont"/>
    <w:link w:val="Heading8"/>
    <w:uiPriority w:val="9"/>
    <w:rsid w:val="00620770"/>
    <w:rPr>
      <w:rFonts w:ascii="Cambria" w:eastAsia="Times New Roman" w:hAnsi="Cambria" w:cs="Times New Roman"/>
      <w:color w:val="404040"/>
    </w:rPr>
  </w:style>
  <w:style w:type="character" w:customStyle="1" w:styleId="Heading9Char">
    <w:name w:val="Heading 9 Char"/>
    <w:basedOn w:val="DefaultParagraphFont"/>
    <w:link w:val="Heading9"/>
    <w:uiPriority w:val="9"/>
    <w:rsid w:val="00620770"/>
    <w:rPr>
      <w:rFonts w:ascii="Cambria" w:eastAsia="Times New Roman" w:hAnsi="Cambria" w:cs="Times New Roman"/>
      <w:i/>
      <w:iCs/>
      <w:color w:val="404040"/>
    </w:rPr>
  </w:style>
  <w:style w:type="numbering" w:customStyle="1" w:styleId="NoList1">
    <w:name w:val="No List1"/>
    <w:next w:val="NoList"/>
    <w:uiPriority w:val="99"/>
    <w:semiHidden/>
    <w:unhideWhenUsed/>
    <w:rsid w:val="00620770"/>
  </w:style>
  <w:style w:type="character" w:customStyle="1" w:styleId="Heading7Char">
    <w:name w:val="Heading 7 Char"/>
    <w:basedOn w:val="DefaultParagraphFont"/>
    <w:link w:val="Heading7"/>
    <w:uiPriority w:val="9"/>
    <w:rsid w:val="00620770"/>
    <w:rPr>
      <w:rFonts w:ascii="Cambria" w:eastAsia="Times New Roman" w:hAnsi="Cambria" w:cs="Times New Roman"/>
      <w:b/>
      <w:bCs/>
      <w:caps/>
      <w:sz w:val="24"/>
      <w:szCs w:val="28"/>
    </w:rPr>
  </w:style>
  <w:style w:type="paragraph" w:customStyle="1" w:styleId="SubTitle1">
    <w:name w:val="SubTitle1"/>
    <w:basedOn w:val="Normal"/>
    <w:next w:val="Normal"/>
    <w:uiPriority w:val="99"/>
    <w:qFormat/>
    <w:rsid w:val="00620770"/>
    <w:pPr>
      <w:tabs>
        <w:tab w:val="left" w:pos="720"/>
        <w:tab w:val="left" w:pos="851"/>
      </w:tabs>
      <w:suppressAutoHyphens w:val="0"/>
      <w:spacing w:before="240" w:after="240" w:line="264" w:lineRule="auto"/>
      <w:jc w:val="center"/>
    </w:pPr>
    <w:rPr>
      <w:rFonts w:ascii="Cambria" w:eastAsia="Calibri" w:hAnsi="Cambria" w:cs="Times New Roman"/>
      <w:color w:val="auto"/>
      <w:kern w:val="0"/>
      <w:sz w:val="28"/>
      <w:szCs w:val="22"/>
    </w:rPr>
  </w:style>
  <w:style w:type="paragraph" w:customStyle="1" w:styleId="headertabs">
    <w:name w:val="header_tabs"/>
    <w:basedOn w:val="Header"/>
    <w:link w:val="headertabsChar"/>
    <w:rsid w:val="00620770"/>
    <w:pPr>
      <w:tabs>
        <w:tab w:val="clear" w:pos="4513"/>
        <w:tab w:val="clear" w:pos="9026"/>
        <w:tab w:val="left" w:pos="720"/>
        <w:tab w:val="left" w:leader="hyphen" w:pos="9027"/>
      </w:tabs>
      <w:suppressAutoHyphens w:val="0"/>
      <w:spacing w:after="240"/>
      <w:jc w:val="left"/>
    </w:pPr>
    <w:rPr>
      <w:rFonts w:ascii="Times New Roman" w:eastAsia="Calibri" w:hAnsi="Times New Roman" w:cs="Times New Roman"/>
      <w:color w:val="auto"/>
      <w:kern w:val="0"/>
      <w:sz w:val="20"/>
      <w:szCs w:val="22"/>
    </w:rPr>
  </w:style>
  <w:style w:type="character" w:customStyle="1" w:styleId="headertabsChar">
    <w:name w:val="header_tabs Char"/>
    <w:link w:val="headertabs"/>
    <w:rsid w:val="00620770"/>
    <w:rPr>
      <w:rFonts w:ascii="Times New Roman" w:eastAsia="Calibri" w:hAnsi="Times New Roman" w:cs="Times New Roman"/>
      <w:color w:val="auto"/>
      <w:szCs w:val="22"/>
    </w:rPr>
  </w:style>
  <w:style w:type="paragraph" w:customStyle="1" w:styleId="boldcentred">
    <w:name w:val="bold&amp;centred"/>
    <w:basedOn w:val="Normal"/>
    <w:next w:val="Normal"/>
    <w:link w:val="boldcentredChar"/>
    <w:qFormat/>
    <w:rsid w:val="00620770"/>
    <w:pPr>
      <w:tabs>
        <w:tab w:val="left" w:pos="720"/>
        <w:tab w:val="left" w:pos="851"/>
      </w:tabs>
      <w:suppressAutoHyphens w:val="0"/>
      <w:spacing w:before="240" w:after="240" w:line="264" w:lineRule="auto"/>
      <w:jc w:val="center"/>
    </w:pPr>
    <w:rPr>
      <w:rFonts w:ascii="Times New Roman" w:eastAsia="Calibri" w:hAnsi="Times New Roman" w:cs="Times New Roman"/>
      <w:b/>
      <w:color w:val="auto"/>
      <w:kern w:val="0"/>
      <w:sz w:val="24"/>
      <w:szCs w:val="22"/>
    </w:rPr>
  </w:style>
  <w:style w:type="character" w:customStyle="1" w:styleId="boldcentredChar">
    <w:name w:val="bold&amp;centred Char"/>
    <w:link w:val="boldcentred"/>
    <w:rsid w:val="00620770"/>
    <w:rPr>
      <w:rFonts w:ascii="Times New Roman" w:eastAsia="Calibri" w:hAnsi="Times New Roman" w:cs="Times New Roman"/>
      <w:b/>
      <w:color w:val="auto"/>
      <w:sz w:val="24"/>
      <w:szCs w:val="22"/>
    </w:rPr>
  </w:style>
  <w:style w:type="table" w:customStyle="1" w:styleId="TableGrid1">
    <w:name w:val="Table Grid1"/>
    <w:basedOn w:val="TableNormal"/>
    <w:next w:val="TableGrid"/>
    <w:uiPriority w:val="59"/>
    <w:rsid w:val="00620770"/>
    <w:pPr>
      <w:spacing w:before="0" w:after="0"/>
    </w:pPr>
    <w:rPr>
      <w:rFonts w:ascii="Times New Roman" w:eastAsia="Calibri" w:hAnsi="Times New Roman" w:cs="Times New Roman"/>
      <w:color w:val="auto"/>
      <w:lang w:eastAsia="en-A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rdpheadings">
    <w:name w:val="rdp_headings"/>
    <w:basedOn w:val="Normal"/>
    <w:link w:val="rdpheadingsChar"/>
    <w:qFormat/>
    <w:rsid w:val="00620770"/>
    <w:pPr>
      <w:tabs>
        <w:tab w:val="left" w:pos="720"/>
        <w:tab w:val="left" w:pos="851"/>
      </w:tabs>
      <w:suppressAutoHyphens w:val="0"/>
      <w:spacing w:before="60" w:after="0"/>
    </w:pPr>
    <w:rPr>
      <w:rFonts w:ascii="Times New Roman" w:eastAsia="Calibri" w:hAnsi="Times New Roman" w:cs="Times New Roman"/>
      <w:color w:val="auto"/>
      <w:kern w:val="0"/>
      <w:sz w:val="18"/>
      <w:szCs w:val="22"/>
    </w:rPr>
  </w:style>
  <w:style w:type="character" w:customStyle="1" w:styleId="rdpheadingsChar">
    <w:name w:val="rdp_headings Char"/>
    <w:link w:val="rdpheadings"/>
    <w:rsid w:val="00620770"/>
    <w:rPr>
      <w:rFonts w:ascii="Times New Roman" w:eastAsia="Calibri" w:hAnsi="Times New Roman" w:cs="Times New Roman"/>
      <w:color w:val="auto"/>
      <w:sz w:val="18"/>
      <w:szCs w:val="22"/>
    </w:rPr>
  </w:style>
  <w:style w:type="paragraph" w:customStyle="1" w:styleId="rdpcontent">
    <w:name w:val="rdp_content"/>
    <w:basedOn w:val="Normal"/>
    <w:next w:val="Normal"/>
    <w:link w:val="rdpcontentChar"/>
    <w:qFormat/>
    <w:rsid w:val="00620770"/>
    <w:pPr>
      <w:tabs>
        <w:tab w:val="left" w:pos="720"/>
        <w:tab w:val="left" w:pos="851"/>
      </w:tabs>
      <w:suppressAutoHyphens w:val="0"/>
      <w:spacing w:before="240" w:after="120"/>
    </w:pPr>
    <w:rPr>
      <w:rFonts w:ascii="Times New Roman" w:eastAsia="Calibri" w:hAnsi="Times New Roman" w:cs="Times New Roman"/>
      <w:color w:val="auto"/>
      <w:kern w:val="0"/>
      <w:sz w:val="24"/>
      <w:szCs w:val="22"/>
    </w:rPr>
  </w:style>
  <w:style w:type="character" w:customStyle="1" w:styleId="rdpcontentChar">
    <w:name w:val="rdp_content Char"/>
    <w:basedOn w:val="DefaultParagraphFont"/>
    <w:link w:val="rdpcontent"/>
    <w:rsid w:val="00620770"/>
    <w:rPr>
      <w:rFonts w:ascii="Times New Roman" w:eastAsia="Calibri" w:hAnsi="Times New Roman" w:cs="Times New Roman"/>
      <w:color w:val="auto"/>
      <w:sz w:val="24"/>
      <w:szCs w:val="22"/>
    </w:rPr>
  </w:style>
  <w:style w:type="character" w:styleId="Strong">
    <w:name w:val="Strong"/>
    <w:uiPriority w:val="22"/>
    <w:qFormat/>
    <w:rsid w:val="00620770"/>
    <w:rPr>
      <w:b/>
      <w:bCs/>
    </w:rPr>
  </w:style>
  <w:style w:type="paragraph" w:customStyle="1" w:styleId="HeadingContents">
    <w:name w:val="Heading_Contents"/>
    <w:basedOn w:val="Normal"/>
    <w:link w:val="HeadingContentsChar"/>
    <w:qFormat/>
    <w:rsid w:val="00620770"/>
    <w:pPr>
      <w:tabs>
        <w:tab w:val="left" w:pos="720"/>
        <w:tab w:val="left" w:pos="851"/>
      </w:tabs>
      <w:suppressAutoHyphens w:val="0"/>
      <w:spacing w:before="120" w:after="280"/>
      <w:jc w:val="center"/>
    </w:pPr>
    <w:rPr>
      <w:rFonts w:ascii="Cambria" w:eastAsia="Calibri" w:hAnsi="Cambria" w:cs="Times New Roman"/>
      <w:b/>
      <w:color w:val="auto"/>
      <w:kern w:val="0"/>
      <w:sz w:val="24"/>
      <w:szCs w:val="22"/>
    </w:rPr>
  </w:style>
  <w:style w:type="character" w:customStyle="1" w:styleId="HeadingContentsChar">
    <w:name w:val="Heading_Contents Char"/>
    <w:link w:val="HeadingContents"/>
    <w:rsid w:val="00620770"/>
    <w:rPr>
      <w:rFonts w:ascii="Cambria" w:eastAsia="Calibri" w:hAnsi="Cambria" w:cs="Times New Roman"/>
      <w:b/>
      <w:color w:val="auto"/>
      <w:sz w:val="24"/>
      <w:szCs w:val="22"/>
    </w:rPr>
  </w:style>
  <w:style w:type="paragraph" w:customStyle="1" w:styleId="Tableheading1">
    <w:name w:val="Table heading 1"/>
    <w:basedOn w:val="Normal"/>
    <w:next w:val="Normal"/>
    <w:link w:val="Tableheading1Char"/>
    <w:qFormat/>
    <w:rsid w:val="00620770"/>
    <w:pPr>
      <w:tabs>
        <w:tab w:val="left" w:pos="720"/>
        <w:tab w:val="left" w:pos="851"/>
      </w:tabs>
      <w:suppressAutoHyphens w:val="0"/>
      <w:spacing w:before="30" w:after="30"/>
      <w:jc w:val="center"/>
    </w:pPr>
    <w:rPr>
      <w:rFonts w:ascii="Times New Roman" w:eastAsia="Calibri" w:hAnsi="Times New Roman" w:cs="Times New Roman"/>
      <w:color w:val="auto"/>
      <w:kern w:val="0"/>
      <w:sz w:val="24"/>
      <w:szCs w:val="22"/>
    </w:rPr>
  </w:style>
  <w:style w:type="character" w:customStyle="1" w:styleId="Tableheading1Char">
    <w:name w:val="Table heading 1 Char"/>
    <w:basedOn w:val="DefaultParagraphFont"/>
    <w:link w:val="Tableheading1"/>
    <w:rsid w:val="00620770"/>
    <w:rPr>
      <w:rFonts w:ascii="Times New Roman" w:eastAsia="Calibri" w:hAnsi="Times New Roman" w:cs="Times New Roman"/>
      <w:color w:val="auto"/>
      <w:sz w:val="24"/>
      <w:szCs w:val="22"/>
    </w:rPr>
  </w:style>
  <w:style w:type="paragraph" w:customStyle="1" w:styleId="Tablesubheading1">
    <w:name w:val="Table sub heading 1"/>
    <w:basedOn w:val="Normal"/>
    <w:next w:val="Normal"/>
    <w:link w:val="Tablesubheading1Char"/>
    <w:qFormat/>
    <w:rsid w:val="00620770"/>
    <w:pPr>
      <w:tabs>
        <w:tab w:val="left" w:pos="720"/>
        <w:tab w:val="left" w:pos="851"/>
      </w:tabs>
      <w:suppressAutoHyphens w:val="0"/>
      <w:spacing w:before="30" w:after="30"/>
    </w:pPr>
    <w:rPr>
      <w:rFonts w:ascii="Times New Roman" w:eastAsia="Calibri" w:hAnsi="Times New Roman" w:cs="Times New Roman"/>
      <w:i/>
      <w:color w:val="auto"/>
      <w:kern w:val="0"/>
      <w:sz w:val="24"/>
      <w:szCs w:val="22"/>
    </w:rPr>
  </w:style>
  <w:style w:type="character" w:customStyle="1" w:styleId="Tablesubheading1Char">
    <w:name w:val="Table sub heading 1 Char"/>
    <w:link w:val="Tablesubheading1"/>
    <w:rsid w:val="00620770"/>
    <w:rPr>
      <w:rFonts w:ascii="Times New Roman" w:eastAsia="Calibri" w:hAnsi="Times New Roman" w:cs="Times New Roman"/>
      <w:i/>
      <w:color w:val="auto"/>
      <w:sz w:val="24"/>
      <w:szCs w:val="22"/>
    </w:rPr>
  </w:style>
  <w:style w:type="paragraph" w:customStyle="1" w:styleId="Subheading1">
    <w:name w:val="Subheading1"/>
    <w:basedOn w:val="Normal"/>
    <w:next w:val="Normal"/>
    <w:link w:val="Subheading1Char"/>
    <w:qFormat/>
    <w:rsid w:val="00620770"/>
    <w:pPr>
      <w:tabs>
        <w:tab w:val="left" w:pos="720"/>
        <w:tab w:val="left" w:pos="851"/>
      </w:tabs>
      <w:suppressAutoHyphens w:val="0"/>
      <w:spacing w:before="240" w:after="240" w:line="264" w:lineRule="auto"/>
    </w:pPr>
    <w:rPr>
      <w:rFonts w:ascii="Times New Roman" w:eastAsia="Calibri" w:hAnsi="Times New Roman" w:cs="Times New Roman"/>
      <w:caps/>
      <w:color w:val="auto"/>
      <w:kern w:val="0"/>
      <w:sz w:val="24"/>
      <w:szCs w:val="22"/>
    </w:rPr>
  </w:style>
  <w:style w:type="character" w:customStyle="1" w:styleId="Subheading1Char">
    <w:name w:val="Subheading1 Char"/>
    <w:link w:val="Subheading1"/>
    <w:rsid w:val="00620770"/>
    <w:rPr>
      <w:rFonts w:ascii="Times New Roman" w:eastAsia="Calibri" w:hAnsi="Times New Roman" w:cs="Times New Roman"/>
      <w:caps/>
      <w:color w:val="auto"/>
      <w:sz w:val="24"/>
      <w:szCs w:val="22"/>
    </w:rPr>
  </w:style>
  <w:style w:type="paragraph" w:customStyle="1" w:styleId="boldleftaligned">
    <w:name w:val="bold&amp;leftaligned"/>
    <w:basedOn w:val="boldcentred"/>
    <w:next w:val="Normal"/>
    <w:link w:val="boldleftalignedChar"/>
    <w:qFormat/>
    <w:rsid w:val="00620770"/>
    <w:pPr>
      <w:jc w:val="left"/>
    </w:pPr>
  </w:style>
  <w:style w:type="character" w:customStyle="1" w:styleId="boldleftalignedChar">
    <w:name w:val="bold&amp;leftaligned Char"/>
    <w:link w:val="boldleftaligned"/>
    <w:rsid w:val="00620770"/>
    <w:rPr>
      <w:rFonts w:ascii="Times New Roman" w:eastAsia="Calibri" w:hAnsi="Times New Roman" w:cs="Times New Roman"/>
      <w:b/>
      <w:color w:val="auto"/>
      <w:sz w:val="24"/>
      <w:szCs w:val="22"/>
    </w:rPr>
  </w:style>
  <w:style w:type="paragraph" w:customStyle="1" w:styleId="Table2">
    <w:name w:val="Table 2"/>
    <w:basedOn w:val="Normal"/>
    <w:link w:val="Table2Char"/>
    <w:qFormat/>
    <w:rsid w:val="00620770"/>
    <w:pPr>
      <w:tabs>
        <w:tab w:val="left" w:pos="720"/>
        <w:tab w:val="left" w:pos="851"/>
      </w:tabs>
      <w:suppressAutoHyphens w:val="0"/>
      <w:spacing w:before="30" w:after="30"/>
    </w:pPr>
    <w:rPr>
      <w:rFonts w:ascii="Times New Roman" w:eastAsia="Calibri" w:hAnsi="Times New Roman" w:cs="Times New Roman"/>
      <w:color w:val="auto"/>
      <w:kern w:val="0"/>
      <w:szCs w:val="22"/>
    </w:rPr>
  </w:style>
  <w:style w:type="character" w:customStyle="1" w:styleId="Table2Char">
    <w:name w:val="Table 2 Char"/>
    <w:link w:val="Table2"/>
    <w:rsid w:val="00620770"/>
    <w:rPr>
      <w:rFonts w:ascii="Times New Roman" w:eastAsia="Calibri" w:hAnsi="Times New Roman" w:cs="Times New Roman"/>
      <w:color w:val="auto"/>
      <w:szCs w:val="22"/>
    </w:rPr>
  </w:style>
  <w:style w:type="paragraph" w:styleId="BodyText">
    <w:name w:val="Body Text"/>
    <w:basedOn w:val="Normal"/>
    <w:link w:val="BodyTextChar"/>
    <w:uiPriority w:val="99"/>
    <w:rsid w:val="00620770"/>
    <w:pPr>
      <w:tabs>
        <w:tab w:val="left" w:pos="720"/>
        <w:tab w:val="left" w:pos="851"/>
      </w:tabs>
      <w:suppressAutoHyphens w:val="0"/>
      <w:spacing w:before="0" w:after="280" w:line="360" w:lineRule="auto"/>
    </w:pPr>
    <w:rPr>
      <w:rFonts w:ascii="Times New Roman" w:eastAsia="Times New Roman" w:hAnsi="Times New Roman" w:cs="Times New Roman"/>
      <w:color w:val="auto"/>
      <w:kern w:val="0"/>
      <w:sz w:val="24"/>
      <w:szCs w:val="24"/>
      <w:lang w:eastAsia="en-AU"/>
    </w:rPr>
  </w:style>
  <w:style w:type="character" w:customStyle="1" w:styleId="BodyTextChar">
    <w:name w:val="Body Text Char"/>
    <w:basedOn w:val="DefaultParagraphFont"/>
    <w:link w:val="BodyText"/>
    <w:uiPriority w:val="99"/>
    <w:rsid w:val="00620770"/>
    <w:rPr>
      <w:rFonts w:ascii="Times New Roman" w:eastAsia="Times New Roman" w:hAnsi="Times New Roman" w:cs="Times New Roman"/>
      <w:color w:val="auto"/>
      <w:sz w:val="24"/>
      <w:szCs w:val="24"/>
      <w:lang w:eastAsia="en-AU"/>
    </w:rPr>
  </w:style>
  <w:style w:type="paragraph" w:customStyle="1" w:styleId="Table2heading">
    <w:name w:val="Table 2 heading"/>
    <w:basedOn w:val="Table2"/>
    <w:link w:val="Table2headingChar"/>
    <w:qFormat/>
    <w:rsid w:val="00620770"/>
    <w:pPr>
      <w:jc w:val="center"/>
    </w:pPr>
    <w:rPr>
      <w:b/>
    </w:rPr>
  </w:style>
  <w:style w:type="character" w:customStyle="1" w:styleId="Table2headingChar">
    <w:name w:val="Table 2 heading Char"/>
    <w:link w:val="Table2heading"/>
    <w:rsid w:val="00620770"/>
    <w:rPr>
      <w:rFonts w:ascii="Times New Roman" w:eastAsia="Calibri" w:hAnsi="Times New Roman" w:cs="Times New Roman"/>
      <w:b/>
      <w:color w:val="auto"/>
      <w:szCs w:val="22"/>
    </w:rPr>
  </w:style>
  <w:style w:type="character" w:styleId="Emphasis">
    <w:name w:val="Emphasis"/>
    <w:uiPriority w:val="20"/>
    <w:qFormat/>
    <w:rsid w:val="00620770"/>
    <w:rPr>
      <w:rFonts w:ascii="Times New Roman" w:hAnsi="Times New Roman"/>
      <w:i/>
      <w:iCs/>
      <w:sz w:val="24"/>
    </w:rPr>
  </w:style>
  <w:style w:type="paragraph" w:customStyle="1" w:styleId="ListParagraphIndent1">
    <w:name w:val="List Paragraph Indent 1"/>
    <w:basedOn w:val="Normal"/>
    <w:link w:val="ListParagraphIndent1Char"/>
    <w:uiPriority w:val="99"/>
    <w:qFormat/>
    <w:rsid w:val="00620770"/>
    <w:pPr>
      <w:numPr>
        <w:numId w:val="27"/>
      </w:numPr>
      <w:tabs>
        <w:tab w:val="left" w:pos="720"/>
        <w:tab w:val="left" w:pos="851"/>
      </w:tabs>
      <w:suppressAutoHyphens w:val="0"/>
      <w:spacing w:before="240" w:after="240" w:line="264" w:lineRule="auto"/>
      <w:ind w:left="1797" w:hanging="720"/>
    </w:pPr>
    <w:rPr>
      <w:rFonts w:ascii="Times New Roman" w:eastAsia="Calibri" w:hAnsi="Times New Roman" w:cs="Times New Roman"/>
      <w:color w:val="auto"/>
      <w:kern w:val="0"/>
      <w:sz w:val="24"/>
      <w:szCs w:val="22"/>
    </w:rPr>
  </w:style>
  <w:style w:type="character" w:customStyle="1" w:styleId="ListParagraphIndent1Char">
    <w:name w:val="List Paragraph Indent 1 Char"/>
    <w:basedOn w:val="ListParagraphChar"/>
    <w:link w:val="ListParagraphIndent1"/>
    <w:uiPriority w:val="99"/>
    <w:rsid w:val="00620770"/>
    <w:rPr>
      <w:rFonts w:ascii="Times New Roman" w:eastAsia="Calibri" w:hAnsi="Times New Roman" w:cs="Times New Roman"/>
      <w:color w:val="auto"/>
      <w:sz w:val="24"/>
      <w:szCs w:val="22"/>
    </w:rPr>
  </w:style>
  <w:style w:type="paragraph" w:customStyle="1" w:styleId="AppendixHeading20">
    <w:name w:val="Appendix_Heading_2"/>
    <w:basedOn w:val="Heading3"/>
    <w:next w:val="Normal"/>
    <w:link w:val="AppendixHeading2Char"/>
    <w:qFormat/>
    <w:rsid w:val="00620770"/>
    <w:pPr>
      <w:tabs>
        <w:tab w:val="left" w:pos="720"/>
        <w:tab w:val="left" w:pos="851"/>
      </w:tabs>
      <w:suppressAutoHyphens w:val="0"/>
      <w:spacing w:before="200" w:after="0" w:line="264" w:lineRule="auto"/>
    </w:pPr>
    <w:rPr>
      <w:rFonts w:eastAsia="Times New Roman" w:cs="Times New Roman"/>
      <w:bCs/>
      <w:color w:val="auto"/>
      <w:kern w:val="0"/>
      <w:sz w:val="24"/>
      <w:szCs w:val="22"/>
    </w:rPr>
  </w:style>
  <w:style w:type="character" w:customStyle="1" w:styleId="AppendixHeading2Char">
    <w:name w:val="Appendix_Heading_2 Char"/>
    <w:link w:val="AppendixHeading20"/>
    <w:rsid w:val="00620770"/>
    <w:rPr>
      <w:rFonts w:asciiTheme="majorHAnsi" w:eastAsia="Times New Roman" w:hAnsiTheme="majorHAnsi" w:cs="Times New Roman"/>
      <w:b/>
      <w:bCs/>
      <w:color w:val="auto"/>
      <w:sz w:val="24"/>
      <w:szCs w:val="22"/>
    </w:rPr>
  </w:style>
  <w:style w:type="paragraph" w:customStyle="1" w:styleId="Table3">
    <w:name w:val="Table 3"/>
    <w:basedOn w:val="Table2"/>
    <w:link w:val="Table3Char"/>
    <w:qFormat/>
    <w:rsid w:val="00620770"/>
    <w:pPr>
      <w:spacing w:before="15" w:after="15"/>
    </w:pPr>
    <w:rPr>
      <w:sz w:val="16"/>
    </w:rPr>
  </w:style>
  <w:style w:type="character" w:customStyle="1" w:styleId="Table3Char">
    <w:name w:val="Table 3 Char"/>
    <w:link w:val="Table3"/>
    <w:rsid w:val="00620770"/>
    <w:rPr>
      <w:rFonts w:ascii="Times New Roman" w:eastAsia="Calibri" w:hAnsi="Times New Roman" w:cs="Times New Roman"/>
      <w:color w:val="auto"/>
      <w:sz w:val="16"/>
      <w:szCs w:val="22"/>
    </w:rPr>
  </w:style>
  <w:style w:type="paragraph" w:customStyle="1" w:styleId="Table3heading">
    <w:name w:val="Table 3 heading"/>
    <w:basedOn w:val="Table3"/>
    <w:link w:val="Table3headingChar"/>
    <w:qFormat/>
    <w:rsid w:val="00620770"/>
    <w:pPr>
      <w:spacing w:before="20" w:after="20"/>
    </w:pPr>
    <w:rPr>
      <w:sz w:val="18"/>
    </w:rPr>
  </w:style>
  <w:style w:type="character" w:customStyle="1" w:styleId="Table3headingChar">
    <w:name w:val="Table 3 heading Char"/>
    <w:link w:val="Table3heading"/>
    <w:rsid w:val="00620770"/>
    <w:rPr>
      <w:rFonts w:ascii="Times New Roman" w:eastAsia="Calibri" w:hAnsi="Times New Roman" w:cs="Times New Roman"/>
      <w:color w:val="auto"/>
      <w:sz w:val="18"/>
      <w:szCs w:val="22"/>
    </w:rPr>
  </w:style>
  <w:style w:type="paragraph" w:customStyle="1" w:styleId="Table4">
    <w:name w:val="Table 4"/>
    <w:basedOn w:val="Table2"/>
    <w:link w:val="Table4Char"/>
    <w:qFormat/>
    <w:rsid w:val="00620770"/>
    <w:rPr>
      <w:sz w:val="18"/>
    </w:rPr>
  </w:style>
  <w:style w:type="character" w:customStyle="1" w:styleId="Table4Char">
    <w:name w:val="Table 4 Char"/>
    <w:link w:val="Table4"/>
    <w:rsid w:val="00620770"/>
    <w:rPr>
      <w:rFonts w:ascii="Times New Roman" w:eastAsia="Calibri" w:hAnsi="Times New Roman" w:cs="Times New Roman"/>
      <w:color w:val="auto"/>
      <w:sz w:val="18"/>
      <w:szCs w:val="22"/>
    </w:rPr>
  </w:style>
  <w:style w:type="paragraph" w:customStyle="1" w:styleId="Alphabetlist">
    <w:name w:val="Alphabet list"/>
    <w:basedOn w:val="ListParagraph"/>
    <w:link w:val="AlphabetlistChar"/>
    <w:uiPriority w:val="99"/>
    <w:qFormat/>
    <w:rsid w:val="00620770"/>
    <w:pPr>
      <w:keepLines/>
      <w:tabs>
        <w:tab w:val="left" w:pos="720"/>
      </w:tabs>
      <w:suppressAutoHyphens w:val="0"/>
      <w:autoSpaceDE/>
      <w:autoSpaceDN/>
      <w:adjustRightInd/>
      <w:spacing w:before="240" w:after="240" w:line="264" w:lineRule="auto"/>
      <w:ind w:left="0"/>
      <w:contextualSpacing w:val="0"/>
      <w:textAlignment w:val="auto"/>
    </w:pPr>
    <w:rPr>
      <w:rFonts w:ascii="Times New Roman" w:eastAsia="Calibri" w:hAnsi="Times New Roman" w:cs="Times New Roman"/>
      <w:snapToGrid w:val="0"/>
      <w:color w:val="auto"/>
      <w:sz w:val="24"/>
    </w:rPr>
  </w:style>
  <w:style w:type="character" w:customStyle="1" w:styleId="AlphabetlistChar">
    <w:name w:val="Alphabet list Char"/>
    <w:link w:val="Alphabetlist"/>
    <w:uiPriority w:val="99"/>
    <w:rsid w:val="00620770"/>
    <w:rPr>
      <w:rFonts w:ascii="Times New Roman" w:eastAsia="Calibri" w:hAnsi="Times New Roman" w:cs="Times New Roman"/>
      <w:snapToGrid w:val="0"/>
      <w:color w:val="auto"/>
      <w:sz w:val="24"/>
      <w:szCs w:val="22"/>
    </w:rPr>
  </w:style>
  <w:style w:type="paragraph" w:customStyle="1" w:styleId="underlinedleft">
    <w:name w:val="underlined&amp;left"/>
    <w:basedOn w:val="Normal"/>
    <w:next w:val="Normal"/>
    <w:link w:val="underlinedleftChar"/>
    <w:qFormat/>
    <w:rsid w:val="00620770"/>
    <w:pPr>
      <w:tabs>
        <w:tab w:val="left" w:pos="720"/>
        <w:tab w:val="left" w:pos="851"/>
      </w:tabs>
      <w:suppressAutoHyphens w:val="0"/>
      <w:spacing w:before="240" w:after="240" w:line="264" w:lineRule="auto"/>
    </w:pPr>
    <w:rPr>
      <w:rFonts w:ascii="Times New Roman" w:eastAsia="Calibri" w:hAnsi="Times New Roman" w:cs="Times New Roman"/>
      <w:color w:val="auto"/>
      <w:kern w:val="0"/>
      <w:sz w:val="24"/>
      <w:szCs w:val="22"/>
      <w:u w:val="single"/>
    </w:rPr>
  </w:style>
  <w:style w:type="character" w:customStyle="1" w:styleId="underlinedleftChar">
    <w:name w:val="underlined&amp;left Char"/>
    <w:link w:val="underlinedleft"/>
    <w:rsid w:val="00620770"/>
    <w:rPr>
      <w:rFonts w:ascii="Times New Roman" w:eastAsia="Calibri" w:hAnsi="Times New Roman" w:cs="Times New Roman"/>
      <w:color w:val="auto"/>
      <w:sz w:val="24"/>
      <w:szCs w:val="22"/>
      <w:u w:val="single"/>
    </w:rPr>
  </w:style>
  <w:style w:type="paragraph" w:styleId="NormalWeb">
    <w:name w:val="Normal (Web)"/>
    <w:basedOn w:val="Normal"/>
    <w:uiPriority w:val="99"/>
    <w:unhideWhenUsed/>
    <w:rsid w:val="00620770"/>
    <w:pPr>
      <w:tabs>
        <w:tab w:val="left" w:pos="720"/>
      </w:tabs>
      <w:suppressAutoHyphens w:val="0"/>
      <w:spacing w:before="0" w:after="100" w:afterAutospacing="1"/>
      <w:ind w:left="1800"/>
    </w:pPr>
    <w:rPr>
      <w:rFonts w:ascii="Times New Roman" w:eastAsia="Times New Roman" w:hAnsi="Times New Roman" w:cs="Times New Roman"/>
      <w:color w:val="auto"/>
      <w:kern w:val="0"/>
      <w:sz w:val="24"/>
      <w:szCs w:val="24"/>
      <w:lang w:eastAsia="en-AU"/>
    </w:rPr>
  </w:style>
  <w:style w:type="table" w:customStyle="1" w:styleId="LightShading1">
    <w:name w:val="Light Shading1"/>
    <w:basedOn w:val="TableNormal"/>
    <w:uiPriority w:val="60"/>
    <w:rsid w:val="00620770"/>
    <w:pPr>
      <w:spacing w:before="0" w:after="0"/>
    </w:pPr>
    <w:rPr>
      <w:rFonts w:ascii="Times New Roman" w:eastAsia="Calibri" w:hAnsi="Times New Roman" w:cs="Times New Roman"/>
      <w:color w:val="00000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2">
    <w:name w:val="Light Shading2"/>
    <w:basedOn w:val="TableNormal"/>
    <w:uiPriority w:val="60"/>
    <w:rsid w:val="00620770"/>
    <w:pPr>
      <w:spacing w:before="0" w:after="0"/>
    </w:pPr>
    <w:rPr>
      <w:rFonts w:ascii="Times New Roman" w:eastAsia="Calibri" w:hAnsi="Times New Roman" w:cs="Times New Roman"/>
      <w:color w:val="00000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3">
    <w:name w:val="Light Shading3"/>
    <w:basedOn w:val="TableNormal"/>
    <w:uiPriority w:val="60"/>
    <w:rsid w:val="00620770"/>
    <w:pPr>
      <w:spacing w:before="0" w:after="0"/>
    </w:pPr>
    <w:rPr>
      <w:rFonts w:ascii="Times New Roman" w:eastAsia="Calibri" w:hAnsi="Times New Roman" w:cs="Times New Roman"/>
      <w:color w:val="00000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Revision">
    <w:name w:val="Revision"/>
    <w:hidden/>
    <w:uiPriority w:val="99"/>
    <w:semiHidden/>
    <w:rsid w:val="00620770"/>
    <w:pPr>
      <w:spacing w:before="0" w:after="0"/>
    </w:pPr>
    <w:rPr>
      <w:rFonts w:ascii="Times New Roman" w:eastAsia="Calibri" w:hAnsi="Times New Roman" w:cs="Times New Roman"/>
      <w:color w:val="auto"/>
      <w:sz w:val="24"/>
      <w:szCs w:val="22"/>
    </w:rPr>
  </w:style>
  <w:style w:type="paragraph" w:styleId="EndnoteText">
    <w:name w:val="endnote text"/>
    <w:basedOn w:val="Normal"/>
    <w:link w:val="EndnoteTextChar"/>
    <w:uiPriority w:val="99"/>
    <w:semiHidden/>
    <w:unhideWhenUsed/>
    <w:rsid w:val="00620770"/>
    <w:pPr>
      <w:tabs>
        <w:tab w:val="left" w:pos="720"/>
        <w:tab w:val="left" w:pos="851"/>
      </w:tabs>
      <w:suppressAutoHyphens w:val="0"/>
      <w:spacing w:before="240" w:after="240" w:line="264" w:lineRule="auto"/>
    </w:pPr>
    <w:rPr>
      <w:rFonts w:ascii="Times New Roman" w:eastAsia="Calibri" w:hAnsi="Times New Roman" w:cs="Times New Roman"/>
      <w:color w:val="auto"/>
      <w:kern w:val="0"/>
    </w:rPr>
  </w:style>
  <w:style w:type="character" w:customStyle="1" w:styleId="EndnoteTextChar">
    <w:name w:val="Endnote Text Char"/>
    <w:basedOn w:val="DefaultParagraphFont"/>
    <w:link w:val="EndnoteText"/>
    <w:uiPriority w:val="99"/>
    <w:semiHidden/>
    <w:rsid w:val="00620770"/>
    <w:rPr>
      <w:rFonts w:ascii="Times New Roman" w:eastAsia="Calibri" w:hAnsi="Times New Roman" w:cs="Times New Roman"/>
      <w:color w:val="auto"/>
    </w:rPr>
  </w:style>
  <w:style w:type="character" w:styleId="EndnoteReference">
    <w:name w:val="endnote reference"/>
    <w:uiPriority w:val="99"/>
    <w:semiHidden/>
    <w:unhideWhenUsed/>
    <w:rsid w:val="00620770"/>
    <w:rPr>
      <w:vertAlign w:val="superscript"/>
    </w:rPr>
  </w:style>
  <w:style w:type="numbering" w:customStyle="1" w:styleId="NoList11">
    <w:name w:val="No List11"/>
    <w:next w:val="NoList"/>
    <w:uiPriority w:val="99"/>
    <w:semiHidden/>
    <w:unhideWhenUsed/>
    <w:rsid w:val="00620770"/>
  </w:style>
  <w:style w:type="table" w:customStyle="1" w:styleId="LightShading11">
    <w:name w:val="Light Shading11"/>
    <w:basedOn w:val="TableNormal"/>
    <w:uiPriority w:val="60"/>
    <w:rsid w:val="00620770"/>
    <w:pPr>
      <w:spacing w:before="0" w:after="0"/>
    </w:pPr>
    <w:rPr>
      <w:rFonts w:ascii="Times New Roman" w:eastAsia="Calibri" w:hAnsi="Times New Roman" w:cs="Times New Roman"/>
      <w:color w:val="00000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21">
    <w:name w:val="Light Shading21"/>
    <w:basedOn w:val="TableNormal"/>
    <w:uiPriority w:val="60"/>
    <w:rsid w:val="00620770"/>
    <w:pPr>
      <w:spacing w:before="0" w:after="0"/>
    </w:pPr>
    <w:rPr>
      <w:rFonts w:ascii="Times New Roman" w:eastAsia="Calibri" w:hAnsi="Times New Roman" w:cs="Times New Roman"/>
      <w:color w:val="00000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31">
    <w:name w:val="Light Shading31"/>
    <w:basedOn w:val="TableNormal"/>
    <w:uiPriority w:val="60"/>
    <w:rsid w:val="00620770"/>
    <w:pPr>
      <w:spacing w:before="0" w:after="0"/>
    </w:pPr>
    <w:rPr>
      <w:rFonts w:ascii="Times New Roman" w:eastAsia="Calibri" w:hAnsi="Times New Roman" w:cs="Times New Roman"/>
      <w:color w:val="00000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TableText">
    <w:name w:val="TableText"/>
    <w:basedOn w:val="Normal"/>
    <w:uiPriority w:val="99"/>
    <w:qFormat/>
    <w:rsid w:val="00620770"/>
    <w:pPr>
      <w:suppressAutoHyphens w:val="0"/>
      <w:spacing w:before="120" w:after="120"/>
    </w:pPr>
    <w:rPr>
      <w:rFonts w:ascii="Arial" w:eastAsia="Times New Roman" w:hAnsi="Arial" w:cs="Arial"/>
      <w:bCs/>
      <w:color w:val="auto"/>
      <w:kern w:val="0"/>
    </w:rPr>
  </w:style>
  <w:style w:type="table" w:customStyle="1" w:styleId="LightGrid-Accent21">
    <w:name w:val="Light Grid - Accent 21"/>
    <w:basedOn w:val="TableNormal"/>
    <w:next w:val="LightGrid-Accent2"/>
    <w:uiPriority w:val="62"/>
    <w:rsid w:val="00620770"/>
    <w:pPr>
      <w:spacing w:before="0" w:after="0"/>
    </w:pPr>
    <w:rPr>
      <w:rFonts w:eastAsia="Times New Roman"/>
      <w:color w:val="auto"/>
      <w:sz w:val="24"/>
      <w:szCs w:val="24"/>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Lines="0" w:beforeAutospacing="0" w:afterLines="0" w:afterAutospacing="0" w:line="240" w:lineRule="auto"/>
      </w:pPr>
      <w:rPr>
        <w:rFonts w:ascii="Cambria" w:eastAsia="Times New Roman" w:hAnsi="Cambria" w:cs="Times New Roman" w:hint="default"/>
        <w:b/>
        <w:bCs/>
      </w:rPr>
      <w:tblPr/>
      <w:tcPr>
        <w:shd w:val="clear" w:color="auto" w:fill="CD0920"/>
      </w:tcPr>
    </w:tblStylePr>
    <w:tblStylePr w:type="lastRow">
      <w:pPr>
        <w:spacing w:beforeLines="0" w:beforeAutospacing="0" w:afterLines="0" w:afterAutospacing="0" w:line="240" w:lineRule="auto"/>
      </w:pPr>
      <w:rPr>
        <w:rFonts w:ascii="Cambria" w:eastAsia="Times New Roman" w:hAnsi="Cambria" w:cs="Times New Roman" w:hint="default"/>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Times New Roman" w:hAnsi="Cambria" w:cs="Times New Roman" w:hint="default"/>
        <w:b/>
        <w:bCs/>
      </w:rPr>
    </w:tblStylePr>
    <w:tblStylePr w:type="lastCol">
      <w:rPr>
        <w:rFonts w:ascii="Cambria" w:eastAsia="Times New Roman" w:hAnsi="Cambria" w:cs="Times New Roman" w:hint="default"/>
        <w:b/>
        <w:bCs/>
      </w:rPr>
      <w:tblPr/>
      <w:tcPr>
        <w:tcBorders>
          <w:top w:val="single" w:sz="8" w:space="0" w:color="C0504D"/>
          <w:left w:val="single" w:sz="8" w:space="0" w:color="C0504D"/>
          <w:bottom w:val="single" w:sz="8" w:space="0" w:color="C0504D"/>
          <w:right w:val="single" w:sz="8" w:space="0" w:color="C0504D"/>
        </w:tcBorders>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paragraph" w:customStyle="1" w:styleId="Tablefootnote">
    <w:name w:val="Table footnote"/>
    <w:basedOn w:val="Normal"/>
    <w:link w:val="TablefootnoteChar"/>
    <w:qFormat/>
    <w:rsid w:val="00620770"/>
    <w:pPr>
      <w:tabs>
        <w:tab w:val="left" w:pos="720"/>
        <w:tab w:val="left" w:pos="851"/>
      </w:tabs>
      <w:suppressAutoHyphens w:val="0"/>
      <w:spacing w:before="120" w:after="240"/>
    </w:pPr>
    <w:rPr>
      <w:rFonts w:ascii="Arial" w:eastAsia="Calibri" w:hAnsi="Arial" w:cs="Times New Roman"/>
      <w:color w:val="auto"/>
      <w:kern w:val="0"/>
      <w:sz w:val="18"/>
      <w:szCs w:val="22"/>
    </w:rPr>
  </w:style>
  <w:style w:type="character" w:customStyle="1" w:styleId="TablefootnoteChar">
    <w:name w:val="Table footnote Char"/>
    <w:basedOn w:val="DefaultParagraphFont"/>
    <w:link w:val="Tablefootnote"/>
    <w:rsid w:val="00620770"/>
    <w:rPr>
      <w:rFonts w:ascii="Arial" w:eastAsia="Calibri" w:hAnsi="Arial" w:cs="Times New Roman"/>
      <w:color w:val="auto"/>
      <w:sz w:val="18"/>
      <w:szCs w:val="22"/>
    </w:rPr>
  </w:style>
  <w:style w:type="table" w:customStyle="1" w:styleId="TableGrid2">
    <w:name w:val="Table Grid2"/>
    <w:basedOn w:val="TableNormal"/>
    <w:next w:val="TableGrid"/>
    <w:uiPriority w:val="59"/>
    <w:rsid w:val="00620770"/>
    <w:pPr>
      <w:spacing w:before="0" w:after="0"/>
    </w:pPr>
    <w:rPr>
      <w:rFonts w:ascii="Times New Roman" w:eastAsia="Calibri" w:hAnsi="Times New Roman" w:cs="Times New Roman"/>
      <w:color w:val="auto"/>
      <w:lang w:eastAsia="en-A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
    <w:name w:val="No List2"/>
    <w:next w:val="NoList"/>
    <w:uiPriority w:val="99"/>
    <w:semiHidden/>
    <w:unhideWhenUsed/>
    <w:rsid w:val="00620770"/>
  </w:style>
  <w:style w:type="table" w:customStyle="1" w:styleId="TableGrid3">
    <w:name w:val="Table Grid3"/>
    <w:basedOn w:val="TableNormal"/>
    <w:next w:val="TableGrid"/>
    <w:uiPriority w:val="59"/>
    <w:rsid w:val="00620770"/>
    <w:pPr>
      <w:spacing w:before="0" w:after="0"/>
    </w:pPr>
    <w:rPr>
      <w:rFonts w:ascii="Times New Roman" w:eastAsia="Calibri" w:hAnsi="Times New Roman" w:cs="Times New Roman"/>
      <w:color w:val="auto"/>
      <w:lang w:eastAsia="en-A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Shading12">
    <w:name w:val="Light Shading12"/>
    <w:basedOn w:val="TableNormal"/>
    <w:uiPriority w:val="60"/>
    <w:rsid w:val="00620770"/>
    <w:pPr>
      <w:spacing w:before="0" w:after="0"/>
    </w:pPr>
    <w:rPr>
      <w:rFonts w:ascii="Times New Roman" w:eastAsia="Calibri" w:hAnsi="Times New Roman" w:cs="Times New Roman"/>
      <w:color w:val="00000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22">
    <w:name w:val="Light Shading22"/>
    <w:basedOn w:val="TableNormal"/>
    <w:uiPriority w:val="60"/>
    <w:rsid w:val="00620770"/>
    <w:pPr>
      <w:spacing w:before="0" w:after="0"/>
    </w:pPr>
    <w:rPr>
      <w:rFonts w:ascii="Times New Roman" w:eastAsia="Calibri" w:hAnsi="Times New Roman" w:cs="Times New Roman"/>
      <w:color w:val="00000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32">
    <w:name w:val="Light Shading32"/>
    <w:basedOn w:val="TableNormal"/>
    <w:uiPriority w:val="60"/>
    <w:rsid w:val="00620770"/>
    <w:pPr>
      <w:spacing w:before="0" w:after="0"/>
    </w:pPr>
    <w:rPr>
      <w:rFonts w:ascii="Times New Roman" w:eastAsia="Calibri" w:hAnsi="Times New Roman" w:cs="Times New Roman"/>
      <w:color w:val="00000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numbering" w:customStyle="1" w:styleId="NoList111">
    <w:name w:val="No List111"/>
    <w:next w:val="NoList"/>
    <w:uiPriority w:val="99"/>
    <w:semiHidden/>
    <w:unhideWhenUsed/>
    <w:rsid w:val="00620770"/>
  </w:style>
  <w:style w:type="table" w:customStyle="1" w:styleId="TableGrid11">
    <w:name w:val="Table Grid11"/>
    <w:basedOn w:val="TableNormal"/>
    <w:next w:val="TableGrid"/>
    <w:uiPriority w:val="59"/>
    <w:rsid w:val="00620770"/>
    <w:pPr>
      <w:spacing w:before="0" w:after="0"/>
    </w:pPr>
    <w:rPr>
      <w:rFonts w:ascii="Times New Roman" w:eastAsia="Calibri" w:hAnsi="Times New Roman" w:cs="Times New Roman"/>
      <w:color w:val="auto"/>
      <w:lang w:eastAsia="en-A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ghtShading111">
    <w:name w:val="Light Shading111"/>
    <w:basedOn w:val="TableNormal"/>
    <w:uiPriority w:val="60"/>
    <w:rsid w:val="00620770"/>
    <w:pPr>
      <w:spacing w:before="0" w:after="0"/>
    </w:pPr>
    <w:rPr>
      <w:rFonts w:ascii="Times New Roman" w:eastAsia="Calibri" w:hAnsi="Times New Roman" w:cs="Times New Roman"/>
      <w:color w:val="00000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211">
    <w:name w:val="Light Shading211"/>
    <w:basedOn w:val="TableNormal"/>
    <w:uiPriority w:val="60"/>
    <w:rsid w:val="00620770"/>
    <w:pPr>
      <w:spacing w:before="0" w:after="0"/>
    </w:pPr>
    <w:rPr>
      <w:rFonts w:ascii="Times New Roman" w:eastAsia="Calibri" w:hAnsi="Times New Roman" w:cs="Times New Roman"/>
      <w:color w:val="00000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311">
    <w:name w:val="Light Shading311"/>
    <w:basedOn w:val="TableNormal"/>
    <w:uiPriority w:val="60"/>
    <w:rsid w:val="00620770"/>
    <w:pPr>
      <w:spacing w:before="0" w:after="0"/>
    </w:pPr>
    <w:rPr>
      <w:rFonts w:ascii="Times New Roman" w:eastAsia="Calibri" w:hAnsi="Times New Roman" w:cs="Times New Roman"/>
      <w:color w:val="000000"/>
      <w:lang w:eastAsia="en-AU"/>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TableGrid21">
    <w:name w:val="Table Grid21"/>
    <w:basedOn w:val="TableNormal"/>
    <w:next w:val="TableGrid"/>
    <w:uiPriority w:val="59"/>
    <w:rsid w:val="00620770"/>
    <w:pPr>
      <w:spacing w:before="0" w:after="0"/>
    </w:pPr>
    <w:rPr>
      <w:rFonts w:ascii="Times New Roman" w:eastAsia="Calibri" w:hAnsi="Times New Roman" w:cs="Times New Roman"/>
      <w:color w:val="auto"/>
      <w:lang w:eastAsia="en-A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Text1">
    <w:name w:val="Body Text1"/>
    <w:basedOn w:val="Normal"/>
    <w:link w:val="BodytextChar0"/>
    <w:qFormat/>
    <w:rsid w:val="00620770"/>
    <w:pPr>
      <w:widowControl w:val="0"/>
      <w:suppressAutoHyphens w:val="0"/>
      <w:spacing w:before="240" w:after="240" w:line="264" w:lineRule="auto"/>
    </w:pPr>
    <w:rPr>
      <w:rFonts w:ascii="Times New Roman" w:eastAsia="Times New Roman" w:hAnsi="Times New Roman" w:cs="Times New Roman"/>
      <w:color w:val="auto"/>
      <w:kern w:val="0"/>
      <w:sz w:val="24"/>
      <w:szCs w:val="24"/>
      <w:lang w:val="x-none" w:eastAsia="x-none"/>
    </w:rPr>
  </w:style>
  <w:style w:type="character" w:customStyle="1" w:styleId="BodytextChar0">
    <w:name w:val="Body text Char"/>
    <w:link w:val="BodyText1"/>
    <w:rsid w:val="00620770"/>
    <w:rPr>
      <w:rFonts w:ascii="Times New Roman" w:eastAsia="Times New Roman" w:hAnsi="Times New Roman" w:cs="Times New Roman"/>
      <w:color w:val="auto"/>
      <w:sz w:val="24"/>
      <w:szCs w:val="24"/>
      <w:lang w:val="x-none" w:eastAsia="x-none"/>
    </w:rPr>
  </w:style>
  <w:style w:type="table" w:customStyle="1" w:styleId="RIStable">
    <w:name w:val="RIS_table"/>
    <w:basedOn w:val="TableNormal"/>
    <w:uiPriority w:val="99"/>
    <w:rsid w:val="00620770"/>
    <w:pPr>
      <w:spacing w:before="0" w:after="0"/>
    </w:pPr>
    <w:rPr>
      <w:color w:val="auto"/>
      <w:sz w:val="22"/>
      <w:szCs w:val="22"/>
    </w:rPr>
    <w:tblPr>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left w:w="85" w:type="dxa"/>
        <w:bottom w:w="28" w:type="dxa"/>
        <w:right w:w="85" w:type="dxa"/>
      </w:tblCellMar>
    </w:tblPr>
    <w:tcPr>
      <w:shd w:val="clear" w:color="auto" w:fill="auto"/>
    </w:tcPr>
    <w:tblStylePr w:type="firstRow">
      <w:tblPr/>
      <w:tcPr>
        <w:shd w:val="clear" w:color="auto" w:fill="DBE5F1"/>
      </w:tcPr>
    </w:tblStylePr>
  </w:style>
  <w:style w:type="table" w:customStyle="1" w:styleId="LightShading-Accent11">
    <w:name w:val="Light Shading - Accent 11"/>
    <w:basedOn w:val="TableNormal"/>
    <w:next w:val="LightShading-Accent1"/>
    <w:uiPriority w:val="60"/>
    <w:rsid w:val="00620770"/>
    <w:pPr>
      <w:spacing w:before="0" w:after="0"/>
    </w:pPr>
    <w:rPr>
      <w:color w:val="365F91"/>
      <w:sz w:val="22"/>
      <w:szCs w:val="22"/>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customStyle="1" w:styleId="SUBHEADING2">
    <w:name w:val="SUBHEADING2"/>
    <w:basedOn w:val="Subheading1"/>
    <w:link w:val="SUBHEADING2Char"/>
    <w:qFormat/>
    <w:rsid w:val="00620770"/>
    <w:pPr>
      <w:tabs>
        <w:tab w:val="clear" w:pos="720"/>
      </w:tabs>
    </w:pPr>
    <w:rPr>
      <w:b/>
      <w:u w:val="single"/>
    </w:rPr>
  </w:style>
  <w:style w:type="character" w:customStyle="1" w:styleId="SUBHEADING2Char">
    <w:name w:val="SUBHEADING2 Char"/>
    <w:basedOn w:val="Subheading1Char"/>
    <w:link w:val="SUBHEADING2"/>
    <w:rsid w:val="00620770"/>
    <w:rPr>
      <w:rFonts w:ascii="Times New Roman" w:eastAsia="Calibri" w:hAnsi="Times New Roman" w:cs="Times New Roman"/>
      <w:b/>
      <w:caps/>
      <w:color w:val="auto"/>
      <w:sz w:val="24"/>
      <w:szCs w:val="22"/>
      <w:u w:val="single"/>
    </w:rPr>
  </w:style>
  <w:style w:type="table" w:customStyle="1" w:styleId="LightShading4">
    <w:name w:val="Light Shading4"/>
    <w:basedOn w:val="TableNormal"/>
    <w:next w:val="LightShading"/>
    <w:uiPriority w:val="60"/>
    <w:rsid w:val="00620770"/>
    <w:pPr>
      <w:spacing w:before="0" w:after="0"/>
    </w:pPr>
    <w:rPr>
      <w:color w:val="000000"/>
      <w:sz w:val="22"/>
      <w:szCs w:val="22"/>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MediumList2-Accent11">
    <w:name w:val="Medium List 2 - Accent 11"/>
    <w:basedOn w:val="TableNormal"/>
    <w:next w:val="MediumList2-Accent1"/>
    <w:uiPriority w:val="66"/>
    <w:rsid w:val="00620770"/>
    <w:pPr>
      <w:spacing w:before="0" w:after="0"/>
    </w:pPr>
    <w:rPr>
      <w:rFonts w:ascii="Cambria" w:eastAsia="Times New Roman" w:hAnsi="Cambria" w:cs="Times New Roman"/>
      <w:sz w:val="22"/>
      <w:szCs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character" w:customStyle="1" w:styleId="unicode">
    <w:name w:val="unicode"/>
    <w:basedOn w:val="DefaultParagraphFont"/>
    <w:rsid w:val="00620770"/>
  </w:style>
  <w:style w:type="paragraph" w:customStyle="1" w:styleId="TableText0">
    <w:name w:val="Table Text"/>
    <w:basedOn w:val="Normal"/>
    <w:uiPriority w:val="99"/>
    <w:qFormat/>
    <w:rsid w:val="00620770"/>
    <w:pPr>
      <w:suppressAutoHyphens w:val="0"/>
      <w:spacing w:before="0" w:after="0"/>
    </w:pPr>
    <w:rPr>
      <w:rFonts w:ascii="Calibri" w:eastAsia="Times New Roman" w:hAnsi="Calibri" w:cs="Microsoft Sans Serif"/>
      <w:kern w:val="0"/>
      <w:sz w:val="18"/>
      <w:szCs w:val="16"/>
      <w:lang w:eastAsia="en-AU"/>
    </w:rPr>
  </w:style>
  <w:style w:type="paragraph" w:customStyle="1" w:styleId="Comment">
    <w:name w:val="Comment"/>
    <w:basedOn w:val="Normal"/>
    <w:uiPriority w:val="99"/>
    <w:qFormat/>
    <w:rsid w:val="00620770"/>
    <w:pPr>
      <w:pBdr>
        <w:top w:val="single" w:sz="4" w:space="1" w:color="auto"/>
        <w:left w:val="single" w:sz="4" w:space="4" w:color="auto"/>
        <w:bottom w:val="single" w:sz="4" w:space="1" w:color="auto"/>
        <w:right w:val="single" w:sz="4" w:space="4" w:color="auto"/>
      </w:pBdr>
      <w:shd w:val="clear" w:color="auto" w:fill="F2F2F2"/>
      <w:suppressAutoHyphens w:val="0"/>
      <w:spacing w:before="0" w:after="240" w:line="300" w:lineRule="auto"/>
      <w:ind w:left="567" w:right="567"/>
    </w:pPr>
    <w:rPr>
      <w:color w:val="auto"/>
      <w:kern w:val="0"/>
      <w:sz w:val="22"/>
      <w:szCs w:val="22"/>
    </w:rPr>
  </w:style>
  <w:style w:type="paragraph" w:customStyle="1" w:styleId="Title1">
    <w:name w:val="Title 1"/>
    <w:uiPriority w:val="99"/>
    <w:qFormat/>
    <w:rsid w:val="00620770"/>
    <w:pPr>
      <w:spacing w:before="0" w:after="200" w:line="276" w:lineRule="auto"/>
    </w:pPr>
    <w:rPr>
      <w:rFonts w:ascii="Cambria" w:eastAsia="Times New Roman" w:hAnsi="Cambria" w:cs="Times New Roman"/>
      <w:b/>
      <w:bCs/>
      <w:color w:val="365F91"/>
      <w:sz w:val="28"/>
      <w:szCs w:val="28"/>
    </w:rPr>
  </w:style>
  <w:style w:type="paragraph" w:customStyle="1" w:styleId="Title2">
    <w:name w:val="Title 2"/>
    <w:uiPriority w:val="99"/>
    <w:qFormat/>
    <w:rsid w:val="00620770"/>
    <w:pPr>
      <w:spacing w:before="0" w:after="200" w:line="276" w:lineRule="auto"/>
    </w:pPr>
    <w:rPr>
      <w:rFonts w:ascii="Cambria" w:eastAsia="Times New Roman" w:hAnsi="Cambria" w:cs="Times New Roman"/>
      <w:b/>
      <w:bCs/>
      <w:color w:val="4F81BD"/>
      <w:sz w:val="26"/>
      <w:szCs w:val="26"/>
    </w:rPr>
  </w:style>
  <w:style w:type="paragraph" w:customStyle="1" w:styleId="SurveyHeading1">
    <w:name w:val="Survey Heading 1"/>
    <w:basedOn w:val="Heading1"/>
    <w:link w:val="SurveyHeading1Char"/>
    <w:uiPriority w:val="99"/>
    <w:qFormat/>
    <w:rsid w:val="00620770"/>
    <w:pPr>
      <w:suppressAutoHyphens w:val="0"/>
      <w:spacing w:after="0" w:line="300" w:lineRule="auto"/>
      <w:ind w:left="432" w:hanging="432"/>
      <w:contextualSpacing w:val="0"/>
    </w:pPr>
    <w:rPr>
      <w:b/>
      <w:bCs/>
      <w:color w:val="365F91"/>
      <w:sz w:val="28"/>
      <w:szCs w:val="28"/>
    </w:rPr>
  </w:style>
  <w:style w:type="paragraph" w:customStyle="1" w:styleId="SurveyHeading2">
    <w:name w:val="Survey Heading 2"/>
    <w:basedOn w:val="SurveyHeading1"/>
    <w:link w:val="SurveyHeading2Char"/>
    <w:uiPriority w:val="99"/>
    <w:qFormat/>
    <w:rsid w:val="00620770"/>
    <w:pPr>
      <w:ind w:left="431" w:hanging="431"/>
      <w:outlineLvl w:val="9"/>
    </w:pPr>
    <w:rPr>
      <w:sz w:val="24"/>
      <w:szCs w:val="24"/>
    </w:rPr>
  </w:style>
  <w:style w:type="character" w:customStyle="1" w:styleId="SurveyHeading1Char">
    <w:name w:val="Survey Heading 1 Char"/>
    <w:basedOn w:val="Heading1Char"/>
    <w:link w:val="SurveyHeading1"/>
    <w:uiPriority w:val="99"/>
    <w:rsid w:val="00620770"/>
    <w:rPr>
      <w:rFonts w:asciiTheme="majorHAnsi" w:eastAsiaTheme="majorEastAsia" w:hAnsiTheme="majorHAnsi" w:cstheme="majorBidi"/>
      <w:b/>
      <w:bCs/>
      <w:color w:val="365F91"/>
      <w:kern w:val="12"/>
      <w:sz w:val="28"/>
      <w:szCs w:val="28"/>
    </w:rPr>
  </w:style>
  <w:style w:type="character" w:customStyle="1" w:styleId="SurveyHeading2Char">
    <w:name w:val="Survey Heading 2 Char"/>
    <w:basedOn w:val="SurveyHeading1Char"/>
    <w:link w:val="SurveyHeading2"/>
    <w:uiPriority w:val="99"/>
    <w:rsid w:val="00620770"/>
    <w:rPr>
      <w:rFonts w:asciiTheme="majorHAnsi" w:eastAsiaTheme="majorEastAsia" w:hAnsiTheme="majorHAnsi" w:cstheme="majorBidi"/>
      <w:b/>
      <w:bCs/>
      <w:color w:val="365F91"/>
      <w:kern w:val="12"/>
      <w:sz w:val="24"/>
      <w:szCs w:val="24"/>
    </w:rPr>
  </w:style>
  <w:style w:type="paragraph" w:customStyle="1" w:styleId="Heading-ExecutiveSummary">
    <w:name w:val="Heading - Executive Summary"/>
    <w:basedOn w:val="Heading1"/>
    <w:uiPriority w:val="99"/>
    <w:qFormat/>
    <w:rsid w:val="00620770"/>
    <w:pPr>
      <w:tabs>
        <w:tab w:val="left" w:pos="720"/>
        <w:tab w:val="left" w:pos="851"/>
        <w:tab w:val="num" w:pos="926"/>
      </w:tabs>
      <w:suppressAutoHyphens w:val="0"/>
      <w:spacing w:before="240" w:after="240"/>
      <w:ind w:left="851" w:hanging="851"/>
      <w:contextualSpacing w:val="0"/>
    </w:pPr>
    <w:rPr>
      <w:rFonts w:eastAsia="Times New Roman" w:cs="Times New Roman"/>
      <w:b/>
      <w:bCs/>
      <w:caps/>
      <w:color w:val="auto"/>
      <w:kern w:val="0"/>
      <w:sz w:val="24"/>
      <w:szCs w:val="28"/>
    </w:rPr>
  </w:style>
  <w:style w:type="paragraph" w:customStyle="1" w:styleId="Appendix-Heading">
    <w:name w:val="Appendix - Heading"/>
    <w:basedOn w:val="Heading7"/>
    <w:next w:val="Normal"/>
    <w:link w:val="Appendix-HeadingChar"/>
    <w:uiPriority w:val="99"/>
    <w:qFormat/>
    <w:rsid w:val="00620770"/>
    <w:pPr>
      <w:numPr>
        <w:numId w:val="29"/>
      </w:numPr>
      <w:ind w:left="0" w:firstLine="0"/>
    </w:pPr>
    <w:rPr>
      <w:color w:val="081E3E" w:themeColor="text2"/>
      <w:kern w:val="12"/>
    </w:rPr>
  </w:style>
  <w:style w:type="numbering" w:customStyle="1" w:styleId="Appendices">
    <w:name w:val="Appendices"/>
    <w:uiPriority w:val="99"/>
    <w:rsid w:val="00620770"/>
    <w:pPr>
      <w:numPr>
        <w:numId w:val="28"/>
      </w:numPr>
    </w:pPr>
  </w:style>
  <w:style w:type="table" w:customStyle="1" w:styleId="LightShading-Accent61">
    <w:name w:val="Light Shading - Accent 61"/>
    <w:basedOn w:val="TableNormal"/>
    <w:next w:val="LightShading-Accent6"/>
    <w:uiPriority w:val="60"/>
    <w:rsid w:val="00620770"/>
    <w:pPr>
      <w:spacing w:before="0" w:after="0"/>
    </w:pPr>
    <w:rPr>
      <w:rFonts w:ascii="Times New Roman" w:eastAsia="Times New Roman" w:hAnsi="Times New Roman" w:cs="Times New Roman"/>
      <w:color w:val="E36C0A"/>
      <w:lang w:val="en-US"/>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customStyle="1" w:styleId="PlainTable21">
    <w:name w:val="Plain Table 21"/>
    <w:basedOn w:val="TableNormal"/>
    <w:uiPriority w:val="42"/>
    <w:rsid w:val="00620770"/>
    <w:pPr>
      <w:spacing w:before="0" w:after="0"/>
    </w:pPr>
    <w:rPr>
      <w:color w:val="auto"/>
      <w:sz w:val="22"/>
      <w:szCs w:val="22"/>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paragraph" w:customStyle="1" w:styleId="Clauseheading">
    <w:name w:val="Clause heading"/>
    <w:basedOn w:val="Heading1"/>
    <w:next w:val="Normal"/>
    <w:uiPriority w:val="99"/>
    <w:rsid w:val="00620770"/>
    <w:pPr>
      <w:keepLines w:val="0"/>
      <w:tabs>
        <w:tab w:val="num" w:pos="1418"/>
      </w:tabs>
      <w:suppressAutoHyphens w:val="0"/>
      <w:spacing w:before="240" w:after="120"/>
      <w:ind w:left="1418" w:hanging="1418"/>
      <w:contextualSpacing w:val="0"/>
    </w:pPr>
    <w:rPr>
      <w:rFonts w:ascii="Times New Roman" w:eastAsia="Times New Roman" w:hAnsi="Times New Roman" w:cs="Arial"/>
      <w:b/>
      <w:bCs/>
      <w:caps/>
      <w:color w:val="auto"/>
      <w:kern w:val="32"/>
      <w:sz w:val="24"/>
      <w:lang w:eastAsia="en-AU"/>
    </w:rPr>
  </w:style>
  <w:style w:type="paragraph" w:customStyle="1" w:styleId="msonormal0">
    <w:name w:val="msonormal"/>
    <w:basedOn w:val="Normal"/>
    <w:rsid w:val="00620770"/>
    <w:pPr>
      <w:suppressAutoHyphens w:val="0"/>
      <w:spacing w:before="100" w:beforeAutospacing="1" w:after="100" w:afterAutospacing="1"/>
    </w:pPr>
    <w:rPr>
      <w:rFonts w:ascii="Times New Roman" w:eastAsia="Times New Roman" w:hAnsi="Times New Roman" w:cs="Times New Roman"/>
      <w:color w:val="auto"/>
      <w:kern w:val="0"/>
      <w:sz w:val="24"/>
      <w:szCs w:val="24"/>
      <w:lang w:eastAsia="en-AU"/>
    </w:rPr>
  </w:style>
  <w:style w:type="paragraph" w:customStyle="1" w:styleId="font5">
    <w:name w:val="font5"/>
    <w:basedOn w:val="Normal"/>
    <w:uiPriority w:val="99"/>
    <w:rsid w:val="00620770"/>
    <w:pPr>
      <w:suppressAutoHyphens w:val="0"/>
      <w:spacing w:before="100" w:beforeAutospacing="1" w:after="100" w:afterAutospacing="1"/>
    </w:pPr>
    <w:rPr>
      <w:rFonts w:ascii="Tahoma" w:eastAsia="Times New Roman" w:hAnsi="Tahoma" w:cs="Tahoma"/>
      <w:color w:val="000000"/>
      <w:kern w:val="0"/>
      <w:sz w:val="18"/>
      <w:szCs w:val="18"/>
      <w:lang w:eastAsia="en-AU"/>
    </w:rPr>
  </w:style>
  <w:style w:type="paragraph" w:customStyle="1" w:styleId="font6">
    <w:name w:val="font6"/>
    <w:basedOn w:val="Normal"/>
    <w:uiPriority w:val="99"/>
    <w:rsid w:val="00620770"/>
    <w:pPr>
      <w:suppressAutoHyphens w:val="0"/>
      <w:spacing w:before="100" w:beforeAutospacing="1" w:after="100" w:afterAutospacing="1"/>
    </w:pPr>
    <w:rPr>
      <w:rFonts w:ascii="Tahoma" w:eastAsia="Times New Roman" w:hAnsi="Tahoma" w:cs="Tahoma"/>
      <w:b/>
      <w:bCs/>
      <w:color w:val="000000"/>
      <w:kern w:val="0"/>
      <w:sz w:val="18"/>
      <w:szCs w:val="18"/>
      <w:lang w:eastAsia="en-AU"/>
    </w:rPr>
  </w:style>
  <w:style w:type="paragraph" w:customStyle="1" w:styleId="xl183">
    <w:name w:val="xl183"/>
    <w:basedOn w:val="Normal"/>
    <w:rsid w:val="00620770"/>
    <w:pPr>
      <w:pBdr>
        <w:top w:val="single" w:sz="8" w:space="0" w:color="auto"/>
        <w:left w:val="single" w:sz="8" w:space="0" w:color="auto"/>
        <w:bottom w:val="single" w:sz="4" w:space="0" w:color="auto"/>
      </w:pBdr>
      <w:suppressAutoHyphens w:val="0"/>
      <w:spacing w:before="100" w:beforeAutospacing="1" w:after="100" w:afterAutospacing="1"/>
    </w:pPr>
    <w:rPr>
      <w:rFonts w:ascii="Times New Roman" w:eastAsia="Times New Roman" w:hAnsi="Times New Roman" w:cs="Times New Roman"/>
      <w:color w:val="auto"/>
      <w:kern w:val="0"/>
      <w:sz w:val="24"/>
      <w:szCs w:val="24"/>
      <w:lang w:eastAsia="en-AU"/>
    </w:rPr>
  </w:style>
  <w:style w:type="paragraph" w:customStyle="1" w:styleId="xl184">
    <w:name w:val="xl184"/>
    <w:basedOn w:val="Normal"/>
    <w:rsid w:val="00620770"/>
    <w:pPr>
      <w:suppressAutoHyphens w:val="0"/>
      <w:spacing w:before="100" w:beforeAutospacing="1" w:after="100" w:afterAutospacing="1"/>
    </w:pPr>
    <w:rPr>
      <w:rFonts w:ascii="Arial" w:eastAsia="Times New Roman" w:hAnsi="Arial" w:cs="Arial"/>
      <w:color w:val="auto"/>
      <w:kern w:val="0"/>
      <w:lang w:eastAsia="en-AU"/>
    </w:rPr>
  </w:style>
  <w:style w:type="paragraph" w:customStyle="1" w:styleId="xl185">
    <w:name w:val="xl185"/>
    <w:basedOn w:val="Normal"/>
    <w:rsid w:val="00620770"/>
    <w:pPr>
      <w:pBdr>
        <w:right w:val="single" w:sz="4" w:space="0" w:color="auto"/>
      </w:pBdr>
      <w:suppressAutoHyphens w:val="0"/>
      <w:spacing w:before="100" w:beforeAutospacing="1" w:after="100" w:afterAutospacing="1"/>
      <w:jc w:val="right"/>
    </w:pPr>
    <w:rPr>
      <w:rFonts w:ascii="Arial" w:eastAsia="Times New Roman" w:hAnsi="Arial" w:cs="Arial"/>
      <w:color w:val="000000"/>
      <w:kern w:val="0"/>
      <w:lang w:eastAsia="en-AU"/>
    </w:rPr>
  </w:style>
  <w:style w:type="paragraph" w:customStyle="1" w:styleId="xl186">
    <w:name w:val="xl186"/>
    <w:basedOn w:val="Normal"/>
    <w:rsid w:val="00620770"/>
    <w:pPr>
      <w:pBdr>
        <w:left w:val="single" w:sz="4" w:space="0" w:color="auto"/>
      </w:pBdr>
      <w:suppressAutoHyphens w:val="0"/>
      <w:spacing w:before="100" w:beforeAutospacing="1" w:after="100" w:afterAutospacing="1"/>
      <w:jc w:val="right"/>
    </w:pPr>
    <w:rPr>
      <w:rFonts w:ascii="Arial" w:eastAsia="Times New Roman" w:hAnsi="Arial" w:cs="Arial"/>
      <w:color w:val="000000"/>
      <w:kern w:val="0"/>
      <w:lang w:eastAsia="en-AU"/>
    </w:rPr>
  </w:style>
  <w:style w:type="paragraph" w:customStyle="1" w:styleId="xl187">
    <w:name w:val="xl187"/>
    <w:basedOn w:val="Normal"/>
    <w:rsid w:val="00620770"/>
    <w:pPr>
      <w:suppressAutoHyphens w:val="0"/>
      <w:spacing w:before="100" w:beforeAutospacing="1" w:after="100" w:afterAutospacing="1"/>
      <w:jc w:val="right"/>
    </w:pPr>
    <w:rPr>
      <w:rFonts w:ascii="Arial" w:eastAsia="Times New Roman" w:hAnsi="Arial" w:cs="Arial"/>
      <w:color w:val="000000"/>
      <w:kern w:val="0"/>
      <w:lang w:eastAsia="en-AU"/>
    </w:rPr>
  </w:style>
  <w:style w:type="paragraph" w:customStyle="1" w:styleId="xl188">
    <w:name w:val="xl188"/>
    <w:basedOn w:val="Normal"/>
    <w:rsid w:val="00620770"/>
    <w:pPr>
      <w:pBdr>
        <w:left w:val="single" w:sz="8" w:space="0" w:color="auto"/>
        <w:right w:val="single" w:sz="4" w:space="0" w:color="auto"/>
      </w:pBdr>
      <w:suppressAutoHyphens w:val="0"/>
      <w:spacing w:before="100" w:beforeAutospacing="1" w:after="100" w:afterAutospacing="1"/>
    </w:pPr>
    <w:rPr>
      <w:rFonts w:ascii="Arial" w:eastAsia="Times New Roman" w:hAnsi="Arial" w:cs="Arial"/>
      <w:color w:val="auto"/>
      <w:kern w:val="0"/>
      <w:lang w:eastAsia="en-AU"/>
    </w:rPr>
  </w:style>
  <w:style w:type="paragraph" w:customStyle="1" w:styleId="xl189">
    <w:name w:val="xl189"/>
    <w:basedOn w:val="Normal"/>
    <w:rsid w:val="00620770"/>
    <w:pPr>
      <w:pBdr>
        <w:left w:val="single" w:sz="8" w:space="0" w:color="auto"/>
        <w:right w:val="single" w:sz="4" w:space="0" w:color="auto"/>
      </w:pBdr>
      <w:suppressAutoHyphens w:val="0"/>
      <w:spacing w:before="100" w:beforeAutospacing="1" w:after="100" w:afterAutospacing="1"/>
      <w:jc w:val="right"/>
    </w:pPr>
    <w:rPr>
      <w:rFonts w:ascii="Arial" w:eastAsia="Times New Roman" w:hAnsi="Arial" w:cs="Arial"/>
      <w:color w:val="auto"/>
      <w:kern w:val="0"/>
      <w:lang w:eastAsia="en-AU"/>
    </w:rPr>
  </w:style>
  <w:style w:type="paragraph" w:customStyle="1" w:styleId="xl190">
    <w:name w:val="xl190"/>
    <w:basedOn w:val="Normal"/>
    <w:rsid w:val="00620770"/>
    <w:pPr>
      <w:pBdr>
        <w:left w:val="single" w:sz="8" w:space="0" w:color="auto"/>
        <w:bottom w:val="single" w:sz="8" w:space="0" w:color="auto"/>
        <w:right w:val="single" w:sz="4" w:space="0" w:color="auto"/>
      </w:pBdr>
      <w:suppressAutoHyphens w:val="0"/>
      <w:spacing w:before="100" w:beforeAutospacing="1" w:after="100" w:afterAutospacing="1"/>
    </w:pPr>
    <w:rPr>
      <w:rFonts w:ascii="Arial" w:eastAsia="Times New Roman" w:hAnsi="Arial" w:cs="Arial"/>
      <w:color w:val="auto"/>
      <w:kern w:val="0"/>
      <w:lang w:eastAsia="en-AU"/>
    </w:rPr>
  </w:style>
  <w:style w:type="paragraph" w:customStyle="1" w:styleId="xl191">
    <w:name w:val="xl191"/>
    <w:basedOn w:val="Normal"/>
    <w:rsid w:val="00620770"/>
    <w:pPr>
      <w:pBdr>
        <w:left w:val="single" w:sz="4" w:space="0" w:color="auto"/>
      </w:pBdr>
      <w:suppressAutoHyphens w:val="0"/>
      <w:spacing w:before="100" w:beforeAutospacing="1" w:after="100" w:afterAutospacing="1"/>
    </w:pPr>
    <w:rPr>
      <w:rFonts w:ascii="Arial" w:eastAsia="Times New Roman" w:hAnsi="Arial" w:cs="Arial"/>
      <w:color w:val="auto"/>
      <w:kern w:val="0"/>
      <w:lang w:eastAsia="en-AU"/>
    </w:rPr>
  </w:style>
  <w:style w:type="paragraph" w:customStyle="1" w:styleId="xl192">
    <w:name w:val="xl192"/>
    <w:basedOn w:val="Normal"/>
    <w:rsid w:val="00620770"/>
    <w:pPr>
      <w:pBdr>
        <w:left w:val="single" w:sz="4" w:space="0" w:color="auto"/>
      </w:pBdr>
      <w:suppressAutoHyphens w:val="0"/>
      <w:spacing w:before="100" w:beforeAutospacing="1" w:after="100" w:afterAutospacing="1"/>
      <w:jc w:val="right"/>
    </w:pPr>
    <w:rPr>
      <w:rFonts w:ascii="Arial" w:eastAsia="Times New Roman" w:hAnsi="Arial" w:cs="Arial"/>
      <w:color w:val="000000"/>
      <w:kern w:val="0"/>
      <w:lang w:eastAsia="en-AU"/>
    </w:rPr>
  </w:style>
  <w:style w:type="paragraph" w:customStyle="1" w:styleId="xl193">
    <w:name w:val="xl193"/>
    <w:basedOn w:val="Normal"/>
    <w:rsid w:val="00620770"/>
    <w:pPr>
      <w:pBdr>
        <w:right w:val="single" w:sz="4" w:space="0" w:color="auto"/>
      </w:pBdr>
      <w:suppressAutoHyphens w:val="0"/>
      <w:spacing w:before="100" w:beforeAutospacing="1" w:after="100" w:afterAutospacing="1"/>
    </w:pPr>
    <w:rPr>
      <w:rFonts w:ascii="Arial" w:eastAsia="Times New Roman" w:hAnsi="Arial" w:cs="Arial"/>
      <w:color w:val="auto"/>
      <w:kern w:val="0"/>
      <w:lang w:eastAsia="en-AU"/>
    </w:rPr>
  </w:style>
  <w:style w:type="paragraph" w:customStyle="1" w:styleId="xl194">
    <w:name w:val="xl194"/>
    <w:basedOn w:val="Normal"/>
    <w:rsid w:val="00620770"/>
    <w:pPr>
      <w:suppressAutoHyphens w:val="0"/>
      <w:spacing w:before="100" w:beforeAutospacing="1" w:after="100" w:afterAutospacing="1"/>
      <w:jc w:val="right"/>
    </w:pPr>
    <w:rPr>
      <w:rFonts w:ascii="Arial" w:eastAsia="Times New Roman" w:hAnsi="Arial" w:cs="Arial"/>
      <w:color w:val="000000"/>
      <w:kern w:val="0"/>
      <w:lang w:eastAsia="en-AU"/>
    </w:rPr>
  </w:style>
  <w:style w:type="paragraph" w:customStyle="1" w:styleId="xl195">
    <w:name w:val="xl195"/>
    <w:basedOn w:val="Normal"/>
    <w:rsid w:val="00620770"/>
    <w:pPr>
      <w:pBdr>
        <w:right w:val="single" w:sz="4" w:space="0" w:color="auto"/>
      </w:pBdr>
      <w:suppressAutoHyphens w:val="0"/>
      <w:spacing w:before="100" w:beforeAutospacing="1" w:after="100" w:afterAutospacing="1"/>
      <w:jc w:val="right"/>
    </w:pPr>
    <w:rPr>
      <w:rFonts w:ascii="Arial" w:eastAsia="Times New Roman" w:hAnsi="Arial" w:cs="Arial"/>
      <w:color w:val="000000"/>
      <w:kern w:val="0"/>
      <w:lang w:eastAsia="en-AU"/>
    </w:rPr>
  </w:style>
  <w:style w:type="paragraph" w:customStyle="1" w:styleId="xl196">
    <w:name w:val="xl196"/>
    <w:basedOn w:val="Normal"/>
    <w:rsid w:val="00620770"/>
    <w:pPr>
      <w:pBdr>
        <w:right w:val="single" w:sz="8" w:space="0" w:color="auto"/>
      </w:pBdr>
      <w:suppressAutoHyphens w:val="0"/>
      <w:spacing w:before="100" w:beforeAutospacing="1" w:after="100" w:afterAutospacing="1"/>
    </w:pPr>
    <w:rPr>
      <w:rFonts w:ascii="Arial" w:eastAsia="Times New Roman" w:hAnsi="Arial" w:cs="Arial"/>
      <w:color w:val="auto"/>
      <w:kern w:val="0"/>
      <w:lang w:eastAsia="en-AU"/>
    </w:rPr>
  </w:style>
  <w:style w:type="paragraph" w:customStyle="1" w:styleId="xl197">
    <w:name w:val="xl197"/>
    <w:basedOn w:val="Normal"/>
    <w:uiPriority w:val="99"/>
    <w:rsid w:val="00620770"/>
    <w:pPr>
      <w:pBdr>
        <w:top w:val="single" w:sz="4" w:space="0" w:color="auto"/>
        <w:left w:val="single" w:sz="4" w:space="0" w:color="auto"/>
        <w:bottom w:val="single" w:sz="4" w:space="0" w:color="auto"/>
      </w:pBdr>
      <w:suppressAutoHyphens w:val="0"/>
      <w:spacing w:before="100" w:beforeAutospacing="1" w:after="100" w:afterAutospacing="1"/>
    </w:pPr>
    <w:rPr>
      <w:rFonts w:ascii="Arial" w:eastAsia="Times New Roman" w:hAnsi="Arial" w:cs="Arial"/>
      <w:color w:val="000000"/>
      <w:kern w:val="0"/>
      <w:sz w:val="16"/>
      <w:szCs w:val="16"/>
      <w:lang w:eastAsia="en-AU"/>
    </w:rPr>
  </w:style>
  <w:style w:type="paragraph" w:customStyle="1" w:styleId="xl198">
    <w:name w:val="xl198"/>
    <w:basedOn w:val="Normal"/>
    <w:uiPriority w:val="99"/>
    <w:rsid w:val="00620770"/>
    <w:pPr>
      <w:pBdr>
        <w:top w:val="single" w:sz="4" w:space="0" w:color="auto"/>
        <w:bottom w:val="single" w:sz="4" w:space="0" w:color="auto"/>
        <w:right w:val="single" w:sz="4" w:space="0" w:color="auto"/>
      </w:pBdr>
      <w:suppressAutoHyphens w:val="0"/>
      <w:spacing w:before="100" w:beforeAutospacing="1" w:after="100" w:afterAutospacing="1"/>
    </w:pPr>
    <w:rPr>
      <w:rFonts w:ascii="Arial" w:eastAsia="Times New Roman" w:hAnsi="Arial" w:cs="Arial"/>
      <w:color w:val="000000"/>
      <w:kern w:val="0"/>
      <w:sz w:val="16"/>
      <w:szCs w:val="16"/>
      <w:lang w:eastAsia="en-AU"/>
    </w:rPr>
  </w:style>
  <w:style w:type="paragraph" w:customStyle="1" w:styleId="xl199">
    <w:name w:val="xl199"/>
    <w:basedOn w:val="Normal"/>
    <w:uiPriority w:val="99"/>
    <w:rsid w:val="00620770"/>
    <w:pPr>
      <w:pBdr>
        <w:top w:val="single" w:sz="4" w:space="0" w:color="auto"/>
        <w:left w:val="single" w:sz="8" w:space="0" w:color="auto"/>
        <w:bottom w:val="single" w:sz="4" w:space="0" w:color="auto"/>
        <w:right w:val="single" w:sz="4" w:space="0" w:color="auto"/>
      </w:pBdr>
      <w:suppressAutoHyphens w:val="0"/>
      <w:spacing w:before="100" w:beforeAutospacing="1" w:after="100" w:afterAutospacing="1"/>
    </w:pPr>
    <w:rPr>
      <w:rFonts w:ascii="Arial" w:eastAsia="Times New Roman" w:hAnsi="Arial" w:cs="Arial"/>
      <w:color w:val="000000"/>
      <w:kern w:val="0"/>
      <w:sz w:val="16"/>
      <w:szCs w:val="16"/>
      <w:lang w:eastAsia="en-AU"/>
    </w:rPr>
  </w:style>
  <w:style w:type="paragraph" w:customStyle="1" w:styleId="xl200">
    <w:name w:val="xl200"/>
    <w:basedOn w:val="Normal"/>
    <w:uiPriority w:val="99"/>
    <w:rsid w:val="00620770"/>
    <w:pPr>
      <w:pBdr>
        <w:top w:val="single" w:sz="4" w:space="0" w:color="auto"/>
        <w:bottom w:val="single" w:sz="4" w:space="0" w:color="auto"/>
      </w:pBdr>
      <w:suppressAutoHyphens w:val="0"/>
      <w:spacing w:before="100" w:beforeAutospacing="1" w:after="100" w:afterAutospacing="1"/>
    </w:pPr>
    <w:rPr>
      <w:rFonts w:ascii="Arial" w:eastAsia="Times New Roman" w:hAnsi="Arial" w:cs="Arial"/>
      <w:color w:val="000000"/>
      <w:kern w:val="0"/>
      <w:sz w:val="16"/>
      <w:szCs w:val="16"/>
      <w:lang w:eastAsia="en-AU"/>
    </w:rPr>
  </w:style>
  <w:style w:type="paragraph" w:customStyle="1" w:styleId="xl201">
    <w:name w:val="xl201"/>
    <w:basedOn w:val="Normal"/>
    <w:uiPriority w:val="99"/>
    <w:rsid w:val="00620770"/>
    <w:pPr>
      <w:pBdr>
        <w:left w:val="single" w:sz="4" w:space="0" w:color="auto"/>
      </w:pBdr>
      <w:suppressAutoHyphens w:val="0"/>
      <w:spacing w:before="100" w:beforeAutospacing="1" w:after="100" w:afterAutospacing="1"/>
    </w:pPr>
    <w:rPr>
      <w:rFonts w:ascii="Arial" w:eastAsia="Times New Roman" w:hAnsi="Arial" w:cs="Arial"/>
      <w:i/>
      <w:iCs/>
      <w:color w:val="auto"/>
      <w:kern w:val="0"/>
      <w:lang w:eastAsia="en-AU"/>
    </w:rPr>
  </w:style>
  <w:style w:type="paragraph" w:customStyle="1" w:styleId="xl202">
    <w:name w:val="xl202"/>
    <w:basedOn w:val="Normal"/>
    <w:uiPriority w:val="99"/>
    <w:rsid w:val="00620770"/>
    <w:pPr>
      <w:suppressAutoHyphens w:val="0"/>
      <w:spacing w:before="100" w:beforeAutospacing="1" w:after="100" w:afterAutospacing="1"/>
    </w:pPr>
    <w:rPr>
      <w:rFonts w:ascii="Arial" w:eastAsia="Times New Roman" w:hAnsi="Arial" w:cs="Arial"/>
      <w:color w:val="1F497D"/>
      <w:kern w:val="0"/>
      <w:lang w:eastAsia="en-AU"/>
    </w:rPr>
  </w:style>
  <w:style w:type="paragraph" w:customStyle="1" w:styleId="xl203">
    <w:name w:val="xl203"/>
    <w:basedOn w:val="Normal"/>
    <w:uiPriority w:val="99"/>
    <w:rsid w:val="00620770"/>
    <w:pPr>
      <w:pBdr>
        <w:right w:val="single" w:sz="4" w:space="0" w:color="auto"/>
      </w:pBdr>
      <w:suppressAutoHyphens w:val="0"/>
      <w:spacing w:before="100" w:beforeAutospacing="1" w:after="100" w:afterAutospacing="1"/>
      <w:jc w:val="right"/>
    </w:pPr>
    <w:rPr>
      <w:rFonts w:ascii="Arial" w:eastAsia="Times New Roman" w:hAnsi="Arial" w:cs="Arial"/>
      <w:color w:val="1F497D"/>
      <w:kern w:val="0"/>
      <w:lang w:eastAsia="en-AU"/>
    </w:rPr>
  </w:style>
  <w:style w:type="paragraph" w:customStyle="1" w:styleId="xl204">
    <w:name w:val="xl204"/>
    <w:basedOn w:val="Normal"/>
    <w:uiPriority w:val="99"/>
    <w:rsid w:val="00620770"/>
    <w:pPr>
      <w:pBdr>
        <w:left w:val="single" w:sz="4" w:space="0" w:color="auto"/>
      </w:pBdr>
      <w:suppressAutoHyphens w:val="0"/>
      <w:spacing w:before="100" w:beforeAutospacing="1" w:after="100" w:afterAutospacing="1"/>
    </w:pPr>
    <w:rPr>
      <w:rFonts w:ascii="Arial" w:eastAsia="Times New Roman" w:hAnsi="Arial" w:cs="Arial"/>
      <w:color w:val="1F497D"/>
      <w:kern w:val="0"/>
      <w:lang w:eastAsia="en-AU"/>
    </w:rPr>
  </w:style>
  <w:style w:type="paragraph" w:customStyle="1" w:styleId="xl205">
    <w:name w:val="xl205"/>
    <w:basedOn w:val="Normal"/>
    <w:uiPriority w:val="99"/>
    <w:rsid w:val="00620770"/>
    <w:pPr>
      <w:pBdr>
        <w:left w:val="single" w:sz="4" w:space="0" w:color="auto"/>
        <w:bottom w:val="single" w:sz="8" w:space="0" w:color="auto"/>
      </w:pBdr>
      <w:suppressAutoHyphens w:val="0"/>
      <w:spacing w:before="100" w:beforeAutospacing="1" w:after="100" w:afterAutospacing="1"/>
    </w:pPr>
    <w:rPr>
      <w:rFonts w:ascii="Arial" w:eastAsia="Times New Roman" w:hAnsi="Arial" w:cs="Arial"/>
      <w:color w:val="1F497D"/>
      <w:kern w:val="0"/>
      <w:lang w:eastAsia="en-AU"/>
    </w:rPr>
  </w:style>
  <w:style w:type="paragraph" w:customStyle="1" w:styleId="xl206">
    <w:name w:val="xl206"/>
    <w:basedOn w:val="Normal"/>
    <w:uiPriority w:val="99"/>
    <w:rsid w:val="00620770"/>
    <w:pPr>
      <w:pBdr>
        <w:bottom w:val="single" w:sz="8" w:space="0" w:color="auto"/>
      </w:pBdr>
      <w:suppressAutoHyphens w:val="0"/>
      <w:spacing w:before="100" w:beforeAutospacing="1" w:after="100" w:afterAutospacing="1"/>
    </w:pPr>
    <w:rPr>
      <w:rFonts w:ascii="Arial" w:eastAsia="Times New Roman" w:hAnsi="Arial" w:cs="Arial"/>
      <w:color w:val="1F497D"/>
      <w:kern w:val="0"/>
      <w:lang w:eastAsia="en-AU"/>
    </w:rPr>
  </w:style>
  <w:style w:type="paragraph" w:customStyle="1" w:styleId="xl207">
    <w:name w:val="xl207"/>
    <w:basedOn w:val="Normal"/>
    <w:uiPriority w:val="99"/>
    <w:rsid w:val="00620770"/>
    <w:pPr>
      <w:pBdr>
        <w:bottom w:val="single" w:sz="8" w:space="0" w:color="auto"/>
        <w:right w:val="single" w:sz="4" w:space="0" w:color="auto"/>
      </w:pBdr>
      <w:suppressAutoHyphens w:val="0"/>
      <w:spacing w:before="100" w:beforeAutospacing="1" w:after="100" w:afterAutospacing="1"/>
      <w:jc w:val="right"/>
    </w:pPr>
    <w:rPr>
      <w:rFonts w:ascii="Arial" w:eastAsia="Times New Roman" w:hAnsi="Arial" w:cs="Arial"/>
      <w:color w:val="1F497D"/>
      <w:kern w:val="0"/>
      <w:lang w:eastAsia="en-AU"/>
    </w:rPr>
  </w:style>
  <w:style w:type="paragraph" w:customStyle="1" w:styleId="xl208">
    <w:name w:val="xl208"/>
    <w:basedOn w:val="Normal"/>
    <w:uiPriority w:val="99"/>
    <w:rsid w:val="00620770"/>
    <w:pPr>
      <w:pBdr>
        <w:right w:val="single" w:sz="4" w:space="0" w:color="auto"/>
      </w:pBdr>
      <w:suppressAutoHyphens w:val="0"/>
      <w:spacing w:before="100" w:beforeAutospacing="1" w:after="100" w:afterAutospacing="1"/>
    </w:pPr>
    <w:rPr>
      <w:rFonts w:ascii="Arial" w:eastAsia="Times New Roman" w:hAnsi="Arial" w:cs="Arial"/>
      <w:color w:val="1F497D"/>
      <w:kern w:val="0"/>
      <w:lang w:eastAsia="en-AU"/>
    </w:rPr>
  </w:style>
  <w:style w:type="paragraph" w:customStyle="1" w:styleId="xl209">
    <w:name w:val="xl209"/>
    <w:basedOn w:val="Normal"/>
    <w:uiPriority w:val="99"/>
    <w:rsid w:val="00620770"/>
    <w:pPr>
      <w:pBdr>
        <w:bottom w:val="single" w:sz="8" w:space="0" w:color="auto"/>
        <w:right w:val="single" w:sz="4" w:space="0" w:color="auto"/>
      </w:pBdr>
      <w:suppressAutoHyphens w:val="0"/>
      <w:spacing w:before="100" w:beforeAutospacing="1" w:after="100" w:afterAutospacing="1"/>
    </w:pPr>
    <w:rPr>
      <w:rFonts w:ascii="Arial" w:eastAsia="Times New Roman" w:hAnsi="Arial" w:cs="Arial"/>
      <w:color w:val="1F497D"/>
      <w:kern w:val="0"/>
      <w:lang w:eastAsia="en-AU"/>
    </w:rPr>
  </w:style>
  <w:style w:type="paragraph" w:customStyle="1" w:styleId="xl210">
    <w:name w:val="xl210"/>
    <w:basedOn w:val="Normal"/>
    <w:uiPriority w:val="99"/>
    <w:rsid w:val="00620770"/>
    <w:pPr>
      <w:suppressAutoHyphens w:val="0"/>
      <w:spacing w:before="100" w:beforeAutospacing="1" w:after="100" w:afterAutospacing="1"/>
    </w:pPr>
    <w:rPr>
      <w:rFonts w:ascii="Times New Roman" w:eastAsia="Times New Roman" w:hAnsi="Times New Roman" w:cs="Times New Roman"/>
      <w:color w:val="1F497D"/>
      <w:kern w:val="0"/>
      <w:sz w:val="24"/>
      <w:szCs w:val="24"/>
      <w:lang w:eastAsia="en-AU"/>
    </w:rPr>
  </w:style>
  <w:style w:type="paragraph" w:customStyle="1" w:styleId="xl211">
    <w:name w:val="xl211"/>
    <w:basedOn w:val="Normal"/>
    <w:uiPriority w:val="99"/>
    <w:rsid w:val="00620770"/>
    <w:pPr>
      <w:pBdr>
        <w:right w:val="single" w:sz="8" w:space="0" w:color="auto"/>
      </w:pBdr>
      <w:suppressAutoHyphens w:val="0"/>
      <w:spacing w:before="100" w:beforeAutospacing="1" w:after="100" w:afterAutospacing="1"/>
    </w:pPr>
    <w:rPr>
      <w:rFonts w:ascii="Arial" w:eastAsia="Times New Roman" w:hAnsi="Arial" w:cs="Arial"/>
      <w:color w:val="1F497D"/>
      <w:kern w:val="0"/>
      <w:lang w:eastAsia="en-AU"/>
    </w:rPr>
  </w:style>
  <w:style w:type="paragraph" w:customStyle="1" w:styleId="xl212">
    <w:name w:val="xl212"/>
    <w:basedOn w:val="Normal"/>
    <w:uiPriority w:val="99"/>
    <w:rsid w:val="00620770"/>
    <w:pPr>
      <w:pBdr>
        <w:bottom w:val="single" w:sz="8" w:space="0" w:color="auto"/>
        <w:right w:val="single" w:sz="8" w:space="0" w:color="auto"/>
      </w:pBdr>
      <w:suppressAutoHyphens w:val="0"/>
      <w:spacing w:before="100" w:beforeAutospacing="1" w:after="100" w:afterAutospacing="1"/>
    </w:pPr>
    <w:rPr>
      <w:rFonts w:ascii="Arial" w:eastAsia="Times New Roman" w:hAnsi="Arial" w:cs="Arial"/>
      <w:color w:val="1F497D"/>
      <w:kern w:val="0"/>
      <w:lang w:eastAsia="en-AU"/>
    </w:rPr>
  </w:style>
  <w:style w:type="paragraph" w:customStyle="1" w:styleId="xl213">
    <w:name w:val="xl213"/>
    <w:basedOn w:val="Normal"/>
    <w:uiPriority w:val="99"/>
    <w:rsid w:val="00620770"/>
    <w:pPr>
      <w:pBdr>
        <w:top w:val="single" w:sz="4" w:space="0" w:color="auto"/>
        <w:bottom w:val="single" w:sz="4" w:space="0" w:color="auto"/>
        <w:right w:val="single" w:sz="8" w:space="0" w:color="auto"/>
      </w:pBdr>
      <w:suppressAutoHyphens w:val="0"/>
      <w:spacing w:before="100" w:beforeAutospacing="1" w:after="100" w:afterAutospacing="1"/>
    </w:pPr>
    <w:rPr>
      <w:rFonts w:ascii="Arial" w:eastAsia="Times New Roman" w:hAnsi="Arial" w:cs="Arial"/>
      <w:color w:val="000000"/>
      <w:kern w:val="0"/>
      <w:sz w:val="16"/>
      <w:szCs w:val="16"/>
      <w:lang w:eastAsia="en-AU"/>
    </w:rPr>
  </w:style>
  <w:style w:type="paragraph" w:customStyle="1" w:styleId="xl214">
    <w:name w:val="xl214"/>
    <w:basedOn w:val="Normal"/>
    <w:uiPriority w:val="99"/>
    <w:rsid w:val="00620770"/>
    <w:pPr>
      <w:pBdr>
        <w:top w:val="single" w:sz="8" w:space="0" w:color="auto"/>
        <w:bottom w:val="single" w:sz="4" w:space="0" w:color="auto"/>
      </w:pBdr>
      <w:suppressAutoHyphens w:val="0"/>
      <w:spacing w:before="100" w:beforeAutospacing="1" w:after="100" w:afterAutospacing="1"/>
      <w:jc w:val="center"/>
    </w:pPr>
    <w:rPr>
      <w:rFonts w:ascii="Arial" w:eastAsia="Times New Roman" w:hAnsi="Arial" w:cs="Arial"/>
      <w:b/>
      <w:bCs/>
      <w:color w:val="000000"/>
      <w:kern w:val="0"/>
      <w:sz w:val="16"/>
      <w:szCs w:val="16"/>
      <w:lang w:eastAsia="en-AU"/>
    </w:rPr>
  </w:style>
  <w:style w:type="paragraph" w:customStyle="1" w:styleId="xl215">
    <w:name w:val="xl215"/>
    <w:basedOn w:val="Normal"/>
    <w:uiPriority w:val="99"/>
    <w:rsid w:val="00620770"/>
    <w:pPr>
      <w:pBdr>
        <w:top w:val="single" w:sz="8" w:space="0" w:color="auto"/>
        <w:bottom w:val="single" w:sz="4" w:space="0" w:color="auto"/>
        <w:right w:val="single" w:sz="8" w:space="0" w:color="auto"/>
      </w:pBdr>
      <w:suppressAutoHyphens w:val="0"/>
      <w:spacing w:before="100" w:beforeAutospacing="1" w:after="100" w:afterAutospacing="1"/>
      <w:jc w:val="center"/>
    </w:pPr>
    <w:rPr>
      <w:rFonts w:ascii="Arial" w:eastAsia="Times New Roman" w:hAnsi="Arial" w:cs="Arial"/>
      <w:b/>
      <w:bCs/>
      <w:color w:val="000000"/>
      <w:kern w:val="0"/>
      <w:sz w:val="16"/>
      <w:szCs w:val="16"/>
      <w:lang w:eastAsia="en-AU"/>
    </w:rPr>
  </w:style>
  <w:style w:type="paragraph" w:customStyle="1" w:styleId="xl216">
    <w:name w:val="xl216"/>
    <w:basedOn w:val="Normal"/>
    <w:uiPriority w:val="99"/>
    <w:rsid w:val="00620770"/>
    <w:pPr>
      <w:pBdr>
        <w:top w:val="single" w:sz="8" w:space="0" w:color="auto"/>
        <w:left w:val="single" w:sz="4" w:space="0" w:color="auto"/>
        <w:bottom w:val="single" w:sz="4" w:space="0" w:color="auto"/>
      </w:pBdr>
      <w:suppressAutoHyphens w:val="0"/>
      <w:spacing w:before="100" w:beforeAutospacing="1" w:after="100" w:afterAutospacing="1"/>
      <w:jc w:val="center"/>
    </w:pPr>
    <w:rPr>
      <w:rFonts w:ascii="Arial" w:eastAsia="Times New Roman" w:hAnsi="Arial" w:cs="Arial"/>
      <w:b/>
      <w:bCs/>
      <w:color w:val="000000"/>
      <w:kern w:val="0"/>
      <w:sz w:val="16"/>
      <w:szCs w:val="16"/>
      <w:lang w:eastAsia="en-AU"/>
    </w:rPr>
  </w:style>
  <w:style w:type="paragraph" w:customStyle="1" w:styleId="xl217">
    <w:name w:val="xl217"/>
    <w:basedOn w:val="Normal"/>
    <w:uiPriority w:val="99"/>
    <w:rsid w:val="00620770"/>
    <w:pPr>
      <w:pBdr>
        <w:top w:val="single" w:sz="8" w:space="0" w:color="auto"/>
        <w:bottom w:val="single" w:sz="4" w:space="0" w:color="auto"/>
        <w:right w:val="single" w:sz="4" w:space="0" w:color="auto"/>
      </w:pBdr>
      <w:suppressAutoHyphens w:val="0"/>
      <w:spacing w:before="100" w:beforeAutospacing="1" w:after="100" w:afterAutospacing="1"/>
      <w:jc w:val="center"/>
    </w:pPr>
    <w:rPr>
      <w:rFonts w:ascii="Arial" w:eastAsia="Times New Roman" w:hAnsi="Arial" w:cs="Arial"/>
      <w:b/>
      <w:bCs/>
      <w:color w:val="000000"/>
      <w:kern w:val="0"/>
      <w:sz w:val="16"/>
      <w:szCs w:val="16"/>
      <w:lang w:eastAsia="en-AU"/>
    </w:rPr>
  </w:style>
  <w:style w:type="table" w:customStyle="1" w:styleId="PlainTable211">
    <w:name w:val="Plain Table 211"/>
    <w:basedOn w:val="TableNormal"/>
    <w:uiPriority w:val="42"/>
    <w:rsid w:val="00620770"/>
    <w:pPr>
      <w:spacing w:before="0" w:after="0"/>
    </w:pPr>
    <w:rPr>
      <w:color w:val="auto"/>
      <w:sz w:val="22"/>
      <w:szCs w:val="22"/>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paragraph" w:customStyle="1" w:styleId="Appendix11-20Heading">
    <w:name w:val="Appendix 11-20 Heading"/>
    <w:basedOn w:val="Appendix-Heading"/>
    <w:link w:val="Appendix11-20HeadingChar"/>
    <w:rsid w:val="00620770"/>
  </w:style>
  <w:style w:type="character" w:customStyle="1" w:styleId="Appendix-HeadingChar">
    <w:name w:val="Appendix - Heading Char"/>
    <w:basedOn w:val="Heading1Char"/>
    <w:link w:val="Appendix-Heading"/>
    <w:uiPriority w:val="99"/>
    <w:rsid w:val="00620770"/>
    <w:rPr>
      <w:rFonts w:ascii="Cambria" w:eastAsia="Times New Roman" w:hAnsi="Cambria" w:cs="Times New Roman"/>
      <w:b/>
      <w:bCs/>
      <w:caps/>
      <w:color w:val="081E3E" w:themeColor="text2"/>
      <w:kern w:val="12"/>
      <w:sz w:val="24"/>
      <w:szCs w:val="28"/>
    </w:rPr>
  </w:style>
  <w:style w:type="character" w:customStyle="1" w:styleId="Appendix11-20HeadingChar">
    <w:name w:val="Appendix 11-20 Heading Char"/>
    <w:basedOn w:val="Appendix-HeadingChar"/>
    <w:link w:val="Appendix11-20Heading"/>
    <w:rsid w:val="00620770"/>
    <w:rPr>
      <w:rFonts w:ascii="Cambria" w:eastAsia="Times New Roman" w:hAnsi="Cambria" w:cs="Times New Roman"/>
      <w:b/>
      <w:bCs/>
      <w:caps/>
      <w:color w:val="081E3E" w:themeColor="text2"/>
      <w:kern w:val="12"/>
      <w:sz w:val="24"/>
      <w:szCs w:val="28"/>
    </w:rPr>
  </w:style>
  <w:style w:type="paragraph" w:styleId="NoteHeading">
    <w:name w:val="Note Heading"/>
    <w:basedOn w:val="Normal"/>
    <w:next w:val="Normal"/>
    <w:link w:val="NoteHeadingChar"/>
    <w:uiPriority w:val="99"/>
    <w:unhideWhenUsed/>
    <w:rsid w:val="00620770"/>
    <w:pPr>
      <w:tabs>
        <w:tab w:val="left" w:pos="720"/>
        <w:tab w:val="left" w:pos="851"/>
      </w:tabs>
      <w:suppressAutoHyphens w:val="0"/>
      <w:spacing w:before="0" w:after="0"/>
    </w:pPr>
    <w:rPr>
      <w:rFonts w:ascii="Times New Roman" w:eastAsia="Calibri" w:hAnsi="Times New Roman" w:cs="Times New Roman"/>
      <w:color w:val="auto"/>
      <w:kern w:val="0"/>
      <w:sz w:val="24"/>
      <w:szCs w:val="22"/>
    </w:rPr>
  </w:style>
  <w:style w:type="character" w:customStyle="1" w:styleId="NoteHeadingChar">
    <w:name w:val="Note Heading Char"/>
    <w:basedOn w:val="DefaultParagraphFont"/>
    <w:link w:val="NoteHeading"/>
    <w:uiPriority w:val="99"/>
    <w:rsid w:val="00620770"/>
    <w:rPr>
      <w:rFonts w:ascii="Times New Roman" w:eastAsia="Calibri" w:hAnsi="Times New Roman" w:cs="Times New Roman"/>
      <w:color w:val="auto"/>
      <w:sz w:val="24"/>
      <w:szCs w:val="22"/>
    </w:rPr>
  </w:style>
  <w:style w:type="paragraph" w:styleId="BodyTextIndent">
    <w:name w:val="Body Text Indent"/>
    <w:basedOn w:val="Normal"/>
    <w:link w:val="BodyTextIndentChar"/>
    <w:uiPriority w:val="99"/>
    <w:unhideWhenUsed/>
    <w:rsid w:val="00620770"/>
    <w:pPr>
      <w:tabs>
        <w:tab w:val="left" w:pos="720"/>
        <w:tab w:val="left" w:pos="851"/>
      </w:tabs>
      <w:suppressAutoHyphens w:val="0"/>
      <w:spacing w:before="240" w:after="120" w:line="264" w:lineRule="auto"/>
      <w:ind w:left="283"/>
    </w:pPr>
    <w:rPr>
      <w:rFonts w:ascii="Times New Roman" w:eastAsia="Calibri" w:hAnsi="Times New Roman" w:cs="Times New Roman"/>
      <w:color w:val="auto"/>
      <w:kern w:val="0"/>
      <w:sz w:val="24"/>
      <w:szCs w:val="22"/>
    </w:rPr>
  </w:style>
  <w:style w:type="character" w:customStyle="1" w:styleId="BodyTextIndentChar">
    <w:name w:val="Body Text Indent Char"/>
    <w:basedOn w:val="DefaultParagraphFont"/>
    <w:link w:val="BodyTextIndent"/>
    <w:uiPriority w:val="99"/>
    <w:rsid w:val="00620770"/>
    <w:rPr>
      <w:rFonts w:ascii="Times New Roman" w:eastAsia="Calibri" w:hAnsi="Times New Roman" w:cs="Times New Roman"/>
      <w:color w:val="auto"/>
      <w:sz w:val="24"/>
      <w:szCs w:val="22"/>
    </w:rPr>
  </w:style>
  <w:style w:type="numbering" w:customStyle="1" w:styleId="NoList3">
    <w:name w:val="No List3"/>
    <w:next w:val="NoList"/>
    <w:uiPriority w:val="99"/>
    <w:semiHidden/>
    <w:unhideWhenUsed/>
    <w:rsid w:val="00620770"/>
  </w:style>
  <w:style w:type="table" w:customStyle="1" w:styleId="TableGrid4">
    <w:name w:val="Table Grid4"/>
    <w:basedOn w:val="TableNormal"/>
    <w:next w:val="TableGrid"/>
    <w:uiPriority w:val="59"/>
    <w:rsid w:val="00620770"/>
    <w:pPr>
      <w:spacing w:before="0" w:after="0"/>
    </w:pPr>
    <w:rPr>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ibliography">
    <w:name w:val="Bibliography"/>
    <w:basedOn w:val="Normal"/>
    <w:next w:val="Normal"/>
    <w:uiPriority w:val="37"/>
    <w:semiHidden/>
    <w:unhideWhenUsed/>
    <w:rsid w:val="00620770"/>
    <w:pPr>
      <w:tabs>
        <w:tab w:val="left" w:pos="720"/>
        <w:tab w:val="left" w:pos="851"/>
      </w:tabs>
      <w:suppressAutoHyphens w:val="0"/>
      <w:spacing w:before="240" w:after="240" w:line="264" w:lineRule="auto"/>
    </w:pPr>
    <w:rPr>
      <w:rFonts w:ascii="Times New Roman" w:eastAsia="Calibri" w:hAnsi="Times New Roman" w:cs="Times New Roman"/>
      <w:color w:val="auto"/>
      <w:kern w:val="0"/>
      <w:sz w:val="24"/>
      <w:szCs w:val="22"/>
    </w:rPr>
  </w:style>
  <w:style w:type="paragraph" w:customStyle="1" w:styleId="BlockText1">
    <w:name w:val="Block Text1"/>
    <w:basedOn w:val="Normal"/>
    <w:next w:val="BlockText"/>
    <w:uiPriority w:val="99"/>
    <w:semiHidden/>
    <w:unhideWhenUsed/>
    <w:rsid w:val="00620770"/>
    <w:pPr>
      <w:pBdr>
        <w:top w:val="single" w:sz="2" w:space="10" w:color="4F81BD" w:shadow="1" w:frame="1"/>
        <w:left w:val="single" w:sz="2" w:space="10" w:color="4F81BD" w:shadow="1" w:frame="1"/>
        <w:bottom w:val="single" w:sz="2" w:space="10" w:color="4F81BD" w:shadow="1" w:frame="1"/>
        <w:right w:val="single" w:sz="2" w:space="10" w:color="4F81BD" w:shadow="1" w:frame="1"/>
      </w:pBdr>
      <w:tabs>
        <w:tab w:val="left" w:pos="720"/>
        <w:tab w:val="left" w:pos="851"/>
      </w:tabs>
      <w:suppressAutoHyphens w:val="0"/>
      <w:spacing w:before="240" w:after="240" w:line="264" w:lineRule="auto"/>
      <w:ind w:left="1152" w:right="1152"/>
    </w:pPr>
    <w:rPr>
      <w:rFonts w:eastAsia="Times New Roman"/>
      <w:i/>
      <w:iCs/>
      <w:color w:val="4F81BD"/>
      <w:kern w:val="0"/>
      <w:sz w:val="24"/>
      <w:szCs w:val="22"/>
    </w:rPr>
  </w:style>
  <w:style w:type="paragraph" w:styleId="BodyText2">
    <w:name w:val="Body Text 2"/>
    <w:basedOn w:val="Normal"/>
    <w:link w:val="BodyText2Char"/>
    <w:uiPriority w:val="99"/>
    <w:semiHidden/>
    <w:unhideWhenUsed/>
    <w:rsid w:val="00620770"/>
    <w:pPr>
      <w:tabs>
        <w:tab w:val="left" w:pos="720"/>
        <w:tab w:val="left" w:pos="851"/>
      </w:tabs>
      <w:suppressAutoHyphens w:val="0"/>
      <w:spacing w:before="240" w:after="120" w:line="480" w:lineRule="auto"/>
    </w:pPr>
    <w:rPr>
      <w:rFonts w:ascii="Times New Roman" w:eastAsia="Calibri" w:hAnsi="Times New Roman" w:cs="Times New Roman"/>
      <w:color w:val="auto"/>
      <w:kern w:val="0"/>
      <w:sz w:val="24"/>
      <w:szCs w:val="22"/>
    </w:rPr>
  </w:style>
  <w:style w:type="character" w:customStyle="1" w:styleId="BodyText2Char">
    <w:name w:val="Body Text 2 Char"/>
    <w:basedOn w:val="DefaultParagraphFont"/>
    <w:link w:val="BodyText2"/>
    <w:uiPriority w:val="99"/>
    <w:semiHidden/>
    <w:rsid w:val="00620770"/>
    <w:rPr>
      <w:rFonts w:ascii="Times New Roman" w:eastAsia="Calibri" w:hAnsi="Times New Roman" w:cs="Times New Roman"/>
      <w:color w:val="auto"/>
      <w:sz w:val="24"/>
      <w:szCs w:val="22"/>
    </w:rPr>
  </w:style>
  <w:style w:type="paragraph" w:styleId="BodyText3">
    <w:name w:val="Body Text 3"/>
    <w:basedOn w:val="Normal"/>
    <w:link w:val="BodyText3Char"/>
    <w:uiPriority w:val="99"/>
    <w:semiHidden/>
    <w:unhideWhenUsed/>
    <w:rsid w:val="00620770"/>
    <w:pPr>
      <w:tabs>
        <w:tab w:val="left" w:pos="720"/>
        <w:tab w:val="left" w:pos="851"/>
      </w:tabs>
      <w:suppressAutoHyphens w:val="0"/>
      <w:spacing w:before="240" w:after="120" w:line="264" w:lineRule="auto"/>
    </w:pPr>
    <w:rPr>
      <w:rFonts w:ascii="Times New Roman" w:eastAsia="Calibri" w:hAnsi="Times New Roman" w:cs="Times New Roman"/>
      <w:color w:val="auto"/>
      <w:kern w:val="0"/>
      <w:sz w:val="16"/>
      <w:szCs w:val="16"/>
    </w:rPr>
  </w:style>
  <w:style w:type="character" w:customStyle="1" w:styleId="BodyText3Char">
    <w:name w:val="Body Text 3 Char"/>
    <w:basedOn w:val="DefaultParagraphFont"/>
    <w:link w:val="BodyText3"/>
    <w:uiPriority w:val="99"/>
    <w:semiHidden/>
    <w:rsid w:val="00620770"/>
    <w:rPr>
      <w:rFonts w:ascii="Times New Roman" w:eastAsia="Calibri" w:hAnsi="Times New Roman" w:cs="Times New Roman"/>
      <w:color w:val="auto"/>
      <w:sz w:val="16"/>
      <w:szCs w:val="16"/>
    </w:rPr>
  </w:style>
  <w:style w:type="paragraph" w:styleId="BodyTextFirstIndent">
    <w:name w:val="Body Text First Indent"/>
    <w:basedOn w:val="BodyText"/>
    <w:link w:val="BodyTextFirstIndentChar"/>
    <w:uiPriority w:val="99"/>
    <w:semiHidden/>
    <w:unhideWhenUsed/>
    <w:rsid w:val="00620770"/>
    <w:pPr>
      <w:spacing w:before="240" w:after="240" w:line="264" w:lineRule="auto"/>
      <w:ind w:firstLine="360"/>
    </w:pPr>
    <w:rPr>
      <w:rFonts w:eastAsia="Calibri"/>
      <w:szCs w:val="22"/>
      <w:lang w:eastAsia="en-US"/>
    </w:rPr>
  </w:style>
  <w:style w:type="character" w:customStyle="1" w:styleId="BodyTextFirstIndentChar">
    <w:name w:val="Body Text First Indent Char"/>
    <w:basedOn w:val="BodyTextChar"/>
    <w:link w:val="BodyTextFirstIndent"/>
    <w:uiPriority w:val="99"/>
    <w:semiHidden/>
    <w:rsid w:val="00620770"/>
    <w:rPr>
      <w:rFonts w:ascii="Times New Roman" w:eastAsia="Calibri" w:hAnsi="Times New Roman" w:cs="Times New Roman"/>
      <w:color w:val="auto"/>
      <w:sz w:val="24"/>
      <w:szCs w:val="22"/>
      <w:lang w:eastAsia="en-AU"/>
    </w:rPr>
  </w:style>
  <w:style w:type="paragraph" w:styleId="BodyTextFirstIndent2">
    <w:name w:val="Body Text First Indent 2"/>
    <w:basedOn w:val="BodyTextIndent"/>
    <w:link w:val="BodyTextFirstIndent2Char"/>
    <w:uiPriority w:val="99"/>
    <w:semiHidden/>
    <w:unhideWhenUsed/>
    <w:rsid w:val="00620770"/>
    <w:pPr>
      <w:spacing w:after="240"/>
      <w:ind w:left="360" w:firstLine="360"/>
    </w:pPr>
  </w:style>
  <w:style w:type="character" w:customStyle="1" w:styleId="BodyTextFirstIndent2Char">
    <w:name w:val="Body Text First Indent 2 Char"/>
    <w:basedOn w:val="BodyTextIndentChar"/>
    <w:link w:val="BodyTextFirstIndent2"/>
    <w:uiPriority w:val="99"/>
    <w:semiHidden/>
    <w:rsid w:val="00620770"/>
    <w:rPr>
      <w:rFonts w:ascii="Times New Roman" w:eastAsia="Calibri" w:hAnsi="Times New Roman" w:cs="Times New Roman"/>
      <w:color w:val="auto"/>
      <w:sz w:val="24"/>
      <w:szCs w:val="22"/>
    </w:rPr>
  </w:style>
  <w:style w:type="paragraph" w:styleId="BodyTextIndent2">
    <w:name w:val="Body Text Indent 2"/>
    <w:basedOn w:val="Normal"/>
    <w:link w:val="BodyTextIndent2Char"/>
    <w:uiPriority w:val="99"/>
    <w:semiHidden/>
    <w:unhideWhenUsed/>
    <w:rsid w:val="00620770"/>
    <w:pPr>
      <w:tabs>
        <w:tab w:val="left" w:pos="720"/>
        <w:tab w:val="left" w:pos="851"/>
      </w:tabs>
      <w:suppressAutoHyphens w:val="0"/>
      <w:spacing w:before="240" w:after="120" w:line="480" w:lineRule="auto"/>
      <w:ind w:left="283"/>
    </w:pPr>
    <w:rPr>
      <w:rFonts w:ascii="Times New Roman" w:eastAsia="Calibri" w:hAnsi="Times New Roman" w:cs="Times New Roman"/>
      <w:color w:val="auto"/>
      <w:kern w:val="0"/>
      <w:sz w:val="24"/>
      <w:szCs w:val="22"/>
    </w:rPr>
  </w:style>
  <w:style w:type="character" w:customStyle="1" w:styleId="BodyTextIndent2Char">
    <w:name w:val="Body Text Indent 2 Char"/>
    <w:basedOn w:val="DefaultParagraphFont"/>
    <w:link w:val="BodyTextIndent2"/>
    <w:uiPriority w:val="99"/>
    <w:semiHidden/>
    <w:rsid w:val="00620770"/>
    <w:rPr>
      <w:rFonts w:ascii="Times New Roman" w:eastAsia="Calibri" w:hAnsi="Times New Roman" w:cs="Times New Roman"/>
      <w:color w:val="auto"/>
      <w:sz w:val="24"/>
      <w:szCs w:val="22"/>
    </w:rPr>
  </w:style>
  <w:style w:type="paragraph" w:styleId="BodyTextIndent3">
    <w:name w:val="Body Text Indent 3"/>
    <w:basedOn w:val="Normal"/>
    <w:link w:val="BodyTextIndent3Char"/>
    <w:uiPriority w:val="99"/>
    <w:semiHidden/>
    <w:unhideWhenUsed/>
    <w:rsid w:val="00620770"/>
    <w:pPr>
      <w:tabs>
        <w:tab w:val="left" w:pos="720"/>
        <w:tab w:val="left" w:pos="851"/>
      </w:tabs>
      <w:suppressAutoHyphens w:val="0"/>
      <w:spacing w:before="240" w:after="120" w:line="264" w:lineRule="auto"/>
      <w:ind w:left="283"/>
    </w:pPr>
    <w:rPr>
      <w:rFonts w:ascii="Times New Roman" w:eastAsia="Calibri" w:hAnsi="Times New Roman" w:cs="Times New Roman"/>
      <w:color w:val="auto"/>
      <w:kern w:val="0"/>
      <w:sz w:val="16"/>
      <w:szCs w:val="16"/>
    </w:rPr>
  </w:style>
  <w:style w:type="character" w:customStyle="1" w:styleId="BodyTextIndent3Char">
    <w:name w:val="Body Text Indent 3 Char"/>
    <w:basedOn w:val="DefaultParagraphFont"/>
    <w:link w:val="BodyTextIndent3"/>
    <w:uiPriority w:val="99"/>
    <w:semiHidden/>
    <w:rsid w:val="00620770"/>
    <w:rPr>
      <w:rFonts w:ascii="Times New Roman" w:eastAsia="Calibri" w:hAnsi="Times New Roman" w:cs="Times New Roman"/>
      <w:color w:val="auto"/>
      <w:sz w:val="16"/>
      <w:szCs w:val="16"/>
    </w:rPr>
  </w:style>
  <w:style w:type="paragraph" w:styleId="Closing">
    <w:name w:val="Closing"/>
    <w:basedOn w:val="Normal"/>
    <w:link w:val="ClosingChar"/>
    <w:uiPriority w:val="99"/>
    <w:semiHidden/>
    <w:unhideWhenUsed/>
    <w:rsid w:val="00620770"/>
    <w:pPr>
      <w:tabs>
        <w:tab w:val="left" w:pos="720"/>
        <w:tab w:val="left" w:pos="851"/>
      </w:tabs>
      <w:suppressAutoHyphens w:val="0"/>
      <w:spacing w:before="0" w:after="0"/>
      <w:ind w:left="4252"/>
    </w:pPr>
    <w:rPr>
      <w:rFonts w:ascii="Times New Roman" w:eastAsia="Calibri" w:hAnsi="Times New Roman" w:cs="Times New Roman"/>
      <w:color w:val="auto"/>
      <w:kern w:val="0"/>
      <w:sz w:val="24"/>
      <w:szCs w:val="22"/>
    </w:rPr>
  </w:style>
  <w:style w:type="character" w:customStyle="1" w:styleId="ClosingChar">
    <w:name w:val="Closing Char"/>
    <w:basedOn w:val="DefaultParagraphFont"/>
    <w:link w:val="Closing"/>
    <w:uiPriority w:val="99"/>
    <w:semiHidden/>
    <w:rsid w:val="00620770"/>
    <w:rPr>
      <w:rFonts w:ascii="Times New Roman" w:eastAsia="Calibri" w:hAnsi="Times New Roman" w:cs="Times New Roman"/>
      <w:color w:val="auto"/>
      <w:sz w:val="24"/>
      <w:szCs w:val="22"/>
    </w:rPr>
  </w:style>
  <w:style w:type="paragraph" w:styleId="Date">
    <w:name w:val="Date"/>
    <w:basedOn w:val="Normal"/>
    <w:next w:val="Normal"/>
    <w:link w:val="DateChar"/>
    <w:uiPriority w:val="99"/>
    <w:semiHidden/>
    <w:unhideWhenUsed/>
    <w:rsid w:val="00620770"/>
    <w:pPr>
      <w:tabs>
        <w:tab w:val="left" w:pos="720"/>
        <w:tab w:val="left" w:pos="851"/>
      </w:tabs>
      <w:suppressAutoHyphens w:val="0"/>
      <w:spacing w:before="240" w:after="240" w:line="264" w:lineRule="auto"/>
    </w:pPr>
    <w:rPr>
      <w:rFonts w:ascii="Times New Roman" w:eastAsia="Calibri" w:hAnsi="Times New Roman" w:cs="Times New Roman"/>
      <w:color w:val="auto"/>
      <w:kern w:val="0"/>
      <w:sz w:val="24"/>
      <w:szCs w:val="22"/>
    </w:rPr>
  </w:style>
  <w:style w:type="character" w:customStyle="1" w:styleId="DateChar">
    <w:name w:val="Date Char"/>
    <w:basedOn w:val="DefaultParagraphFont"/>
    <w:link w:val="Date"/>
    <w:uiPriority w:val="99"/>
    <w:semiHidden/>
    <w:rsid w:val="00620770"/>
    <w:rPr>
      <w:rFonts w:ascii="Times New Roman" w:eastAsia="Calibri" w:hAnsi="Times New Roman" w:cs="Times New Roman"/>
      <w:color w:val="auto"/>
      <w:sz w:val="24"/>
      <w:szCs w:val="22"/>
    </w:rPr>
  </w:style>
  <w:style w:type="paragraph" w:styleId="DocumentMap">
    <w:name w:val="Document Map"/>
    <w:basedOn w:val="Normal"/>
    <w:link w:val="DocumentMapChar"/>
    <w:uiPriority w:val="99"/>
    <w:semiHidden/>
    <w:unhideWhenUsed/>
    <w:rsid w:val="00620770"/>
    <w:pPr>
      <w:tabs>
        <w:tab w:val="left" w:pos="720"/>
        <w:tab w:val="left" w:pos="851"/>
      </w:tabs>
      <w:suppressAutoHyphens w:val="0"/>
      <w:spacing w:before="0" w:after="0"/>
    </w:pPr>
    <w:rPr>
      <w:rFonts w:ascii="Segoe UI" w:eastAsia="Calibri" w:hAnsi="Segoe UI" w:cs="Segoe UI"/>
      <w:color w:val="auto"/>
      <w:kern w:val="0"/>
      <w:sz w:val="16"/>
      <w:szCs w:val="16"/>
    </w:rPr>
  </w:style>
  <w:style w:type="character" w:customStyle="1" w:styleId="DocumentMapChar">
    <w:name w:val="Document Map Char"/>
    <w:basedOn w:val="DefaultParagraphFont"/>
    <w:link w:val="DocumentMap"/>
    <w:uiPriority w:val="99"/>
    <w:semiHidden/>
    <w:rsid w:val="00620770"/>
    <w:rPr>
      <w:rFonts w:ascii="Segoe UI" w:eastAsia="Calibri" w:hAnsi="Segoe UI" w:cs="Segoe UI"/>
      <w:color w:val="auto"/>
      <w:sz w:val="16"/>
      <w:szCs w:val="16"/>
    </w:rPr>
  </w:style>
  <w:style w:type="paragraph" w:styleId="E-mailSignature">
    <w:name w:val="E-mail Signature"/>
    <w:basedOn w:val="Normal"/>
    <w:link w:val="E-mailSignatureChar"/>
    <w:uiPriority w:val="99"/>
    <w:semiHidden/>
    <w:unhideWhenUsed/>
    <w:rsid w:val="00620770"/>
    <w:pPr>
      <w:tabs>
        <w:tab w:val="left" w:pos="720"/>
        <w:tab w:val="left" w:pos="851"/>
      </w:tabs>
      <w:suppressAutoHyphens w:val="0"/>
      <w:spacing w:before="0" w:after="0"/>
    </w:pPr>
    <w:rPr>
      <w:rFonts w:ascii="Times New Roman" w:eastAsia="Calibri" w:hAnsi="Times New Roman" w:cs="Times New Roman"/>
      <w:color w:val="auto"/>
      <w:kern w:val="0"/>
      <w:sz w:val="24"/>
      <w:szCs w:val="22"/>
    </w:rPr>
  </w:style>
  <w:style w:type="character" w:customStyle="1" w:styleId="E-mailSignatureChar">
    <w:name w:val="E-mail Signature Char"/>
    <w:basedOn w:val="DefaultParagraphFont"/>
    <w:link w:val="E-mailSignature"/>
    <w:uiPriority w:val="99"/>
    <w:semiHidden/>
    <w:rsid w:val="00620770"/>
    <w:rPr>
      <w:rFonts w:ascii="Times New Roman" w:eastAsia="Calibri" w:hAnsi="Times New Roman" w:cs="Times New Roman"/>
      <w:color w:val="auto"/>
      <w:sz w:val="24"/>
      <w:szCs w:val="22"/>
    </w:rPr>
  </w:style>
  <w:style w:type="paragraph" w:customStyle="1" w:styleId="EnvelopeAddress1">
    <w:name w:val="Envelope Address1"/>
    <w:basedOn w:val="Normal"/>
    <w:next w:val="EnvelopeAddress"/>
    <w:uiPriority w:val="99"/>
    <w:semiHidden/>
    <w:unhideWhenUsed/>
    <w:rsid w:val="00620770"/>
    <w:pPr>
      <w:framePr w:w="7920" w:h="1980" w:hRule="exact" w:hSpace="180" w:wrap="auto" w:hAnchor="page" w:xAlign="center" w:yAlign="bottom"/>
      <w:tabs>
        <w:tab w:val="left" w:pos="720"/>
        <w:tab w:val="left" w:pos="851"/>
      </w:tabs>
      <w:suppressAutoHyphens w:val="0"/>
      <w:spacing w:before="0" w:after="0"/>
      <w:ind w:left="2880"/>
    </w:pPr>
    <w:rPr>
      <w:rFonts w:ascii="Cambria" w:eastAsia="Times New Roman" w:hAnsi="Cambria" w:cs="Times New Roman"/>
      <w:color w:val="auto"/>
      <w:kern w:val="0"/>
      <w:sz w:val="24"/>
      <w:szCs w:val="24"/>
    </w:rPr>
  </w:style>
  <w:style w:type="paragraph" w:customStyle="1" w:styleId="EnvelopeReturn1">
    <w:name w:val="Envelope Return1"/>
    <w:basedOn w:val="Normal"/>
    <w:next w:val="EnvelopeReturn"/>
    <w:uiPriority w:val="99"/>
    <w:semiHidden/>
    <w:unhideWhenUsed/>
    <w:rsid w:val="00620770"/>
    <w:pPr>
      <w:tabs>
        <w:tab w:val="left" w:pos="720"/>
        <w:tab w:val="left" w:pos="851"/>
      </w:tabs>
      <w:suppressAutoHyphens w:val="0"/>
      <w:spacing w:before="0" w:after="0"/>
    </w:pPr>
    <w:rPr>
      <w:rFonts w:ascii="Cambria" w:eastAsia="Times New Roman" w:hAnsi="Cambria" w:cs="Times New Roman"/>
      <w:color w:val="auto"/>
      <w:kern w:val="0"/>
    </w:rPr>
  </w:style>
  <w:style w:type="paragraph" w:styleId="HTMLAddress">
    <w:name w:val="HTML Address"/>
    <w:basedOn w:val="Normal"/>
    <w:link w:val="HTMLAddressChar"/>
    <w:uiPriority w:val="99"/>
    <w:semiHidden/>
    <w:unhideWhenUsed/>
    <w:rsid w:val="00620770"/>
    <w:pPr>
      <w:tabs>
        <w:tab w:val="left" w:pos="720"/>
        <w:tab w:val="left" w:pos="851"/>
      </w:tabs>
      <w:suppressAutoHyphens w:val="0"/>
      <w:spacing w:before="0" w:after="0"/>
    </w:pPr>
    <w:rPr>
      <w:rFonts w:ascii="Times New Roman" w:eastAsia="Calibri" w:hAnsi="Times New Roman" w:cs="Times New Roman"/>
      <w:i/>
      <w:iCs/>
      <w:color w:val="auto"/>
      <w:kern w:val="0"/>
      <w:sz w:val="24"/>
      <w:szCs w:val="22"/>
    </w:rPr>
  </w:style>
  <w:style w:type="character" w:customStyle="1" w:styleId="HTMLAddressChar">
    <w:name w:val="HTML Address Char"/>
    <w:basedOn w:val="DefaultParagraphFont"/>
    <w:link w:val="HTMLAddress"/>
    <w:uiPriority w:val="99"/>
    <w:semiHidden/>
    <w:rsid w:val="00620770"/>
    <w:rPr>
      <w:rFonts w:ascii="Times New Roman" w:eastAsia="Calibri" w:hAnsi="Times New Roman" w:cs="Times New Roman"/>
      <w:i/>
      <w:iCs/>
      <w:color w:val="auto"/>
      <w:sz w:val="24"/>
      <w:szCs w:val="22"/>
    </w:rPr>
  </w:style>
  <w:style w:type="paragraph" w:styleId="HTMLPreformatted">
    <w:name w:val="HTML Preformatted"/>
    <w:basedOn w:val="Normal"/>
    <w:link w:val="HTMLPreformattedChar"/>
    <w:uiPriority w:val="99"/>
    <w:semiHidden/>
    <w:unhideWhenUsed/>
    <w:rsid w:val="00620770"/>
    <w:pPr>
      <w:tabs>
        <w:tab w:val="left" w:pos="720"/>
        <w:tab w:val="left" w:pos="851"/>
      </w:tabs>
      <w:suppressAutoHyphens w:val="0"/>
      <w:spacing w:before="0" w:after="0"/>
    </w:pPr>
    <w:rPr>
      <w:rFonts w:ascii="Consolas" w:eastAsia="Calibri" w:hAnsi="Consolas" w:cs="Times New Roman"/>
      <w:color w:val="auto"/>
      <w:kern w:val="0"/>
    </w:rPr>
  </w:style>
  <w:style w:type="character" w:customStyle="1" w:styleId="HTMLPreformattedChar">
    <w:name w:val="HTML Preformatted Char"/>
    <w:basedOn w:val="DefaultParagraphFont"/>
    <w:link w:val="HTMLPreformatted"/>
    <w:uiPriority w:val="99"/>
    <w:semiHidden/>
    <w:rsid w:val="00620770"/>
    <w:rPr>
      <w:rFonts w:ascii="Consolas" w:eastAsia="Calibri" w:hAnsi="Consolas" w:cs="Times New Roman"/>
      <w:color w:val="auto"/>
    </w:rPr>
  </w:style>
  <w:style w:type="paragraph" w:styleId="Index1">
    <w:name w:val="index 1"/>
    <w:basedOn w:val="Normal"/>
    <w:next w:val="Normal"/>
    <w:autoRedefine/>
    <w:uiPriority w:val="99"/>
    <w:semiHidden/>
    <w:unhideWhenUsed/>
    <w:rsid w:val="00620770"/>
    <w:pPr>
      <w:suppressAutoHyphens w:val="0"/>
      <w:spacing w:before="0" w:after="0"/>
      <w:ind w:left="240" w:hanging="240"/>
    </w:pPr>
    <w:rPr>
      <w:rFonts w:ascii="Times New Roman" w:eastAsia="Calibri" w:hAnsi="Times New Roman" w:cs="Times New Roman"/>
      <w:color w:val="auto"/>
      <w:kern w:val="0"/>
      <w:sz w:val="24"/>
      <w:szCs w:val="22"/>
    </w:rPr>
  </w:style>
  <w:style w:type="paragraph" w:styleId="Index2">
    <w:name w:val="index 2"/>
    <w:basedOn w:val="Normal"/>
    <w:next w:val="Normal"/>
    <w:autoRedefine/>
    <w:uiPriority w:val="99"/>
    <w:semiHidden/>
    <w:unhideWhenUsed/>
    <w:rsid w:val="00620770"/>
    <w:pPr>
      <w:suppressAutoHyphens w:val="0"/>
      <w:spacing w:before="0" w:after="0"/>
      <w:ind w:left="480" w:hanging="240"/>
    </w:pPr>
    <w:rPr>
      <w:rFonts w:ascii="Times New Roman" w:eastAsia="Calibri" w:hAnsi="Times New Roman" w:cs="Times New Roman"/>
      <w:color w:val="auto"/>
      <w:kern w:val="0"/>
      <w:sz w:val="24"/>
      <w:szCs w:val="22"/>
    </w:rPr>
  </w:style>
  <w:style w:type="paragraph" w:styleId="Index3">
    <w:name w:val="index 3"/>
    <w:basedOn w:val="Normal"/>
    <w:next w:val="Normal"/>
    <w:autoRedefine/>
    <w:uiPriority w:val="99"/>
    <w:semiHidden/>
    <w:unhideWhenUsed/>
    <w:rsid w:val="00620770"/>
    <w:pPr>
      <w:suppressAutoHyphens w:val="0"/>
      <w:spacing w:before="0" w:after="0"/>
      <w:ind w:left="720" w:hanging="240"/>
    </w:pPr>
    <w:rPr>
      <w:rFonts w:ascii="Times New Roman" w:eastAsia="Calibri" w:hAnsi="Times New Roman" w:cs="Times New Roman"/>
      <w:color w:val="auto"/>
      <w:kern w:val="0"/>
      <w:sz w:val="24"/>
      <w:szCs w:val="22"/>
    </w:rPr>
  </w:style>
  <w:style w:type="paragraph" w:styleId="Index4">
    <w:name w:val="index 4"/>
    <w:basedOn w:val="Normal"/>
    <w:next w:val="Normal"/>
    <w:autoRedefine/>
    <w:uiPriority w:val="99"/>
    <w:semiHidden/>
    <w:unhideWhenUsed/>
    <w:rsid w:val="00620770"/>
    <w:pPr>
      <w:suppressAutoHyphens w:val="0"/>
      <w:spacing w:before="0" w:after="0"/>
      <w:ind w:left="960" w:hanging="240"/>
    </w:pPr>
    <w:rPr>
      <w:rFonts w:ascii="Times New Roman" w:eastAsia="Calibri" w:hAnsi="Times New Roman" w:cs="Times New Roman"/>
      <w:color w:val="auto"/>
      <w:kern w:val="0"/>
      <w:sz w:val="24"/>
      <w:szCs w:val="22"/>
    </w:rPr>
  </w:style>
  <w:style w:type="paragraph" w:styleId="Index5">
    <w:name w:val="index 5"/>
    <w:basedOn w:val="Normal"/>
    <w:next w:val="Normal"/>
    <w:autoRedefine/>
    <w:uiPriority w:val="99"/>
    <w:semiHidden/>
    <w:unhideWhenUsed/>
    <w:rsid w:val="00620770"/>
    <w:pPr>
      <w:suppressAutoHyphens w:val="0"/>
      <w:spacing w:before="0" w:after="0"/>
      <w:ind w:left="1200" w:hanging="240"/>
    </w:pPr>
    <w:rPr>
      <w:rFonts w:ascii="Times New Roman" w:eastAsia="Calibri" w:hAnsi="Times New Roman" w:cs="Times New Roman"/>
      <w:color w:val="auto"/>
      <w:kern w:val="0"/>
      <w:sz w:val="24"/>
      <w:szCs w:val="22"/>
    </w:rPr>
  </w:style>
  <w:style w:type="paragraph" w:styleId="Index6">
    <w:name w:val="index 6"/>
    <w:basedOn w:val="Normal"/>
    <w:next w:val="Normal"/>
    <w:autoRedefine/>
    <w:uiPriority w:val="99"/>
    <w:semiHidden/>
    <w:unhideWhenUsed/>
    <w:rsid w:val="00620770"/>
    <w:pPr>
      <w:suppressAutoHyphens w:val="0"/>
      <w:spacing w:before="0" w:after="0"/>
      <w:ind w:left="1440" w:hanging="240"/>
    </w:pPr>
    <w:rPr>
      <w:rFonts w:ascii="Times New Roman" w:eastAsia="Calibri" w:hAnsi="Times New Roman" w:cs="Times New Roman"/>
      <w:color w:val="auto"/>
      <w:kern w:val="0"/>
      <w:sz w:val="24"/>
      <w:szCs w:val="22"/>
    </w:rPr>
  </w:style>
  <w:style w:type="paragraph" w:styleId="Index7">
    <w:name w:val="index 7"/>
    <w:basedOn w:val="Normal"/>
    <w:next w:val="Normal"/>
    <w:autoRedefine/>
    <w:uiPriority w:val="99"/>
    <w:semiHidden/>
    <w:unhideWhenUsed/>
    <w:rsid w:val="00620770"/>
    <w:pPr>
      <w:suppressAutoHyphens w:val="0"/>
      <w:spacing w:before="0" w:after="0"/>
      <w:ind w:left="1680" w:hanging="240"/>
    </w:pPr>
    <w:rPr>
      <w:rFonts w:ascii="Times New Roman" w:eastAsia="Calibri" w:hAnsi="Times New Roman" w:cs="Times New Roman"/>
      <w:color w:val="auto"/>
      <w:kern w:val="0"/>
      <w:sz w:val="24"/>
      <w:szCs w:val="22"/>
    </w:rPr>
  </w:style>
  <w:style w:type="paragraph" w:styleId="Index8">
    <w:name w:val="index 8"/>
    <w:basedOn w:val="Normal"/>
    <w:next w:val="Normal"/>
    <w:autoRedefine/>
    <w:uiPriority w:val="99"/>
    <w:semiHidden/>
    <w:unhideWhenUsed/>
    <w:rsid w:val="00620770"/>
    <w:pPr>
      <w:suppressAutoHyphens w:val="0"/>
      <w:spacing w:before="0" w:after="0"/>
      <w:ind w:left="1920" w:hanging="240"/>
    </w:pPr>
    <w:rPr>
      <w:rFonts w:ascii="Times New Roman" w:eastAsia="Calibri" w:hAnsi="Times New Roman" w:cs="Times New Roman"/>
      <w:color w:val="auto"/>
      <w:kern w:val="0"/>
      <w:sz w:val="24"/>
      <w:szCs w:val="22"/>
    </w:rPr>
  </w:style>
  <w:style w:type="paragraph" w:styleId="Index9">
    <w:name w:val="index 9"/>
    <w:basedOn w:val="Normal"/>
    <w:next w:val="Normal"/>
    <w:autoRedefine/>
    <w:uiPriority w:val="99"/>
    <w:semiHidden/>
    <w:unhideWhenUsed/>
    <w:rsid w:val="00620770"/>
    <w:pPr>
      <w:suppressAutoHyphens w:val="0"/>
      <w:spacing w:before="0" w:after="0"/>
      <w:ind w:left="2160" w:hanging="240"/>
    </w:pPr>
    <w:rPr>
      <w:rFonts w:ascii="Times New Roman" w:eastAsia="Calibri" w:hAnsi="Times New Roman" w:cs="Times New Roman"/>
      <w:color w:val="auto"/>
      <w:kern w:val="0"/>
      <w:sz w:val="24"/>
      <w:szCs w:val="22"/>
    </w:rPr>
  </w:style>
  <w:style w:type="paragraph" w:customStyle="1" w:styleId="IndexHeading1">
    <w:name w:val="Index Heading1"/>
    <w:basedOn w:val="Normal"/>
    <w:next w:val="Index1"/>
    <w:uiPriority w:val="99"/>
    <w:semiHidden/>
    <w:unhideWhenUsed/>
    <w:rsid w:val="00620770"/>
    <w:pPr>
      <w:tabs>
        <w:tab w:val="left" w:pos="720"/>
        <w:tab w:val="left" w:pos="851"/>
      </w:tabs>
      <w:suppressAutoHyphens w:val="0"/>
      <w:spacing w:before="240" w:after="240" w:line="264" w:lineRule="auto"/>
    </w:pPr>
    <w:rPr>
      <w:rFonts w:ascii="Cambria" w:eastAsia="Times New Roman" w:hAnsi="Cambria" w:cs="Times New Roman"/>
      <w:b/>
      <w:bCs/>
      <w:color w:val="auto"/>
      <w:kern w:val="0"/>
      <w:sz w:val="24"/>
      <w:szCs w:val="22"/>
    </w:rPr>
  </w:style>
  <w:style w:type="paragraph" w:customStyle="1" w:styleId="IntenseQuote1">
    <w:name w:val="Intense Quote1"/>
    <w:basedOn w:val="Normal"/>
    <w:next w:val="Normal"/>
    <w:uiPriority w:val="30"/>
    <w:qFormat/>
    <w:rsid w:val="00620770"/>
    <w:pPr>
      <w:pBdr>
        <w:top w:val="single" w:sz="4" w:space="10" w:color="4F81BD"/>
        <w:bottom w:val="single" w:sz="4" w:space="10" w:color="4F81BD"/>
      </w:pBdr>
      <w:tabs>
        <w:tab w:val="left" w:pos="720"/>
        <w:tab w:val="left" w:pos="851"/>
      </w:tabs>
      <w:suppressAutoHyphens w:val="0"/>
      <w:spacing w:before="360" w:after="360" w:line="264" w:lineRule="auto"/>
      <w:ind w:left="864" w:right="864"/>
      <w:jc w:val="center"/>
    </w:pPr>
    <w:rPr>
      <w:rFonts w:ascii="Times New Roman" w:eastAsia="Calibri" w:hAnsi="Times New Roman" w:cs="Times New Roman"/>
      <w:i/>
      <w:iCs/>
      <w:color w:val="4F81BD"/>
      <w:kern w:val="0"/>
      <w:sz w:val="24"/>
      <w:szCs w:val="22"/>
    </w:rPr>
  </w:style>
  <w:style w:type="character" w:customStyle="1" w:styleId="IntenseQuoteChar">
    <w:name w:val="Intense Quote Char"/>
    <w:basedOn w:val="DefaultParagraphFont"/>
    <w:link w:val="IntenseQuote"/>
    <w:uiPriority w:val="30"/>
    <w:rsid w:val="00620770"/>
    <w:rPr>
      <w:rFonts w:ascii="Times New Roman" w:eastAsia="Calibri" w:hAnsi="Times New Roman" w:cs="Times New Roman"/>
      <w:i/>
      <w:iCs/>
      <w:color w:val="4F81BD"/>
      <w:sz w:val="24"/>
    </w:rPr>
  </w:style>
  <w:style w:type="paragraph" w:styleId="List">
    <w:name w:val="List"/>
    <w:basedOn w:val="Normal"/>
    <w:uiPriority w:val="99"/>
    <w:semiHidden/>
    <w:unhideWhenUsed/>
    <w:rsid w:val="00620770"/>
    <w:pPr>
      <w:tabs>
        <w:tab w:val="left" w:pos="720"/>
        <w:tab w:val="left" w:pos="851"/>
      </w:tabs>
      <w:suppressAutoHyphens w:val="0"/>
      <w:spacing w:before="240" w:after="240" w:line="264" w:lineRule="auto"/>
      <w:ind w:left="283" w:hanging="283"/>
      <w:contextualSpacing/>
    </w:pPr>
    <w:rPr>
      <w:rFonts w:ascii="Times New Roman" w:eastAsia="Calibri" w:hAnsi="Times New Roman" w:cs="Times New Roman"/>
      <w:color w:val="auto"/>
      <w:kern w:val="0"/>
      <w:sz w:val="24"/>
      <w:szCs w:val="22"/>
    </w:rPr>
  </w:style>
  <w:style w:type="paragraph" w:styleId="List2">
    <w:name w:val="List 2"/>
    <w:basedOn w:val="Normal"/>
    <w:uiPriority w:val="99"/>
    <w:semiHidden/>
    <w:unhideWhenUsed/>
    <w:rsid w:val="00620770"/>
    <w:pPr>
      <w:tabs>
        <w:tab w:val="left" w:pos="720"/>
        <w:tab w:val="left" w:pos="851"/>
      </w:tabs>
      <w:suppressAutoHyphens w:val="0"/>
      <w:spacing w:before="240" w:after="240" w:line="264" w:lineRule="auto"/>
      <w:ind w:left="566" w:hanging="283"/>
      <w:contextualSpacing/>
    </w:pPr>
    <w:rPr>
      <w:rFonts w:ascii="Times New Roman" w:eastAsia="Calibri" w:hAnsi="Times New Roman" w:cs="Times New Roman"/>
      <w:color w:val="auto"/>
      <w:kern w:val="0"/>
      <w:sz w:val="24"/>
      <w:szCs w:val="22"/>
    </w:rPr>
  </w:style>
  <w:style w:type="paragraph" w:styleId="List3">
    <w:name w:val="List 3"/>
    <w:basedOn w:val="Normal"/>
    <w:uiPriority w:val="99"/>
    <w:semiHidden/>
    <w:unhideWhenUsed/>
    <w:rsid w:val="00620770"/>
    <w:pPr>
      <w:tabs>
        <w:tab w:val="left" w:pos="720"/>
        <w:tab w:val="left" w:pos="851"/>
      </w:tabs>
      <w:suppressAutoHyphens w:val="0"/>
      <w:spacing w:before="240" w:after="240" w:line="264" w:lineRule="auto"/>
      <w:ind w:left="849" w:hanging="283"/>
      <w:contextualSpacing/>
    </w:pPr>
    <w:rPr>
      <w:rFonts w:ascii="Times New Roman" w:eastAsia="Calibri" w:hAnsi="Times New Roman" w:cs="Times New Roman"/>
      <w:color w:val="auto"/>
      <w:kern w:val="0"/>
      <w:sz w:val="24"/>
      <w:szCs w:val="22"/>
    </w:rPr>
  </w:style>
  <w:style w:type="paragraph" w:styleId="List4">
    <w:name w:val="List 4"/>
    <w:basedOn w:val="Normal"/>
    <w:uiPriority w:val="99"/>
    <w:semiHidden/>
    <w:unhideWhenUsed/>
    <w:rsid w:val="00620770"/>
    <w:pPr>
      <w:tabs>
        <w:tab w:val="left" w:pos="720"/>
        <w:tab w:val="left" w:pos="851"/>
      </w:tabs>
      <w:suppressAutoHyphens w:val="0"/>
      <w:spacing w:before="240" w:after="240" w:line="264" w:lineRule="auto"/>
      <w:ind w:left="1132" w:hanging="283"/>
      <w:contextualSpacing/>
    </w:pPr>
    <w:rPr>
      <w:rFonts w:ascii="Times New Roman" w:eastAsia="Calibri" w:hAnsi="Times New Roman" w:cs="Times New Roman"/>
      <w:color w:val="auto"/>
      <w:kern w:val="0"/>
      <w:sz w:val="24"/>
      <w:szCs w:val="22"/>
    </w:rPr>
  </w:style>
  <w:style w:type="paragraph" w:styleId="List5">
    <w:name w:val="List 5"/>
    <w:basedOn w:val="Normal"/>
    <w:uiPriority w:val="99"/>
    <w:semiHidden/>
    <w:unhideWhenUsed/>
    <w:rsid w:val="00620770"/>
    <w:pPr>
      <w:tabs>
        <w:tab w:val="left" w:pos="720"/>
        <w:tab w:val="left" w:pos="851"/>
      </w:tabs>
      <w:suppressAutoHyphens w:val="0"/>
      <w:spacing w:before="240" w:after="240" w:line="264" w:lineRule="auto"/>
      <w:ind w:left="1415" w:hanging="283"/>
      <w:contextualSpacing/>
    </w:pPr>
    <w:rPr>
      <w:rFonts w:ascii="Times New Roman" w:eastAsia="Calibri" w:hAnsi="Times New Roman" w:cs="Times New Roman"/>
      <w:color w:val="auto"/>
      <w:kern w:val="0"/>
      <w:sz w:val="24"/>
      <w:szCs w:val="22"/>
    </w:rPr>
  </w:style>
  <w:style w:type="paragraph" w:styleId="ListBullet">
    <w:name w:val="List Bullet"/>
    <w:basedOn w:val="Normal"/>
    <w:uiPriority w:val="99"/>
    <w:semiHidden/>
    <w:unhideWhenUsed/>
    <w:rsid w:val="00620770"/>
    <w:pPr>
      <w:tabs>
        <w:tab w:val="num" w:pos="360"/>
        <w:tab w:val="left" w:pos="720"/>
        <w:tab w:val="left" w:pos="851"/>
      </w:tabs>
      <w:suppressAutoHyphens w:val="0"/>
      <w:spacing w:before="240" w:after="240" w:line="264" w:lineRule="auto"/>
      <w:ind w:left="360" w:hanging="360"/>
      <w:contextualSpacing/>
    </w:pPr>
    <w:rPr>
      <w:rFonts w:ascii="Times New Roman" w:eastAsia="Calibri" w:hAnsi="Times New Roman" w:cs="Times New Roman"/>
      <w:color w:val="auto"/>
      <w:kern w:val="0"/>
      <w:sz w:val="24"/>
      <w:szCs w:val="22"/>
    </w:rPr>
  </w:style>
  <w:style w:type="paragraph" w:styleId="ListBullet2">
    <w:name w:val="List Bullet 2"/>
    <w:basedOn w:val="Normal"/>
    <w:uiPriority w:val="99"/>
    <w:semiHidden/>
    <w:unhideWhenUsed/>
    <w:rsid w:val="00620770"/>
    <w:pPr>
      <w:tabs>
        <w:tab w:val="num" w:pos="643"/>
        <w:tab w:val="left" w:pos="720"/>
        <w:tab w:val="left" w:pos="851"/>
      </w:tabs>
      <w:suppressAutoHyphens w:val="0"/>
      <w:spacing w:before="240" w:after="240" w:line="264" w:lineRule="auto"/>
      <w:ind w:left="643" w:hanging="360"/>
      <w:contextualSpacing/>
    </w:pPr>
    <w:rPr>
      <w:rFonts w:ascii="Times New Roman" w:eastAsia="Calibri" w:hAnsi="Times New Roman" w:cs="Times New Roman"/>
      <w:color w:val="auto"/>
      <w:kern w:val="0"/>
      <w:sz w:val="24"/>
      <w:szCs w:val="22"/>
    </w:rPr>
  </w:style>
  <w:style w:type="paragraph" w:styleId="ListBullet3">
    <w:name w:val="List Bullet 3"/>
    <w:basedOn w:val="Normal"/>
    <w:uiPriority w:val="99"/>
    <w:semiHidden/>
    <w:unhideWhenUsed/>
    <w:rsid w:val="00620770"/>
    <w:pPr>
      <w:tabs>
        <w:tab w:val="left" w:pos="720"/>
        <w:tab w:val="left" w:pos="851"/>
        <w:tab w:val="num" w:pos="926"/>
      </w:tabs>
      <w:suppressAutoHyphens w:val="0"/>
      <w:spacing w:before="240" w:after="240" w:line="264" w:lineRule="auto"/>
      <w:ind w:left="926" w:hanging="360"/>
      <w:contextualSpacing/>
    </w:pPr>
    <w:rPr>
      <w:rFonts w:ascii="Times New Roman" w:eastAsia="Calibri" w:hAnsi="Times New Roman" w:cs="Times New Roman"/>
      <w:color w:val="auto"/>
      <w:kern w:val="0"/>
      <w:sz w:val="24"/>
      <w:szCs w:val="22"/>
    </w:rPr>
  </w:style>
  <w:style w:type="paragraph" w:styleId="ListBullet4">
    <w:name w:val="List Bullet 4"/>
    <w:basedOn w:val="Normal"/>
    <w:uiPriority w:val="99"/>
    <w:semiHidden/>
    <w:unhideWhenUsed/>
    <w:rsid w:val="00620770"/>
    <w:pPr>
      <w:tabs>
        <w:tab w:val="left" w:pos="720"/>
        <w:tab w:val="left" w:pos="851"/>
        <w:tab w:val="num" w:pos="1209"/>
      </w:tabs>
      <w:suppressAutoHyphens w:val="0"/>
      <w:spacing w:before="240" w:after="240" w:line="264" w:lineRule="auto"/>
      <w:ind w:left="1209" w:hanging="360"/>
      <w:contextualSpacing/>
    </w:pPr>
    <w:rPr>
      <w:rFonts w:ascii="Times New Roman" w:eastAsia="Calibri" w:hAnsi="Times New Roman" w:cs="Times New Roman"/>
      <w:color w:val="auto"/>
      <w:kern w:val="0"/>
      <w:sz w:val="24"/>
      <w:szCs w:val="22"/>
    </w:rPr>
  </w:style>
  <w:style w:type="paragraph" w:styleId="ListBullet5">
    <w:name w:val="List Bullet 5"/>
    <w:basedOn w:val="Normal"/>
    <w:uiPriority w:val="99"/>
    <w:semiHidden/>
    <w:unhideWhenUsed/>
    <w:rsid w:val="00620770"/>
    <w:pPr>
      <w:tabs>
        <w:tab w:val="left" w:pos="720"/>
        <w:tab w:val="left" w:pos="851"/>
        <w:tab w:val="num" w:pos="1492"/>
      </w:tabs>
      <w:suppressAutoHyphens w:val="0"/>
      <w:spacing w:before="240" w:after="240" w:line="264" w:lineRule="auto"/>
      <w:ind w:left="1492" w:hanging="360"/>
      <w:contextualSpacing/>
    </w:pPr>
    <w:rPr>
      <w:rFonts w:ascii="Times New Roman" w:eastAsia="Calibri" w:hAnsi="Times New Roman" w:cs="Times New Roman"/>
      <w:color w:val="auto"/>
      <w:kern w:val="0"/>
      <w:sz w:val="24"/>
      <w:szCs w:val="22"/>
    </w:rPr>
  </w:style>
  <w:style w:type="paragraph" w:styleId="ListContinue">
    <w:name w:val="List Continue"/>
    <w:basedOn w:val="Normal"/>
    <w:uiPriority w:val="99"/>
    <w:semiHidden/>
    <w:unhideWhenUsed/>
    <w:rsid w:val="00620770"/>
    <w:pPr>
      <w:tabs>
        <w:tab w:val="left" w:pos="720"/>
        <w:tab w:val="left" w:pos="851"/>
      </w:tabs>
      <w:suppressAutoHyphens w:val="0"/>
      <w:spacing w:before="240" w:after="120" w:line="264" w:lineRule="auto"/>
      <w:ind w:left="283"/>
      <w:contextualSpacing/>
    </w:pPr>
    <w:rPr>
      <w:rFonts w:ascii="Times New Roman" w:eastAsia="Calibri" w:hAnsi="Times New Roman" w:cs="Times New Roman"/>
      <w:color w:val="auto"/>
      <w:kern w:val="0"/>
      <w:sz w:val="24"/>
      <w:szCs w:val="22"/>
    </w:rPr>
  </w:style>
  <w:style w:type="paragraph" w:styleId="ListContinue2">
    <w:name w:val="List Continue 2"/>
    <w:basedOn w:val="Normal"/>
    <w:uiPriority w:val="99"/>
    <w:semiHidden/>
    <w:unhideWhenUsed/>
    <w:rsid w:val="00620770"/>
    <w:pPr>
      <w:tabs>
        <w:tab w:val="left" w:pos="720"/>
        <w:tab w:val="left" w:pos="851"/>
      </w:tabs>
      <w:suppressAutoHyphens w:val="0"/>
      <w:spacing w:before="240" w:after="120" w:line="264" w:lineRule="auto"/>
      <w:ind w:left="566"/>
      <w:contextualSpacing/>
    </w:pPr>
    <w:rPr>
      <w:rFonts w:ascii="Times New Roman" w:eastAsia="Calibri" w:hAnsi="Times New Roman" w:cs="Times New Roman"/>
      <w:color w:val="auto"/>
      <w:kern w:val="0"/>
      <w:sz w:val="24"/>
      <w:szCs w:val="22"/>
    </w:rPr>
  </w:style>
  <w:style w:type="paragraph" w:styleId="ListContinue3">
    <w:name w:val="List Continue 3"/>
    <w:basedOn w:val="Normal"/>
    <w:uiPriority w:val="99"/>
    <w:semiHidden/>
    <w:unhideWhenUsed/>
    <w:rsid w:val="00620770"/>
    <w:pPr>
      <w:tabs>
        <w:tab w:val="left" w:pos="720"/>
        <w:tab w:val="left" w:pos="851"/>
      </w:tabs>
      <w:suppressAutoHyphens w:val="0"/>
      <w:spacing w:before="240" w:after="120" w:line="264" w:lineRule="auto"/>
      <w:ind w:left="849"/>
      <w:contextualSpacing/>
    </w:pPr>
    <w:rPr>
      <w:rFonts w:ascii="Times New Roman" w:eastAsia="Calibri" w:hAnsi="Times New Roman" w:cs="Times New Roman"/>
      <w:color w:val="auto"/>
      <w:kern w:val="0"/>
      <w:sz w:val="24"/>
      <w:szCs w:val="22"/>
    </w:rPr>
  </w:style>
  <w:style w:type="paragraph" w:styleId="ListContinue4">
    <w:name w:val="List Continue 4"/>
    <w:basedOn w:val="Normal"/>
    <w:uiPriority w:val="99"/>
    <w:semiHidden/>
    <w:unhideWhenUsed/>
    <w:rsid w:val="00620770"/>
    <w:pPr>
      <w:tabs>
        <w:tab w:val="left" w:pos="720"/>
        <w:tab w:val="left" w:pos="851"/>
      </w:tabs>
      <w:suppressAutoHyphens w:val="0"/>
      <w:spacing w:before="240" w:after="120" w:line="264" w:lineRule="auto"/>
      <w:ind w:left="1132"/>
      <w:contextualSpacing/>
    </w:pPr>
    <w:rPr>
      <w:rFonts w:ascii="Times New Roman" w:eastAsia="Calibri" w:hAnsi="Times New Roman" w:cs="Times New Roman"/>
      <w:color w:val="auto"/>
      <w:kern w:val="0"/>
      <w:sz w:val="24"/>
      <w:szCs w:val="22"/>
    </w:rPr>
  </w:style>
  <w:style w:type="paragraph" w:styleId="ListContinue5">
    <w:name w:val="List Continue 5"/>
    <w:basedOn w:val="Normal"/>
    <w:uiPriority w:val="99"/>
    <w:semiHidden/>
    <w:unhideWhenUsed/>
    <w:rsid w:val="00620770"/>
    <w:pPr>
      <w:tabs>
        <w:tab w:val="left" w:pos="720"/>
        <w:tab w:val="left" w:pos="851"/>
      </w:tabs>
      <w:suppressAutoHyphens w:val="0"/>
      <w:spacing w:before="240" w:after="120" w:line="264" w:lineRule="auto"/>
      <w:ind w:left="1415"/>
      <w:contextualSpacing/>
    </w:pPr>
    <w:rPr>
      <w:rFonts w:ascii="Times New Roman" w:eastAsia="Calibri" w:hAnsi="Times New Roman" w:cs="Times New Roman"/>
      <w:color w:val="auto"/>
      <w:kern w:val="0"/>
      <w:sz w:val="24"/>
      <w:szCs w:val="22"/>
    </w:rPr>
  </w:style>
  <w:style w:type="paragraph" w:styleId="ListNumber">
    <w:name w:val="List Number"/>
    <w:basedOn w:val="Normal"/>
    <w:uiPriority w:val="99"/>
    <w:semiHidden/>
    <w:unhideWhenUsed/>
    <w:rsid w:val="00620770"/>
    <w:pPr>
      <w:tabs>
        <w:tab w:val="num" w:pos="360"/>
        <w:tab w:val="left" w:pos="720"/>
        <w:tab w:val="left" w:pos="851"/>
      </w:tabs>
      <w:suppressAutoHyphens w:val="0"/>
      <w:spacing w:before="240" w:after="240" w:line="264" w:lineRule="auto"/>
      <w:ind w:left="360" w:hanging="360"/>
      <w:contextualSpacing/>
    </w:pPr>
    <w:rPr>
      <w:rFonts w:ascii="Times New Roman" w:eastAsia="Calibri" w:hAnsi="Times New Roman" w:cs="Times New Roman"/>
      <w:color w:val="auto"/>
      <w:kern w:val="0"/>
      <w:sz w:val="24"/>
      <w:szCs w:val="22"/>
    </w:rPr>
  </w:style>
  <w:style w:type="paragraph" w:styleId="ListNumber2">
    <w:name w:val="List Number 2"/>
    <w:basedOn w:val="Normal"/>
    <w:uiPriority w:val="99"/>
    <w:semiHidden/>
    <w:unhideWhenUsed/>
    <w:rsid w:val="00620770"/>
    <w:pPr>
      <w:tabs>
        <w:tab w:val="num" w:pos="643"/>
        <w:tab w:val="left" w:pos="720"/>
        <w:tab w:val="left" w:pos="851"/>
      </w:tabs>
      <w:suppressAutoHyphens w:val="0"/>
      <w:spacing w:before="240" w:after="240" w:line="264" w:lineRule="auto"/>
      <w:ind w:left="643" w:hanging="360"/>
      <w:contextualSpacing/>
    </w:pPr>
    <w:rPr>
      <w:rFonts w:ascii="Times New Roman" w:eastAsia="Calibri" w:hAnsi="Times New Roman" w:cs="Times New Roman"/>
      <w:color w:val="auto"/>
      <w:kern w:val="0"/>
      <w:sz w:val="24"/>
      <w:szCs w:val="22"/>
    </w:rPr>
  </w:style>
  <w:style w:type="paragraph" w:styleId="ListNumber3">
    <w:name w:val="List Number 3"/>
    <w:basedOn w:val="Normal"/>
    <w:uiPriority w:val="99"/>
    <w:semiHidden/>
    <w:unhideWhenUsed/>
    <w:rsid w:val="00620770"/>
    <w:pPr>
      <w:tabs>
        <w:tab w:val="left" w:pos="720"/>
        <w:tab w:val="left" w:pos="851"/>
        <w:tab w:val="num" w:pos="926"/>
      </w:tabs>
      <w:suppressAutoHyphens w:val="0"/>
      <w:spacing w:before="240" w:after="240" w:line="264" w:lineRule="auto"/>
      <w:ind w:left="926" w:hanging="360"/>
      <w:contextualSpacing/>
    </w:pPr>
    <w:rPr>
      <w:rFonts w:ascii="Times New Roman" w:eastAsia="Calibri" w:hAnsi="Times New Roman" w:cs="Times New Roman"/>
      <w:color w:val="auto"/>
      <w:kern w:val="0"/>
      <w:sz w:val="24"/>
      <w:szCs w:val="22"/>
    </w:rPr>
  </w:style>
  <w:style w:type="paragraph" w:styleId="ListNumber4">
    <w:name w:val="List Number 4"/>
    <w:basedOn w:val="Normal"/>
    <w:uiPriority w:val="99"/>
    <w:semiHidden/>
    <w:unhideWhenUsed/>
    <w:rsid w:val="00620770"/>
    <w:pPr>
      <w:tabs>
        <w:tab w:val="left" w:pos="720"/>
        <w:tab w:val="left" w:pos="851"/>
        <w:tab w:val="num" w:pos="1209"/>
      </w:tabs>
      <w:suppressAutoHyphens w:val="0"/>
      <w:spacing w:before="240" w:after="240" w:line="264" w:lineRule="auto"/>
      <w:ind w:left="1209" w:hanging="360"/>
      <w:contextualSpacing/>
    </w:pPr>
    <w:rPr>
      <w:rFonts w:ascii="Times New Roman" w:eastAsia="Calibri" w:hAnsi="Times New Roman" w:cs="Times New Roman"/>
      <w:color w:val="auto"/>
      <w:kern w:val="0"/>
      <w:sz w:val="24"/>
      <w:szCs w:val="22"/>
    </w:rPr>
  </w:style>
  <w:style w:type="paragraph" w:styleId="ListNumber5">
    <w:name w:val="List Number 5"/>
    <w:basedOn w:val="Normal"/>
    <w:uiPriority w:val="99"/>
    <w:semiHidden/>
    <w:unhideWhenUsed/>
    <w:rsid w:val="00620770"/>
    <w:pPr>
      <w:tabs>
        <w:tab w:val="left" w:pos="720"/>
        <w:tab w:val="left" w:pos="851"/>
        <w:tab w:val="num" w:pos="1492"/>
      </w:tabs>
      <w:suppressAutoHyphens w:val="0"/>
      <w:spacing w:before="240" w:after="240" w:line="264" w:lineRule="auto"/>
      <w:ind w:left="1492" w:hanging="360"/>
      <w:contextualSpacing/>
    </w:pPr>
    <w:rPr>
      <w:rFonts w:ascii="Times New Roman" w:eastAsia="Calibri" w:hAnsi="Times New Roman" w:cs="Times New Roman"/>
      <w:color w:val="auto"/>
      <w:kern w:val="0"/>
      <w:sz w:val="24"/>
      <w:szCs w:val="22"/>
    </w:rPr>
  </w:style>
  <w:style w:type="paragraph" w:styleId="MacroText">
    <w:name w:val="macro"/>
    <w:link w:val="MacroTextChar"/>
    <w:uiPriority w:val="99"/>
    <w:semiHidden/>
    <w:unhideWhenUsed/>
    <w:rsid w:val="00620770"/>
    <w:pPr>
      <w:tabs>
        <w:tab w:val="left" w:pos="480"/>
        <w:tab w:val="left" w:pos="960"/>
        <w:tab w:val="left" w:pos="1440"/>
        <w:tab w:val="left" w:pos="1920"/>
        <w:tab w:val="left" w:pos="2400"/>
        <w:tab w:val="left" w:pos="2880"/>
        <w:tab w:val="left" w:pos="3360"/>
        <w:tab w:val="left" w:pos="3840"/>
        <w:tab w:val="left" w:pos="4320"/>
      </w:tabs>
      <w:spacing w:before="240" w:after="0" w:line="264" w:lineRule="auto"/>
    </w:pPr>
    <w:rPr>
      <w:rFonts w:ascii="Consolas" w:eastAsia="Calibri" w:hAnsi="Consolas" w:cs="Times New Roman"/>
      <w:color w:val="auto"/>
    </w:rPr>
  </w:style>
  <w:style w:type="character" w:customStyle="1" w:styleId="MacroTextChar">
    <w:name w:val="Macro Text Char"/>
    <w:basedOn w:val="DefaultParagraphFont"/>
    <w:link w:val="MacroText"/>
    <w:uiPriority w:val="99"/>
    <w:semiHidden/>
    <w:rsid w:val="00620770"/>
    <w:rPr>
      <w:rFonts w:ascii="Consolas" w:eastAsia="Calibri" w:hAnsi="Consolas" w:cs="Times New Roman"/>
      <w:color w:val="auto"/>
    </w:rPr>
  </w:style>
  <w:style w:type="paragraph" w:customStyle="1" w:styleId="MessageHeader1">
    <w:name w:val="Message Header1"/>
    <w:basedOn w:val="Normal"/>
    <w:next w:val="MessageHeader"/>
    <w:link w:val="MessageHeaderChar"/>
    <w:uiPriority w:val="99"/>
    <w:semiHidden/>
    <w:unhideWhenUsed/>
    <w:rsid w:val="00620770"/>
    <w:pPr>
      <w:pBdr>
        <w:top w:val="single" w:sz="6" w:space="1" w:color="auto"/>
        <w:left w:val="single" w:sz="6" w:space="1" w:color="auto"/>
        <w:bottom w:val="single" w:sz="6" w:space="1" w:color="auto"/>
        <w:right w:val="single" w:sz="6" w:space="1" w:color="auto"/>
      </w:pBdr>
      <w:shd w:val="pct20" w:color="auto" w:fill="auto"/>
      <w:tabs>
        <w:tab w:val="left" w:pos="720"/>
        <w:tab w:val="left" w:pos="851"/>
      </w:tabs>
      <w:suppressAutoHyphens w:val="0"/>
      <w:spacing w:before="0" w:after="0"/>
      <w:ind w:left="1134" w:hanging="1134"/>
    </w:pPr>
    <w:rPr>
      <w:rFonts w:ascii="Cambria" w:eastAsia="Times New Roman" w:hAnsi="Cambria" w:cs="Times New Roman"/>
      <w:kern w:val="0"/>
      <w:sz w:val="24"/>
      <w:szCs w:val="24"/>
    </w:rPr>
  </w:style>
  <w:style w:type="character" w:customStyle="1" w:styleId="MessageHeaderChar">
    <w:name w:val="Message Header Char"/>
    <w:basedOn w:val="DefaultParagraphFont"/>
    <w:link w:val="MessageHeader1"/>
    <w:uiPriority w:val="99"/>
    <w:semiHidden/>
    <w:rsid w:val="00620770"/>
    <w:rPr>
      <w:rFonts w:ascii="Cambria" w:eastAsia="Times New Roman" w:hAnsi="Cambria" w:cs="Times New Roman"/>
      <w:sz w:val="24"/>
      <w:szCs w:val="24"/>
      <w:shd w:val="pct20" w:color="auto" w:fill="auto"/>
    </w:rPr>
  </w:style>
  <w:style w:type="paragraph" w:styleId="NormalIndent">
    <w:name w:val="Normal Indent"/>
    <w:basedOn w:val="Normal"/>
    <w:uiPriority w:val="99"/>
    <w:semiHidden/>
    <w:unhideWhenUsed/>
    <w:rsid w:val="00620770"/>
    <w:pPr>
      <w:tabs>
        <w:tab w:val="left" w:pos="720"/>
        <w:tab w:val="left" w:pos="851"/>
      </w:tabs>
      <w:suppressAutoHyphens w:val="0"/>
      <w:spacing w:before="240" w:after="240" w:line="264" w:lineRule="auto"/>
      <w:ind w:left="720"/>
    </w:pPr>
    <w:rPr>
      <w:rFonts w:ascii="Times New Roman" w:eastAsia="Calibri" w:hAnsi="Times New Roman" w:cs="Times New Roman"/>
      <w:color w:val="auto"/>
      <w:kern w:val="0"/>
      <w:sz w:val="24"/>
      <w:szCs w:val="22"/>
    </w:rPr>
  </w:style>
  <w:style w:type="paragraph" w:styleId="PlainText">
    <w:name w:val="Plain Text"/>
    <w:basedOn w:val="Normal"/>
    <w:link w:val="PlainTextChar"/>
    <w:uiPriority w:val="99"/>
    <w:semiHidden/>
    <w:unhideWhenUsed/>
    <w:rsid w:val="00620770"/>
    <w:pPr>
      <w:tabs>
        <w:tab w:val="left" w:pos="720"/>
        <w:tab w:val="left" w:pos="851"/>
      </w:tabs>
      <w:suppressAutoHyphens w:val="0"/>
      <w:spacing w:before="0" w:after="0"/>
    </w:pPr>
    <w:rPr>
      <w:rFonts w:ascii="Consolas" w:eastAsia="Calibri" w:hAnsi="Consolas" w:cs="Times New Roman"/>
      <w:color w:val="auto"/>
      <w:kern w:val="0"/>
      <w:sz w:val="21"/>
      <w:szCs w:val="21"/>
    </w:rPr>
  </w:style>
  <w:style w:type="character" w:customStyle="1" w:styleId="PlainTextChar">
    <w:name w:val="Plain Text Char"/>
    <w:basedOn w:val="DefaultParagraphFont"/>
    <w:link w:val="PlainText"/>
    <w:uiPriority w:val="99"/>
    <w:semiHidden/>
    <w:rsid w:val="00620770"/>
    <w:rPr>
      <w:rFonts w:ascii="Consolas" w:eastAsia="Calibri" w:hAnsi="Consolas" w:cs="Times New Roman"/>
      <w:color w:val="auto"/>
      <w:sz w:val="21"/>
      <w:szCs w:val="21"/>
    </w:rPr>
  </w:style>
  <w:style w:type="paragraph" w:styleId="Salutation">
    <w:name w:val="Salutation"/>
    <w:basedOn w:val="Normal"/>
    <w:next w:val="Normal"/>
    <w:link w:val="SalutationChar"/>
    <w:uiPriority w:val="99"/>
    <w:semiHidden/>
    <w:unhideWhenUsed/>
    <w:rsid w:val="00620770"/>
    <w:pPr>
      <w:tabs>
        <w:tab w:val="left" w:pos="720"/>
        <w:tab w:val="left" w:pos="851"/>
      </w:tabs>
      <w:suppressAutoHyphens w:val="0"/>
      <w:spacing w:before="240" w:after="240" w:line="264" w:lineRule="auto"/>
    </w:pPr>
    <w:rPr>
      <w:rFonts w:ascii="Times New Roman" w:eastAsia="Calibri" w:hAnsi="Times New Roman" w:cs="Times New Roman"/>
      <w:color w:val="auto"/>
      <w:kern w:val="0"/>
      <w:sz w:val="24"/>
      <w:szCs w:val="22"/>
    </w:rPr>
  </w:style>
  <w:style w:type="character" w:customStyle="1" w:styleId="SalutationChar">
    <w:name w:val="Salutation Char"/>
    <w:basedOn w:val="DefaultParagraphFont"/>
    <w:link w:val="Salutation"/>
    <w:uiPriority w:val="99"/>
    <w:semiHidden/>
    <w:rsid w:val="00620770"/>
    <w:rPr>
      <w:rFonts w:ascii="Times New Roman" w:eastAsia="Calibri" w:hAnsi="Times New Roman" w:cs="Times New Roman"/>
      <w:color w:val="auto"/>
      <w:sz w:val="24"/>
      <w:szCs w:val="22"/>
    </w:rPr>
  </w:style>
  <w:style w:type="paragraph" w:styleId="Signature">
    <w:name w:val="Signature"/>
    <w:basedOn w:val="Normal"/>
    <w:link w:val="SignatureChar"/>
    <w:uiPriority w:val="99"/>
    <w:semiHidden/>
    <w:unhideWhenUsed/>
    <w:rsid w:val="00620770"/>
    <w:pPr>
      <w:tabs>
        <w:tab w:val="left" w:pos="720"/>
        <w:tab w:val="left" w:pos="851"/>
      </w:tabs>
      <w:suppressAutoHyphens w:val="0"/>
      <w:spacing w:before="0" w:after="0"/>
      <w:ind w:left="4252"/>
    </w:pPr>
    <w:rPr>
      <w:rFonts w:ascii="Times New Roman" w:eastAsia="Calibri" w:hAnsi="Times New Roman" w:cs="Times New Roman"/>
      <w:color w:val="auto"/>
      <w:kern w:val="0"/>
      <w:sz w:val="24"/>
      <w:szCs w:val="22"/>
    </w:rPr>
  </w:style>
  <w:style w:type="character" w:customStyle="1" w:styleId="SignatureChar">
    <w:name w:val="Signature Char"/>
    <w:basedOn w:val="DefaultParagraphFont"/>
    <w:link w:val="Signature"/>
    <w:uiPriority w:val="99"/>
    <w:semiHidden/>
    <w:rsid w:val="00620770"/>
    <w:rPr>
      <w:rFonts w:ascii="Times New Roman" w:eastAsia="Calibri" w:hAnsi="Times New Roman" w:cs="Times New Roman"/>
      <w:color w:val="auto"/>
      <w:sz w:val="24"/>
      <w:szCs w:val="22"/>
    </w:rPr>
  </w:style>
  <w:style w:type="paragraph" w:styleId="TableofAuthorities">
    <w:name w:val="table of authorities"/>
    <w:basedOn w:val="Normal"/>
    <w:next w:val="Normal"/>
    <w:uiPriority w:val="99"/>
    <w:semiHidden/>
    <w:unhideWhenUsed/>
    <w:rsid w:val="00620770"/>
    <w:pPr>
      <w:suppressAutoHyphens w:val="0"/>
      <w:spacing w:before="240" w:after="0" w:line="264" w:lineRule="auto"/>
      <w:ind w:left="240" w:hanging="240"/>
    </w:pPr>
    <w:rPr>
      <w:rFonts w:ascii="Times New Roman" w:eastAsia="Calibri" w:hAnsi="Times New Roman" w:cs="Times New Roman"/>
      <w:color w:val="auto"/>
      <w:kern w:val="0"/>
      <w:sz w:val="24"/>
      <w:szCs w:val="22"/>
    </w:rPr>
  </w:style>
  <w:style w:type="paragraph" w:customStyle="1" w:styleId="TOAHeading1">
    <w:name w:val="TOA Heading1"/>
    <w:basedOn w:val="Normal"/>
    <w:next w:val="Normal"/>
    <w:uiPriority w:val="99"/>
    <w:semiHidden/>
    <w:unhideWhenUsed/>
    <w:rsid w:val="00620770"/>
    <w:pPr>
      <w:tabs>
        <w:tab w:val="left" w:pos="720"/>
        <w:tab w:val="left" w:pos="851"/>
      </w:tabs>
      <w:suppressAutoHyphens w:val="0"/>
      <w:spacing w:before="120" w:after="240" w:line="264" w:lineRule="auto"/>
    </w:pPr>
    <w:rPr>
      <w:rFonts w:ascii="Cambria" w:eastAsia="Times New Roman" w:hAnsi="Cambria" w:cs="Times New Roman"/>
      <w:b/>
      <w:bCs/>
      <w:color w:val="auto"/>
      <w:kern w:val="0"/>
      <w:sz w:val="24"/>
      <w:szCs w:val="24"/>
    </w:rPr>
  </w:style>
  <w:style w:type="paragraph" w:styleId="TOC4">
    <w:name w:val="toc 4"/>
    <w:basedOn w:val="Normal"/>
    <w:next w:val="Normal"/>
    <w:autoRedefine/>
    <w:uiPriority w:val="39"/>
    <w:semiHidden/>
    <w:unhideWhenUsed/>
    <w:rsid w:val="00620770"/>
    <w:pPr>
      <w:suppressAutoHyphens w:val="0"/>
      <w:spacing w:before="240" w:after="100" w:line="264" w:lineRule="auto"/>
      <w:ind w:left="720"/>
    </w:pPr>
    <w:rPr>
      <w:rFonts w:ascii="Times New Roman" w:eastAsia="Calibri" w:hAnsi="Times New Roman" w:cs="Times New Roman"/>
      <w:color w:val="auto"/>
      <w:kern w:val="0"/>
      <w:sz w:val="24"/>
      <w:szCs w:val="22"/>
    </w:rPr>
  </w:style>
  <w:style w:type="paragraph" w:styleId="TOC5">
    <w:name w:val="toc 5"/>
    <w:basedOn w:val="Normal"/>
    <w:next w:val="Normal"/>
    <w:autoRedefine/>
    <w:uiPriority w:val="39"/>
    <w:semiHidden/>
    <w:unhideWhenUsed/>
    <w:rsid w:val="00620770"/>
    <w:pPr>
      <w:suppressAutoHyphens w:val="0"/>
      <w:spacing w:before="240" w:after="100" w:line="264" w:lineRule="auto"/>
      <w:ind w:left="960"/>
    </w:pPr>
    <w:rPr>
      <w:rFonts w:ascii="Times New Roman" w:eastAsia="Calibri" w:hAnsi="Times New Roman" w:cs="Times New Roman"/>
      <w:color w:val="auto"/>
      <w:kern w:val="0"/>
      <w:sz w:val="24"/>
      <w:szCs w:val="22"/>
    </w:rPr>
  </w:style>
  <w:style w:type="paragraph" w:styleId="TOC6">
    <w:name w:val="toc 6"/>
    <w:basedOn w:val="Normal"/>
    <w:next w:val="Normal"/>
    <w:autoRedefine/>
    <w:uiPriority w:val="39"/>
    <w:semiHidden/>
    <w:unhideWhenUsed/>
    <w:rsid w:val="00620770"/>
    <w:pPr>
      <w:suppressAutoHyphens w:val="0"/>
      <w:spacing w:before="240" w:after="100" w:line="264" w:lineRule="auto"/>
      <w:ind w:left="1200"/>
    </w:pPr>
    <w:rPr>
      <w:rFonts w:ascii="Times New Roman" w:eastAsia="Calibri" w:hAnsi="Times New Roman" w:cs="Times New Roman"/>
      <w:color w:val="auto"/>
      <w:kern w:val="0"/>
      <w:sz w:val="24"/>
      <w:szCs w:val="22"/>
    </w:rPr>
  </w:style>
  <w:style w:type="paragraph" w:styleId="TOC7">
    <w:name w:val="toc 7"/>
    <w:basedOn w:val="Normal"/>
    <w:next w:val="Normal"/>
    <w:autoRedefine/>
    <w:uiPriority w:val="39"/>
    <w:semiHidden/>
    <w:unhideWhenUsed/>
    <w:rsid w:val="00620770"/>
    <w:pPr>
      <w:suppressAutoHyphens w:val="0"/>
      <w:spacing w:before="240" w:after="100" w:line="264" w:lineRule="auto"/>
      <w:ind w:left="1440"/>
    </w:pPr>
    <w:rPr>
      <w:rFonts w:ascii="Times New Roman" w:eastAsia="Calibri" w:hAnsi="Times New Roman" w:cs="Times New Roman"/>
      <w:color w:val="auto"/>
      <w:kern w:val="0"/>
      <w:sz w:val="24"/>
      <w:szCs w:val="22"/>
    </w:rPr>
  </w:style>
  <w:style w:type="paragraph" w:styleId="TOC8">
    <w:name w:val="toc 8"/>
    <w:basedOn w:val="Normal"/>
    <w:next w:val="Normal"/>
    <w:autoRedefine/>
    <w:uiPriority w:val="39"/>
    <w:semiHidden/>
    <w:unhideWhenUsed/>
    <w:rsid w:val="00620770"/>
    <w:pPr>
      <w:suppressAutoHyphens w:val="0"/>
      <w:spacing w:before="240" w:after="100" w:line="264" w:lineRule="auto"/>
      <w:ind w:left="1680"/>
    </w:pPr>
    <w:rPr>
      <w:rFonts w:ascii="Times New Roman" w:eastAsia="Calibri" w:hAnsi="Times New Roman" w:cs="Times New Roman"/>
      <w:color w:val="auto"/>
      <w:kern w:val="0"/>
      <w:sz w:val="24"/>
      <w:szCs w:val="22"/>
    </w:rPr>
  </w:style>
  <w:style w:type="paragraph" w:styleId="TOC9">
    <w:name w:val="toc 9"/>
    <w:basedOn w:val="Normal"/>
    <w:next w:val="Normal"/>
    <w:autoRedefine/>
    <w:uiPriority w:val="39"/>
    <w:semiHidden/>
    <w:unhideWhenUsed/>
    <w:rsid w:val="00620770"/>
    <w:pPr>
      <w:suppressAutoHyphens w:val="0"/>
      <w:spacing w:before="240" w:after="100" w:line="264" w:lineRule="auto"/>
      <w:ind w:left="1920"/>
    </w:pPr>
    <w:rPr>
      <w:rFonts w:ascii="Times New Roman" w:eastAsia="Calibri" w:hAnsi="Times New Roman" w:cs="Times New Roman"/>
      <w:color w:val="auto"/>
      <w:kern w:val="0"/>
      <w:sz w:val="24"/>
      <w:szCs w:val="22"/>
    </w:rPr>
  </w:style>
  <w:style w:type="paragraph" w:customStyle="1" w:styleId="Tablenotes">
    <w:name w:val="Table notes"/>
    <w:basedOn w:val="Table2heading"/>
    <w:qFormat/>
    <w:rsid w:val="00620770"/>
    <w:pPr>
      <w:keepNext/>
      <w:tabs>
        <w:tab w:val="clear" w:pos="720"/>
        <w:tab w:val="clear" w:pos="851"/>
        <w:tab w:val="left" w:pos="567"/>
      </w:tabs>
      <w:ind w:left="567" w:hanging="567"/>
      <w:jc w:val="left"/>
    </w:pPr>
    <w:rPr>
      <w:b w:val="0"/>
      <w:sz w:val="16"/>
      <w:szCs w:val="16"/>
    </w:rPr>
  </w:style>
  <w:style w:type="table" w:customStyle="1" w:styleId="GridTable2-Accent11">
    <w:name w:val="Grid Table 2 - Accent 11"/>
    <w:basedOn w:val="TableNormal"/>
    <w:uiPriority w:val="47"/>
    <w:rsid w:val="00620770"/>
    <w:pPr>
      <w:spacing w:before="0" w:after="0"/>
    </w:pPr>
    <w:rPr>
      <w:color w:val="auto"/>
      <w:sz w:val="22"/>
      <w:szCs w:val="22"/>
    </w:rPr>
    <w:tblPr>
      <w:tblStyleRowBandSize w:val="1"/>
      <w:tblStyleColBandSize w:val="1"/>
      <w:tblBorders>
        <w:top w:val="single" w:sz="2" w:space="0" w:color="95B3D7"/>
        <w:bottom w:val="single" w:sz="2" w:space="0" w:color="95B3D7"/>
        <w:insideH w:val="single" w:sz="2" w:space="0" w:color="95B3D7"/>
        <w:insideV w:val="single" w:sz="2" w:space="0" w:color="95B3D7"/>
      </w:tblBorders>
    </w:tblPr>
    <w:tblStylePr w:type="firstRow">
      <w:rPr>
        <w:b/>
        <w:bCs/>
      </w:rPr>
      <w:tblPr/>
      <w:tcPr>
        <w:tcBorders>
          <w:top w:val="nil"/>
          <w:bottom w:val="single" w:sz="12" w:space="0" w:color="95B3D7"/>
          <w:insideH w:val="nil"/>
          <w:insideV w:val="nil"/>
        </w:tcBorders>
        <w:shd w:val="clear" w:color="auto" w:fill="FFFFFF"/>
      </w:tcPr>
    </w:tblStylePr>
    <w:tblStylePr w:type="lastRow">
      <w:rPr>
        <w:b/>
        <w:bCs/>
      </w:rPr>
      <w:tblPr/>
      <w:tcPr>
        <w:tcBorders>
          <w:top w:val="double" w:sz="2" w:space="0" w:color="95B3D7"/>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TableGrid5">
    <w:name w:val="Table Grid5"/>
    <w:basedOn w:val="TableNormal"/>
    <w:next w:val="TableGrid"/>
    <w:uiPriority w:val="39"/>
    <w:rsid w:val="00620770"/>
    <w:pPr>
      <w:spacing w:before="0" w:after="0"/>
    </w:pPr>
    <w:rPr>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620770"/>
    <w:pPr>
      <w:spacing w:before="0" w:after="0"/>
    </w:pPr>
    <w:rPr>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39"/>
    <w:rsid w:val="00620770"/>
    <w:pPr>
      <w:spacing w:before="0" w:after="0"/>
    </w:pPr>
    <w:rPr>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39"/>
    <w:rsid w:val="00620770"/>
    <w:pPr>
      <w:spacing w:before="0" w:after="0"/>
    </w:pPr>
    <w:rPr>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39"/>
    <w:rsid w:val="00620770"/>
    <w:pPr>
      <w:spacing w:before="0" w:after="0"/>
    </w:pPr>
    <w:rPr>
      <w:color w:val="auto"/>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next w:val="TableGrid"/>
    <w:uiPriority w:val="59"/>
    <w:rsid w:val="00620770"/>
    <w:pPr>
      <w:spacing w:before="0" w:after="0"/>
    </w:pPr>
    <w:rPr>
      <w:rFonts w:ascii="Times New Roman" w:eastAsia="Calibri" w:hAnsi="Times New Roman" w:cs="Times New Roman"/>
      <w:color w:val="auto"/>
      <w:lang w:eastAsia="en-A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3">
    <w:name w:val="Table Grid23"/>
    <w:basedOn w:val="TableNormal"/>
    <w:next w:val="TableGrid"/>
    <w:uiPriority w:val="59"/>
    <w:rsid w:val="00620770"/>
    <w:pPr>
      <w:spacing w:before="0" w:after="0"/>
    </w:pPr>
    <w:rPr>
      <w:rFonts w:ascii="Times New Roman" w:eastAsia="Calibri" w:hAnsi="Times New Roman" w:cs="Times New Roman"/>
      <w:color w:val="auto"/>
      <w:lang w:eastAsia="en-A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4">
    <w:name w:val="Table Grid24"/>
    <w:basedOn w:val="TableNormal"/>
    <w:next w:val="TableGrid"/>
    <w:uiPriority w:val="59"/>
    <w:rsid w:val="00620770"/>
    <w:pPr>
      <w:spacing w:before="0" w:after="0"/>
    </w:pPr>
    <w:rPr>
      <w:rFonts w:ascii="Times New Roman" w:eastAsia="Calibri" w:hAnsi="Times New Roman" w:cs="Times New Roman"/>
      <w:color w:val="auto"/>
      <w:lang w:eastAsia="en-A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5">
    <w:name w:val="Table Grid25"/>
    <w:basedOn w:val="TableNormal"/>
    <w:next w:val="TableGrid"/>
    <w:uiPriority w:val="59"/>
    <w:rsid w:val="00620770"/>
    <w:pPr>
      <w:spacing w:before="0" w:after="0"/>
    </w:pPr>
    <w:rPr>
      <w:rFonts w:ascii="Times New Roman" w:eastAsia="Calibri" w:hAnsi="Times New Roman" w:cs="Times New Roman"/>
      <w:color w:val="auto"/>
      <w:lang w:eastAsia="en-A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0">
    <w:name w:val="Table Grid10"/>
    <w:basedOn w:val="TableNormal"/>
    <w:next w:val="TableGrid"/>
    <w:uiPriority w:val="39"/>
    <w:rsid w:val="00620770"/>
    <w:pPr>
      <w:spacing w:before="0" w:after="0"/>
    </w:pPr>
    <w:rPr>
      <w:rFonts w:ascii="Times New Roman" w:eastAsia="Calibri" w:hAnsi="Times New Roman" w:cs="Times New Roman"/>
      <w:color w:val="auto"/>
      <w:lang w:eastAsia="en-A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RISAppendix">
    <w:name w:val="RIS Appendix"/>
    <w:basedOn w:val="Heading1"/>
    <w:link w:val="RISAppendixChar"/>
    <w:rsid w:val="00620770"/>
    <w:pPr>
      <w:tabs>
        <w:tab w:val="left" w:pos="720"/>
        <w:tab w:val="left" w:pos="851"/>
      </w:tabs>
      <w:suppressAutoHyphens w:val="0"/>
      <w:spacing w:before="240" w:after="240"/>
      <w:ind w:left="1474" w:hanging="1474"/>
      <w:contextualSpacing w:val="0"/>
    </w:pPr>
    <w:rPr>
      <w:rFonts w:eastAsia="Times New Roman" w:cs="Times New Roman"/>
      <w:b/>
      <w:bCs/>
      <w:caps/>
      <w:color w:val="auto"/>
      <w:sz w:val="24"/>
      <w:szCs w:val="28"/>
    </w:rPr>
  </w:style>
  <w:style w:type="paragraph" w:customStyle="1" w:styleId="RISAppendixHeading">
    <w:name w:val="RIS Appendix Heading"/>
    <w:basedOn w:val="Heading1"/>
    <w:next w:val="Normal"/>
    <w:link w:val="RISAppendixHeadingChar"/>
    <w:rsid w:val="00620770"/>
    <w:pPr>
      <w:tabs>
        <w:tab w:val="left" w:pos="720"/>
        <w:tab w:val="left" w:pos="851"/>
      </w:tabs>
      <w:suppressAutoHyphens w:val="0"/>
      <w:spacing w:before="240" w:after="240"/>
      <w:ind w:left="357" w:hanging="357"/>
      <w:contextualSpacing w:val="0"/>
    </w:pPr>
    <w:rPr>
      <w:rFonts w:eastAsia="Times New Roman" w:cs="Times New Roman"/>
      <w:b/>
      <w:bCs/>
      <w:caps/>
      <w:color w:val="auto"/>
      <w:sz w:val="24"/>
      <w:szCs w:val="28"/>
    </w:rPr>
  </w:style>
  <w:style w:type="character" w:customStyle="1" w:styleId="RISAppendixChar">
    <w:name w:val="RIS Appendix Char"/>
    <w:basedOn w:val="Appendix-HeadingChar"/>
    <w:link w:val="RISAppendix"/>
    <w:rsid w:val="00620770"/>
    <w:rPr>
      <w:rFonts w:asciiTheme="majorHAnsi" w:eastAsia="Times New Roman" w:hAnsiTheme="majorHAnsi" w:cs="Times New Roman"/>
      <w:b/>
      <w:bCs/>
      <w:caps/>
      <w:color w:val="auto"/>
      <w:kern w:val="12"/>
      <w:sz w:val="24"/>
      <w:szCs w:val="28"/>
    </w:rPr>
  </w:style>
  <w:style w:type="character" w:customStyle="1" w:styleId="RISAppendixHeadingChar">
    <w:name w:val="RIS Appendix Heading Char"/>
    <w:basedOn w:val="Heading1Char"/>
    <w:link w:val="RISAppendixHeading"/>
    <w:rsid w:val="00620770"/>
    <w:rPr>
      <w:rFonts w:asciiTheme="majorHAnsi" w:eastAsia="Times New Roman" w:hAnsiTheme="majorHAnsi" w:cs="Times New Roman"/>
      <w:b/>
      <w:bCs/>
      <w:caps/>
      <w:color w:val="auto"/>
      <w:kern w:val="12"/>
      <w:sz w:val="24"/>
      <w:szCs w:val="28"/>
    </w:rPr>
  </w:style>
  <w:style w:type="character" w:customStyle="1" w:styleId="Heading7Char1">
    <w:name w:val="Heading 7 Char1"/>
    <w:basedOn w:val="DefaultParagraphFont"/>
    <w:uiPriority w:val="9"/>
    <w:semiHidden/>
    <w:rsid w:val="00620770"/>
    <w:rPr>
      <w:rFonts w:asciiTheme="majorHAnsi" w:eastAsiaTheme="majorEastAsia" w:hAnsiTheme="majorHAnsi" w:cstheme="majorBidi"/>
      <w:i/>
      <w:iCs/>
      <w:color w:val="040E1E" w:themeColor="accent1" w:themeShade="7F"/>
      <w:kern w:val="12"/>
    </w:rPr>
  </w:style>
  <w:style w:type="table" w:styleId="LightGrid-Accent2">
    <w:name w:val="Light Grid Accent 2"/>
    <w:basedOn w:val="TableNormal"/>
    <w:uiPriority w:val="62"/>
    <w:semiHidden/>
    <w:unhideWhenUsed/>
    <w:rsid w:val="00620770"/>
    <w:pPr>
      <w:spacing w:before="0" w:after="0"/>
    </w:pPr>
    <w:tblPr>
      <w:tblStyleRowBandSize w:val="1"/>
      <w:tblStyleColBandSize w:val="1"/>
      <w:tblBorders>
        <w:top w:val="single" w:sz="8" w:space="0" w:color="4BB3B5" w:themeColor="accent2"/>
        <w:left w:val="single" w:sz="8" w:space="0" w:color="4BB3B5" w:themeColor="accent2"/>
        <w:bottom w:val="single" w:sz="8" w:space="0" w:color="4BB3B5" w:themeColor="accent2"/>
        <w:right w:val="single" w:sz="8" w:space="0" w:color="4BB3B5" w:themeColor="accent2"/>
        <w:insideH w:val="single" w:sz="8" w:space="0" w:color="4BB3B5" w:themeColor="accent2"/>
        <w:insideV w:val="single" w:sz="8" w:space="0" w:color="4BB3B5"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B3B5" w:themeColor="accent2"/>
          <w:left w:val="single" w:sz="8" w:space="0" w:color="4BB3B5" w:themeColor="accent2"/>
          <w:bottom w:val="single" w:sz="18" w:space="0" w:color="4BB3B5" w:themeColor="accent2"/>
          <w:right w:val="single" w:sz="8" w:space="0" w:color="4BB3B5" w:themeColor="accent2"/>
          <w:insideH w:val="nil"/>
          <w:insideV w:val="single" w:sz="8" w:space="0" w:color="4BB3B5"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B3B5" w:themeColor="accent2"/>
          <w:left w:val="single" w:sz="8" w:space="0" w:color="4BB3B5" w:themeColor="accent2"/>
          <w:bottom w:val="single" w:sz="8" w:space="0" w:color="4BB3B5" w:themeColor="accent2"/>
          <w:right w:val="single" w:sz="8" w:space="0" w:color="4BB3B5" w:themeColor="accent2"/>
          <w:insideH w:val="nil"/>
          <w:insideV w:val="single" w:sz="8" w:space="0" w:color="4BB3B5"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B3B5" w:themeColor="accent2"/>
          <w:left w:val="single" w:sz="8" w:space="0" w:color="4BB3B5" w:themeColor="accent2"/>
          <w:bottom w:val="single" w:sz="8" w:space="0" w:color="4BB3B5" w:themeColor="accent2"/>
          <w:right w:val="single" w:sz="8" w:space="0" w:color="4BB3B5" w:themeColor="accent2"/>
        </w:tcBorders>
      </w:tcPr>
    </w:tblStylePr>
    <w:tblStylePr w:type="band1Vert">
      <w:tblPr/>
      <w:tcPr>
        <w:tcBorders>
          <w:top w:val="single" w:sz="8" w:space="0" w:color="4BB3B5" w:themeColor="accent2"/>
          <w:left w:val="single" w:sz="8" w:space="0" w:color="4BB3B5" w:themeColor="accent2"/>
          <w:bottom w:val="single" w:sz="8" w:space="0" w:color="4BB3B5" w:themeColor="accent2"/>
          <w:right w:val="single" w:sz="8" w:space="0" w:color="4BB3B5" w:themeColor="accent2"/>
        </w:tcBorders>
        <w:shd w:val="clear" w:color="auto" w:fill="D2ECEC" w:themeFill="accent2" w:themeFillTint="3F"/>
      </w:tcPr>
    </w:tblStylePr>
    <w:tblStylePr w:type="band1Horz">
      <w:tblPr/>
      <w:tcPr>
        <w:tcBorders>
          <w:top w:val="single" w:sz="8" w:space="0" w:color="4BB3B5" w:themeColor="accent2"/>
          <w:left w:val="single" w:sz="8" w:space="0" w:color="4BB3B5" w:themeColor="accent2"/>
          <w:bottom w:val="single" w:sz="8" w:space="0" w:color="4BB3B5" w:themeColor="accent2"/>
          <w:right w:val="single" w:sz="8" w:space="0" w:color="4BB3B5" w:themeColor="accent2"/>
          <w:insideV w:val="single" w:sz="8" w:space="0" w:color="4BB3B5" w:themeColor="accent2"/>
        </w:tcBorders>
        <w:shd w:val="clear" w:color="auto" w:fill="D2ECEC" w:themeFill="accent2" w:themeFillTint="3F"/>
      </w:tcPr>
    </w:tblStylePr>
    <w:tblStylePr w:type="band2Horz">
      <w:tblPr/>
      <w:tcPr>
        <w:tcBorders>
          <w:top w:val="single" w:sz="8" w:space="0" w:color="4BB3B5" w:themeColor="accent2"/>
          <w:left w:val="single" w:sz="8" w:space="0" w:color="4BB3B5" w:themeColor="accent2"/>
          <w:bottom w:val="single" w:sz="8" w:space="0" w:color="4BB3B5" w:themeColor="accent2"/>
          <w:right w:val="single" w:sz="8" w:space="0" w:color="4BB3B5" w:themeColor="accent2"/>
          <w:insideV w:val="single" w:sz="8" w:space="0" w:color="4BB3B5" w:themeColor="accent2"/>
        </w:tcBorders>
      </w:tcPr>
    </w:tblStylePr>
  </w:style>
  <w:style w:type="table" w:styleId="LightShading-Accent1">
    <w:name w:val="Light Shading Accent 1"/>
    <w:basedOn w:val="TableNormal"/>
    <w:uiPriority w:val="60"/>
    <w:semiHidden/>
    <w:unhideWhenUsed/>
    <w:rsid w:val="00620770"/>
    <w:pPr>
      <w:spacing w:before="0" w:after="0"/>
    </w:pPr>
    <w:rPr>
      <w:color w:val="06162E" w:themeColor="accent1" w:themeShade="BF"/>
    </w:rPr>
    <w:tblPr>
      <w:tblStyleRowBandSize w:val="1"/>
      <w:tblStyleColBandSize w:val="1"/>
      <w:tblBorders>
        <w:top w:val="single" w:sz="8" w:space="0" w:color="081E3E" w:themeColor="accent1"/>
        <w:bottom w:val="single" w:sz="8" w:space="0" w:color="081E3E" w:themeColor="accent1"/>
      </w:tblBorders>
    </w:tblPr>
    <w:tblStylePr w:type="firstRow">
      <w:pPr>
        <w:spacing w:before="0" w:after="0" w:line="240" w:lineRule="auto"/>
      </w:pPr>
      <w:rPr>
        <w:b/>
        <w:bCs/>
      </w:rPr>
      <w:tblPr/>
      <w:tcPr>
        <w:tcBorders>
          <w:top w:val="single" w:sz="8" w:space="0" w:color="081E3E" w:themeColor="accent1"/>
          <w:left w:val="nil"/>
          <w:bottom w:val="single" w:sz="8" w:space="0" w:color="081E3E" w:themeColor="accent1"/>
          <w:right w:val="nil"/>
          <w:insideH w:val="nil"/>
          <w:insideV w:val="nil"/>
        </w:tcBorders>
      </w:tcPr>
    </w:tblStylePr>
    <w:tblStylePr w:type="lastRow">
      <w:pPr>
        <w:spacing w:before="0" w:after="0" w:line="240" w:lineRule="auto"/>
      </w:pPr>
      <w:rPr>
        <w:b/>
        <w:bCs/>
      </w:rPr>
      <w:tblPr/>
      <w:tcPr>
        <w:tcBorders>
          <w:top w:val="single" w:sz="8" w:space="0" w:color="081E3E" w:themeColor="accent1"/>
          <w:left w:val="nil"/>
          <w:bottom w:val="single" w:sz="8" w:space="0" w:color="081E3E"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EC0F2" w:themeFill="accent1" w:themeFillTint="3F"/>
      </w:tcPr>
    </w:tblStylePr>
    <w:tblStylePr w:type="band1Horz">
      <w:tblPr/>
      <w:tcPr>
        <w:tcBorders>
          <w:left w:val="nil"/>
          <w:right w:val="nil"/>
          <w:insideH w:val="nil"/>
          <w:insideV w:val="nil"/>
        </w:tcBorders>
        <w:shd w:val="clear" w:color="auto" w:fill="9EC0F2" w:themeFill="accent1" w:themeFillTint="3F"/>
      </w:tcPr>
    </w:tblStylePr>
  </w:style>
  <w:style w:type="table" w:styleId="LightShading">
    <w:name w:val="Light Shading"/>
    <w:basedOn w:val="TableNormal"/>
    <w:uiPriority w:val="60"/>
    <w:semiHidden/>
    <w:unhideWhenUsed/>
    <w:rsid w:val="00620770"/>
    <w:pPr>
      <w:spacing w:before="0" w:after="0"/>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MediumList2-Accent1">
    <w:name w:val="Medium List 2 Accent 1"/>
    <w:basedOn w:val="TableNormal"/>
    <w:uiPriority w:val="66"/>
    <w:semiHidden/>
    <w:unhideWhenUsed/>
    <w:rsid w:val="00620770"/>
    <w:pPr>
      <w:spacing w:before="0" w:after="0"/>
    </w:pPr>
    <w:rPr>
      <w:rFonts w:asciiTheme="majorHAnsi" w:eastAsiaTheme="majorEastAsia" w:hAnsiTheme="majorHAnsi" w:cstheme="majorBidi"/>
    </w:rPr>
    <w:tblPr>
      <w:tblStyleRowBandSize w:val="1"/>
      <w:tblStyleColBandSize w:val="1"/>
      <w:tblBorders>
        <w:top w:val="single" w:sz="8" w:space="0" w:color="081E3E" w:themeColor="accent1"/>
        <w:left w:val="single" w:sz="8" w:space="0" w:color="081E3E" w:themeColor="accent1"/>
        <w:bottom w:val="single" w:sz="8" w:space="0" w:color="081E3E" w:themeColor="accent1"/>
        <w:right w:val="single" w:sz="8" w:space="0" w:color="081E3E" w:themeColor="accent1"/>
      </w:tblBorders>
    </w:tblPr>
    <w:tblStylePr w:type="firstRow">
      <w:rPr>
        <w:sz w:val="24"/>
        <w:szCs w:val="24"/>
      </w:rPr>
      <w:tblPr/>
      <w:tcPr>
        <w:tcBorders>
          <w:top w:val="nil"/>
          <w:left w:val="nil"/>
          <w:bottom w:val="single" w:sz="24" w:space="0" w:color="081E3E"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81E3E" w:themeColor="accent1"/>
          <w:insideH w:val="nil"/>
          <w:insideV w:val="nil"/>
        </w:tcBorders>
        <w:shd w:val="clear" w:color="auto" w:fill="FFFFFF" w:themeFill="background1"/>
      </w:tcPr>
    </w:tblStylePr>
    <w:tblStylePr w:type="lastCol">
      <w:tblPr/>
      <w:tcPr>
        <w:tcBorders>
          <w:top w:val="nil"/>
          <w:left w:val="single" w:sz="8" w:space="0" w:color="081E3E"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9EC0F2" w:themeFill="accent1" w:themeFillTint="3F"/>
      </w:tcPr>
    </w:tblStylePr>
    <w:tblStylePr w:type="band1Horz">
      <w:tblPr/>
      <w:tcPr>
        <w:tcBorders>
          <w:top w:val="nil"/>
          <w:bottom w:val="nil"/>
          <w:insideH w:val="nil"/>
          <w:insideV w:val="nil"/>
        </w:tcBorders>
        <w:shd w:val="clear" w:color="auto" w:fill="9EC0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LightShading-Accent6">
    <w:name w:val="Light Shading Accent 6"/>
    <w:basedOn w:val="TableNormal"/>
    <w:uiPriority w:val="60"/>
    <w:semiHidden/>
    <w:unhideWhenUsed/>
    <w:rsid w:val="00620770"/>
    <w:pPr>
      <w:spacing w:before="0" w:after="0"/>
    </w:pPr>
    <w:rPr>
      <w:color w:val="449F70" w:themeColor="accent6" w:themeShade="BF"/>
    </w:rPr>
    <w:tblPr>
      <w:tblStyleRowBandSize w:val="1"/>
      <w:tblStyleColBandSize w:val="1"/>
      <w:tblBorders>
        <w:top w:val="single" w:sz="8" w:space="0" w:color="6FC197" w:themeColor="accent6"/>
        <w:bottom w:val="single" w:sz="8" w:space="0" w:color="6FC197" w:themeColor="accent6"/>
      </w:tblBorders>
    </w:tblPr>
    <w:tblStylePr w:type="firstRow">
      <w:pPr>
        <w:spacing w:before="0" w:after="0" w:line="240" w:lineRule="auto"/>
      </w:pPr>
      <w:rPr>
        <w:b/>
        <w:bCs/>
      </w:rPr>
      <w:tblPr/>
      <w:tcPr>
        <w:tcBorders>
          <w:top w:val="single" w:sz="8" w:space="0" w:color="6FC197" w:themeColor="accent6"/>
          <w:left w:val="nil"/>
          <w:bottom w:val="single" w:sz="8" w:space="0" w:color="6FC197" w:themeColor="accent6"/>
          <w:right w:val="nil"/>
          <w:insideH w:val="nil"/>
          <w:insideV w:val="nil"/>
        </w:tcBorders>
      </w:tcPr>
    </w:tblStylePr>
    <w:tblStylePr w:type="lastRow">
      <w:pPr>
        <w:spacing w:before="0" w:after="0" w:line="240" w:lineRule="auto"/>
      </w:pPr>
      <w:rPr>
        <w:b/>
        <w:bCs/>
      </w:rPr>
      <w:tblPr/>
      <w:tcPr>
        <w:tcBorders>
          <w:top w:val="single" w:sz="8" w:space="0" w:color="6FC197" w:themeColor="accent6"/>
          <w:left w:val="nil"/>
          <w:bottom w:val="single" w:sz="8" w:space="0" w:color="6FC19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FE5" w:themeFill="accent6" w:themeFillTint="3F"/>
      </w:tcPr>
    </w:tblStylePr>
    <w:tblStylePr w:type="band1Horz">
      <w:tblPr/>
      <w:tcPr>
        <w:tcBorders>
          <w:left w:val="nil"/>
          <w:right w:val="nil"/>
          <w:insideH w:val="nil"/>
          <w:insideV w:val="nil"/>
        </w:tcBorders>
        <w:shd w:val="clear" w:color="auto" w:fill="DBEFE5" w:themeFill="accent6" w:themeFillTint="3F"/>
      </w:tcPr>
    </w:tblStylePr>
  </w:style>
  <w:style w:type="paragraph" w:styleId="BlockText">
    <w:name w:val="Block Text"/>
    <w:basedOn w:val="Normal"/>
    <w:uiPriority w:val="99"/>
    <w:semiHidden/>
    <w:unhideWhenUsed/>
    <w:rsid w:val="00620770"/>
    <w:pPr>
      <w:pBdr>
        <w:top w:val="single" w:sz="2" w:space="10" w:color="081E3E" w:themeColor="accent1" w:shadow="1"/>
        <w:left w:val="single" w:sz="2" w:space="10" w:color="081E3E" w:themeColor="accent1" w:shadow="1"/>
        <w:bottom w:val="single" w:sz="2" w:space="10" w:color="081E3E" w:themeColor="accent1" w:shadow="1"/>
        <w:right w:val="single" w:sz="2" w:space="10" w:color="081E3E" w:themeColor="accent1" w:shadow="1"/>
      </w:pBdr>
      <w:ind w:left="1152" w:right="1152"/>
    </w:pPr>
    <w:rPr>
      <w:rFonts w:eastAsiaTheme="minorEastAsia"/>
      <w:i/>
      <w:iCs/>
      <w:color w:val="081E3E" w:themeColor="accent1"/>
    </w:rPr>
  </w:style>
  <w:style w:type="paragraph" w:styleId="EnvelopeAddress">
    <w:name w:val="envelope address"/>
    <w:basedOn w:val="Normal"/>
    <w:uiPriority w:val="99"/>
    <w:semiHidden/>
    <w:unhideWhenUsed/>
    <w:rsid w:val="00620770"/>
    <w:pPr>
      <w:framePr w:w="7920" w:h="1980" w:hRule="exact" w:hSpace="180" w:wrap="auto" w:hAnchor="page" w:xAlign="center" w:yAlign="bottom"/>
      <w:spacing w:before="0" w:after="0"/>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620770"/>
    <w:pPr>
      <w:spacing w:before="0" w:after="0"/>
    </w:pPr>
    <w:rPr>
      <w:rFonts w:asciiTheme="majorHAnsi" w:eastAsiaTheme="majorEastAsia" w:hAnsiTheme="majorHAnsi" w:cstheme="majorBidi"/>
    </w:rPr>
  </w:style>
  <w:style w:type="paragraph" w:styleId="IntenseQuote">
    <w:name w:val="Intense Quote"/>
    <w:basedOn w:val="Normal"/>
    <w:next w:val="Normal"/>
    <w:link w:val="IntenseQuoteChar"/>
    <w:uiPriority w:val="30"/>
    <w:semiHidden/>
    <w:qFormat/>
    <w:rsid w:val="00620770"/>
    <w:pPr>
      <w:pBdr>
        <w:top w:val="single" w:sz="4" w:space="10" w:color="081E3E" w:themeColor="accent1"/>
        <w:bottom w:val="single" w:sz="4" w:space="10" w:color="081E3E" w:themeColor="accent1"/>
      </w:pBdr>
      <w:spacing w:before="360" w:after="360"/>
      <w:ind w:left="864" w:right="864"/>
      <w:jc w:val="center"/>
    </w:pPr>
    <w:rPr>
      <w:rFonts w:ascii="Times New Roman" w:eastAsia="Calibri" w:hAnsi="Times New Roman" w:cs="Times New Roman"/>
      <w:i/>
      <w:iCs/>
      <w:color w:val="4F81BD"/>
      <w:kern w:val="0"/>
      <w:sz w:val="24"/>
    </w:rPr>
  </w:style>
  <w:style w:type="character" w:customStyle="1" w:styleId="IntenseQuoteChar1">
    <w:name w:val="Intense Quote Char1"/>
    <w:basedOn w:val="DefaultParagraphFont"/>
    <w:uiPriority w:val="30"/>
    <w:semiHidden/>
    <w:rsid w:val="00620770"/>
    <w:rPr>
      <w:i/>
      <w:iCs/>
      <w:color w:val="081E3E" w:themeColor="accent1"/>
      <w:kern w:val="12"/>
    </w:rPr>
  </w:style>
  <w:style w:type="paragraph" w:styleId="MessageHeader">
    <w:name w:val="Message Header"/>
    <w:basedOn w:val="Normal"/>
    <w:link w:val="MessageHeaderChar1"/>
    <w:uiPriority w:val="99"/>
    <w:semiHidden/>
    <w:unhideWhenUsed/>
    <w:rsid w:val="00620770"/>
    <w:pPr>
      <w:pBdr>
        <w:top w:val="single" w:sz="6" w:space="1" w:color="auto"/>
        <w:left w:val="single" w:sz="6" w:space="1" w:color="auto"/>
        <w:bottom w:val="single" w:sz="6" w:space="1" w:color="auto"/>
        <w:right w:val="single" w:sz="6" w:space="1" w:color="auto"/>
      </w:pBdr>
      <w:shd w:val="pct20" w:color="auto" w:fill="auto"/>
      <w:spacing w:before="0" w:after="0"/>
      <w:ind w:left="1134" w:hanging="1134"/>
    </w:pPr>
    <w:rPr>
      <w:rFonts w:asciiTheme="majorHAnsi" w:eastAsiaTheme="majorEastAsia" w:hAnsiTheme="majorHAnsi" w:cstheme="majorBidi"/>
      <w:sz w:val="24"/>
      <w:szCs w:val="24"/>
    </w:rPr>
  </w:style>
  <w:style w:type="character" w:customStyle="1" w:styleId="MessageHeaderChar1">
    <w:name w:val="Message Header Char1"/>
    <w:basedOn w:val="DefaultParagraphFont"/>
    <w:link w:val="MessageHeader"/>
    <w:uiPriority w:val="99"/>
    <w:semiHidden/>
    <w:rsid w:val="00620770"/>
    <w:rPr>
      <w:rFonts w:asciiTheme="majorHAnsi" w:eastAsiaTheme="majorEastAsia" w:hAnsiTheme="majorHAnsi" w:cstheme="majorBidi"/>
      <w:kern w:val="12"/>
      <w:sz w:val="24"/>
      <w:szCs w:val="24"/>
      <w:shd w:val="pct20" w:color="auto" w:fill="auto"/>
    </w:rPr>
  </w:style>
  <w:style w:type="paragraph" w:customStyle="1" w:styleId="citeboxright">
    <w:name w:val="citeboxright"/>
    <w:basedOn w:val="Normal"/>
    <w:rsid w:val="00352C22"/>
    <w:pPr>
      <w:suppressAutoHyphens w:val="0"/>
      <w:spacing w:before="100" w:beforeAutospacing="1" w:after="100" w:afterAutospacing="1"/>
    </w:pPr>
    <w:rPr>
      <w:rFonts w:ascii="Times New Roman" w:eastAsia="Times New Roman" w:hAnsi="Times New Roman" w:cs="Times New Roman"/>
      <w:color w:val="auto"/>
      <w:kern w:val="0"/>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5909384">
      <w:bodyDiv w:val="1"/>
      <w:marLeft w:val="0"/>
      <w:marRight w:val="0"/>
      <w:marTop w:val="0"/>
      <w:marBottom w:val="0"/>
      <w:divBdr>
        <w:top w:val="none" w:sz="0" w:space="0" w:color="auto"/>
        <w:left w:val="none" w:sz="0" w:space="0" w:color="auto"/>
        <w:bottom w:val="none" w:sz="0" w:space="0" w:color="auto"/>
        <w:right w:val="none" w:sz="0" w:space="0" w:color="auto"/>
      </w:divBdr>
    </w:div>
    <w:div w:id="445122141">
      <w:bodyDiv w:val="1"/>
      <w:marLeft w:val="0"/>
      <w:marRight w:val="0"/>
      <w:marTop w:val="0"/>
      <w:marBottom w:val="0"/>
      <w:divBdr>
        <w:top w:val="none" w:sz="0" w:space="0" w:color="auto"/>
        <w:left w:val="none" w:sz="0" w:space="0" w:color="auto"/>
        <w:bottom w:val="none" w:sz="0" w:space="0" w:color="auto"/>
        <w:right w:val="none" w:sz="0" w:space="0" w:color="auto"/>
      </w:divBdr>
    </w:div>
    <w:div w:id="511723060">
      <w:bodyDiv w:val="1"/>
      <w:marLeft w:val="0"/>
      <w:marRight w:val="0"/>
      <w:marTop w:val="0"/>
      <w:marBottom w:val="0"/>
      <w:divBdr>
        <w:top w:val="none" w:sz="0" w:space="0" w:color="auto"/>
        <w:left w:val="none" w:sz="0" w:space="0" w:color="auto"/>
        <w:bottom w:val="none" w:sz="0" w:space="0" w:color="auto"/>
        <w:right w:val="none" w:sz="0" w:space="0" w:color="auto"/>
      </w:divBdr>
    </w:div>
    <w:div w:id="721251161">
      <w:bodyDiv w:val="1"/>
      <w:marLeft w:val="0"/>
      <w:marRight w:val="0"/>
      <w:marTop w:val="0"/>
      <w:marBottom w:val="0"/>
      <w:divBdr>
        <w:top w:val="none" w:sz="0" w:space="0" w:color="auto"/>
        <w:left w:val="none" w:sz="0" w:space="0" w:color="auto"/>
        <w:bottom w:val="none" w:sz="0" w:space="0" w:color="auto"/>
        <w:right w:val="none" w:sz="0" w:space="0" w:color="auto"/>
      </w:divBdr>
    </w:div>
    <w:div w:id="1036540584">
      <w:bodyDiv w:val="1"/>
      <w:marLeft w:val="0"/>
      <w:marRight w:val="0"/>
      <w:marTop w:val="0"/>
      <w:marBottom w:val="0"/>
      <w:divBdr>
        <w:top w:val="none" w:sz="0" w:space="0" w:color="auto"/>
        <w:left w:val="none" w:sz="0" w:space="0" w:color="auto"/>
        <w:bottom w:val="none" w:sz="0" w:space="0" w:color="auto"/>
        <w:right w:val="none" w:sz="0" w:space="0" w:color="auto"/>
      </w:divBdr>
    </w:div>
    <w:div w:id="1125930716">
      <w:bodyDiv w:val="1"/>
      <w:marLeft w:val="0"/>
      <w:marRight w:val="0"/>
      <w:marTop w:val="0"/>
      <w:marBottom w:val="0"/>
      <w:divBdr>
        <w:top w:val="none" w:sz="0" w:space="0" w:color="auto"/>
        <w:left w:val="none" w:sz="0" w:space="0" w:color="auto"/>
        <w:bottom w:val="none" w:sz="0" w:space="0" w:color="auto"/>
        <w:right w:val="none" w:sz="0" w:space="0" w:color="auto"/>
      </w:divBdr>
    </w:div>
    <w:div w:id="1192036329">
      <w:bodyDiv w:val="1"/>
      <w:marLeft w:val="0"/>
      <w:marRight w:val="0"/>
      <w:marTop w:val="0"/>
      <w:marBottom w:val="0"/>
      <w:divBdr>
        <w:top w:val="none" w:sz="0" w:space="0" w:color="auto"/>
        <w:left w:val="none" w:sz="0" w:space="0" w:color="auto"/>
        <w:bottom w:val="none" w:sz="0" w:space="0" w:color="auto"/>
        <w:right w:val="none" w:sz="0" w:space="0" w:color="auto"/>
      </w:divBdr>
    </w:div>
    <w:div w:id="1575580977">
      <w:bodyDiv w:val="1"/>
      <w:marLeft w:val="0"/>
      <w:marRight w:val="0"/>
      <w:marTop w:val="0"/>
      <w:marBottom w:val="0"/>
      <w:divBdr>
        <w:top w:val="none" w:sz="0" w:space="0" w:color="auto"/>
        <w:left w:val="none" w:sz="0" w:space="0" w:color="auto"/>
        <w:bottom w:val="none" w:sz="0" w:space="0" w:color="auto"/>
        <w:right w:val="none" w:sz="0" w:space="0" w:color="auto"/>
      </w:divBdr>
    </w:div>
    <w:div w:id="1616254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footer" Target="footer4.xml"/><Relationship Id="rId39" Type="http://schemas.openxmlformats.org/officeDocument/2006/relationships/image" Target="media/image10.png"/><Relationship Id="rId3" Type="http://schemas.openxmlformats.org/officeDocument/2006/relationships/customXml" Target="../customXml/item3.xml"/><Relationship Id="rId21" Type="http://schemas.openxmlformats.org/officeDocument/2006/relationships/hyperlink" Target="mailto:publishing@infrastructure.gov.au" TargetMode="External"/><Relationship Id="rId34" Type="http://schemas.openxmlformats.org/officeDocument/2006/relationships/image" Target="media/image6.emf"/><Relationship Id="rId42" Type="http://schemas.openxmlformats.org/officeDocument/2006/relationships/image" Target="media/image13.png"/><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footer" Target="footer1.xml"/><Relationship Id="rId25" Type="http://schemas.openxmlformats.org/officeDocument/2006/relationships/header" Target="header4.xml"/><Relationship Id="rId33" Type="http://schemas.openxmlformats.org/officeDocument/2006/relationships/image" Target="media/image5.png"/><Relationship Id="rId38" Type="http://schemas.openxmlformats.org/officeDocument/2006/relationships/image" Target="media/image9.png"/><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yperlink" Target="http://www.pmc.gov.au/" TargetMode="External"/><Relationship Id="rId29" Type="http://schemas.openxmlformats.org/officeDocument/2006/relationships/chart" Target="charts/chart1.xml"/><Relationship Id="rId41"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32" Type="http://schemas.openxmlformats.org/officeDocument/2006/relationships/chart" Target="charts/chart4.xml"/><Relationship Id="rId37" Type="http://schemas.openxmlformats.org/officeDocument/2006/relationships/image" Target="media/image8.png"/><Relationship Id="rId40" Type="http://schemas.openxmlformats.org/officeDocument/2006/relationships/image" Target="media/image11.png"/><Relationship Id="rId45"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header" Target="header3.xml"/><Relationship Id="rId28" Type="http://schemas.openxmlformats.org/officeDocument/2006/relationships/header" Target="header6.xml"/><Relationship Id="rId36" Type="http://schemas.openxmlformats.org/officeDocument/2006/relationships/image" Target="media/image7.png"/><Relationship Id="rId10" Type="http://schemas.openxmlformats.org/officeDocument/2006/relationships/footnotes" Target="footnotes.xml"/><Relationship Id="rId19" Type="http://schemas.openxmlformats.org/officeDocument/2006/relationships/hyperlink" Target="https://creativecommons.org/licenses/by/4.0/" TargetMode="External"/><Relationship Id="rId31" Type="http://schemas.openxmlformats.org/officeDocument/2006/relationships/chart" Target="charts/chart3.xml"/><Relationship Id="rId44"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www.infrastructure.gov.au/" TargetMode="External"/><Relationship Id="rId27" Type="http://schemas.openxmlformats.org/officeDocument/2006/relationships/header" Target="header5.xml"/><Relationship Id="rId30" Type="http://schemas.openxmlformats.org/officeDocument/2006/relationships/chart" Target="charts/chart2.xml"/><Relationship Id="rId35" Type="http://schemas.openxmlformats.org/officeDocument/2006/relationships/chart" Target="charts/chart5.xml"/><Relationship Id="rId43"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footer3.xml.rels><?xml version="1.0" encoding="UTF-8" standalone="yes"?>
<Relationships xmlns="http://schemas.openxmlformats.org/package/2006/relationships"><Relationship Id="rId1" Type="http://schemas.openxmlformats.org/officeDocument/2006/relationships/image" Target="media/image4.png"/></Relationships>
</file>

<file path=word/_rels/footer4.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Department_Templates\VSS\VSS%20RVS%20Document_0120.dotx" TargetMode="Externa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Sheet1!$B$1</c:f>
              <c:strCache>
                <c:ptCount val="1"/>
                <c:pt idx="0">
                  <c:v>Road Freight Task</c:v>
                </c:pt>
              </c:strCache>
            </c:strRef>
          </c:tx>
          <c:spPr>
            <a:ln w="28575" cap="rnd">
              <a:solidFill>
                <a:schemeClr val="accent1"/>
              </a:solidFill>
              <a:round/>
            </a:ln>
            <a:effectLst/>
          </c:spPr>
          <c:marker>
            <c:symbol val="none"/>
          </c:marker>
          <c:cat>
            <c:strRef>
              <c:f>Sheet1!$A$2:$A$4</c:f>
              <c:strCache>
                <c:ptCount val="3"/>
                <c:pt idx="0">
                  <c:v>1970-1971</c:v>
                </c:pt>
                <c:pt idx="1">
                  <c:v>2015 - 2016</c:v>
                </c:pt>
                <c:pt idx="2">
                  <c:v>2039-2040</c:v>
                </c:pt>
              </c:strCache>
            </c:strRef>
          </c:cat>
          <c:val>
            <c:numRef>
              <c:f>Sheet1!$B$2:$B$4</c:f>
              <c:numCache>
                <c:formatCode>General</c:formatCode>
                <c:ptCount val="3"/>
                <c:pt idx="0">
                  <c:v>26</c:v>
                </c:pt>
                <c:pt idx="1">
                  <c:v>203</c:v>
                </c:pt>
                <c:pt idx="2">
                  <c:v>337</c:v>
                </c:pt>
              </c:numCache>
            </c:numRef>
          </c:val>
          <c:smooth val="0"/>
          <c:extLst>
            <c:ext xmlns:c16="http://schemas.microsoft.com/office/drawing/2014/chart" uri="{C3380CC4-5D6E-409C-BE32-E72D297353CC}">
              <c16:uniqueId val="{00000000-7991-49A3-A350-779103D586C5}"/>
            </c:ext>
          </c:extLst>
        </c:ser>
        <c:ser>
          <c:idx val="1"/>
          <c:order val="1"/>
          <c:tx>
            <c:strRef>
              <c:f>Sheet1!$C$1</c:f>
              <c:strCache>
                <c:ptCount val="1"/>
                <c:pt idx="0">
                  <c:v>Total Freight Task</c:v>
                </c:pt>
              </c:strCache>
            </c:strRef>
          </c:tx>
          <c:spPr>
            <a:ln w="28575" cap="rnd">
              <a:solidFill>
                <a:schemeClr val="accent2"/>
              </a:solidFill>
              <a:round/>
            </a:ln>
            <a:effectLst/>
          </c:spPr>
          <c:marker>
            <c:symbol val="none"/>
          </c:marker>
          <c:cat>
            <c:strRef>
              <c:f>Sheet1!$A$2:$A$4</c:f>
              <c:strCache>
                <c:ptCount val="3"/>
                <c:pt idx="0">
                  <c:v>1970-1971</c:v>
                </c:pt>
                <c:pt idx="1">
                  <c:v>2015 - 2016</c:v>
                </c:pt>
                <c:pt idx="2">
                  <c:v>2039-2040</c:v>
                </c:pt>
              </c:strCache>
            </c:strRef>
          </c:cat>
          <c:val>
            <c:numRef>
              <c:f>Sheet1!$C$2:$C$4</c:f>
              <c:numCache>
                <c:formatCode>General</c:formatCode>
                <c:ptCount val="3"/>
                <c:pt idx="0">
                  <c:v>127</c:v>
                </c:pt>
                <c:pt idx="1">
                  <c:v>725</c:v>
                </c:pt>
              </c:numCache>
            </c:numRef>
          </c:val>
          <c:smooth val="0"/>
          <c:extLst>
            <c:ext xmlns:c16="http://schemas.microsoft.com/office/drawing/2014/chart" uri="{C3380CC4-5D6E-409C-BE32-E72D297353CC}">
              <c16:uniqueId val="{00000001-2ABC-4034-AABC-24D94B0B3850}"/>
            </c:ext>
          </c:extLst>
        </c:ser>
        <c:dLbls>
          <c:showLegendKey val="0"/>
          <c:showVal val="0"/>
          <c:showCatName val="0"/>
          <c:showSerName val="0"/>
          <c:showPercent val="0"/>
          <c:showBubbleSize val="0"/>
        </c:dLbls>
        <c:smooth val="0"/>
        <c:axId val="264264176"/>
        <c:axId val="264264504"/>
      </c:lineChart>
      <c:catAx>
        <c:axId val="2642641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64264504"/>
        <c:crosses val="autoZero"/>
        <c:auto val="1"/>
        <c:lblAlgn val="ctr"/>
        <c:lblOffset val="100"/>
        <c:noMultiLvlLbl val="0"/>
      </c:catAx>
      <c:valAx>
        <c:axId val="26426450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Billion</a:t>
                </a:r>
                <a:r>
                  <a:rPr lang="en-AU" baseline="0"/>
                  <a:t> tonne kilometres</a:t>
                </a:r>
              </a:p>
            </c:rich>
          </c:tx>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64264176"/>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900" b="0" i="0" u="none" strike="noStrike" kern="1200" baseline="0">
                <a:solidFill>
                  <a:schemeClr val="tx1">
                    <a:lumMod val="65000"/>
                    <a:lumOff val="35000"/>
                  </a:schemeClr>
                </a:solidFill>
                <a:latin typeface="+mn-lt"/>
                <a:ea typeface="+mn-ea"/>
                <a:cs typeface="+mn-cs"/>
              </a:defRPr>
            </a:pPr>
            <a:endParaRPr lang="en-US"/>
          </a:p>
        </c:txPr>
      </c:dTable>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Articulated</c:v>
                </c:pt>
              </c:strCache>
            </c:strRef>
          </c:tx>
          <c:spPr>
            <a:solidFill>
              <a:schemeClr val="accent1"/>
            </a:solidFill>
            <a:ln>
              <a:noFill/>
            </a:ln>
            <a:effectLst/>
          </c:spPr>
          <c:invertIfNegative val="0"/>
          <c:cat>
            <c:numRef>
              <c:f>Sheet1!$A$2:$A$11</c:f>
              <c:numCache>
                <c:formatCode>General</c:formatCode>
                <c:ptCount val="10"/>
                <c:pt idx="0">
                  <c:v>2012</c:v>
                </c:pt>
                <c:pt idx="1">
                  <c:v>2013</c:v>
                </c:pt>
                <c:pt idx="2">
                  <c:v>2014</c:v>
                </c:pt>
                <c:pt idx="3">
                  <c:v>2015</c:v>
                </c:pt>
                <c:pt idx="4">
                  <c:v>2016</c:v>
                </c:pt>
                <c:pt idx="5">
                  <c:v>2017</c:v>
                </c:pt>
                <c:pt idx="6">
                  <c:v>2018</c:v>
                </c:pt>
                <c:pt idx="7">
                  <c:v>2019</c:v>
                </c:pt>
                <c:pt idx="8">
                  <c:v>2020</c:v>
                </c:pt>
                <c:pt idx="9">
                  <c:v>2021</c:v>
                </c:pt>
              </c:numCache>
            </c:numRef>
          </c:cat>
          <c:val>
            <c:numRef>
              <c:f>Sheet1!$B$2:$B$11</c:f>
              <c:numCache>
                <c:formatCode>###0</c:formatCode>
                <c:ptCount val="10"/>
                <c:pt idx="0">
                  <c:v>126</c:v>
                </c:pt>
                <c:pt idx="1">
                  <c:v>143</c:v>
                </c:pt>
                <c:pt idx="2">
                  <c:v>122</c:v>
                </c:pt>
                <c:pt idx="3">
                  <c:v>107</c:v>
                </c:pt>
                <c:pt idx="4">
                  <c:v>111</c:v>
                </c:pt>
                <c:pt idx="5">
                  <c:v>114</c:v>
                </c:pt>
                <c:pt idx="6">
                  <c:v>96</c:v>
                </c:pt>
                <c:pt idx="7">
                  <c:v>103</c:v>
                </c:pt>
                <c:pt idx="8">
                  <c:v>93</c:v>
                </c:pt>
                <c:pt idx="9">
                  <c:v>100</c:v>
                </c:pt>
              </c:numCache>
            </c:numRef>
          </c:val>
          <c:extLst>
            <c:ext xmlns:c16="http://schemas.microsoft.com/office/drawing/2014/chart" uri="{C3380CC4-5D6E-409C-BE32-E72D297353CC}">
              <c16:uniqueId val="{00000000-2DD4-4BB1-A50F-DCFA4D667DCB}"/>
            </c:ext>
          </c:extLst>
        </c:ser>
        <c:ser>
          <c:idx val="1"/>
          <c:order val="1"/>
          <c:tx>
            <c:strRef>
              <c:f>Sheet1!$C$1</c:f>
              <c:strCache>
                <c:ptCount val="1"/>
                <c:pt idx="0">
                  <c:v>Heavy rigid</c:v>
                </c:pt>
              </c:strCache>
            </c:strRef>
          </c:tx>
          <c:spPr>
            <a:solidFill>
              <a:schemeClr val="accent2"/>
            </a:solidFill>
            <a:ln>
              <a:noFill/>
            </a:ln>
            <a:effectLst/>
          </c:spPr>
          <c:invertIfNegative val="0"/>
          <c:cat>
            <c:numRef>
              <c:f>Sheet1!$A$2:$A$11</c:f>
              <c:numCache>
                <c:formatCode>General</c:formatCode>
                <c:ptCount val="10"/>
                <c:pt idx="0">
                  <c:v>2012</c:v>
                </c:pt>
                <c:pt idx="1">
                  <c:v>2013</c:v>
                </c:pt>
                <c:pt idx="2">
                  <c:v>2014</c:v>
                </c:pt>
                <c:pt idx="3">
                  <c:v>2015</c:v>
                </c:pt>
                <c:pt idx="4">
                  <c:v>2016</c:v>
                </c:pt>
                <c:pt idx="5">
                  <c:v>2017</c:v>
                </c:pt>
                <c:pt idx="6">
                  <c:v>2018</c:v>
                </c:pt>
                <c:pt idx="7">
                  <c:v>2019</c:v>
                </c:pt>
                <c:pt idx="8">
                  <c:v>2020</c:v>
                </c:pt>
                <c:pt idx="9">
                  <c:v>2021</c:v>
                </c:pt>
              </c:numCache>
            </c:numRef>
          </c:cat>
          <c:val>
            <c:numRef>
              <c:f>Sheet1!$C$2:$C$11</c:f>
              <c:numCache>
                <c:formatCode>###0</c:formatCode>
                <c:ptCount val="10"/>
                <c:pt idx="0">
                  <c:v>81</c:v>
                </c:pt>
                <c:pt idx="1">
                  <c:v>79</c:v>
                </c:pt>
                <c:pt idx="2">
                  <c:v>86</c:v>
                </c:pt>
                <c:pt idx="3">
                  <c:v>87</c:v>
                </c:pt>
                <c:pt idx="4">
                  <c:v>80</c:v>
                </c:pt>
                <c:pt idx="5">
                  <c:v>80</c:v>
                </c:pt>
                <c:pt idx="6">
                  <c:v>87</c:v>
                </c:pt>
                <c:pt idx="7">
                  <c:v>92</c:v>
                </c:pt>
                <c:pt idx="8">
                  <c:v>64</c:v>
                </c:pt>
                <c:pt idx="9">
                  <c:v>61</c:v>
                </c:pt>
              </c:numCache>
            </c:numRef>
          </c:val>
          <c:extLst>
            <c:ext xmlns:c16="http://schemas.microsoft.com/office/drawing/2014/chart" uri="{C3380CC4-5D6E-409C-BE32-E72D297353CC}">
              <c16:uniqueId val="{00000001-2DD4-4BB1-A50F-DCFA4D667DCB}"/>
            </c:ext>
          </c:extLst>
        </c:ser>
        <c:ser>
          <c:idx val="2"/>
          <c:order val="2"/>
          <c:tx>
            <c:strRef>
              <c:f>Sheet1!$D$1</c:f>
              <c:strCache>
                <c:ptCount val="1"/>
                <c:pt idx="0">
                  <c:v>Any heavy</c:v>
                </c:pt>
              </c:strCache>
            </c:strRef>
          </c:tx>
          <c:spPr>
            <a:solidFill>
              <a:schemeClr val="accent3"/>
            </a:solidFill>
            <a:ln>
              <a:noFill/>
            </a:ln>
            <a:effectLst/>
          </c:spPr>
          <c:invertIfNegative val="0"/>
          <c:cat>
            <c:numRef>
              <c:f>Sheet1!$A$2:$A$11</c:f>
              <c:numCache>
                <c:formatCode>General</c:formatCode>
                <c:ptCount val="10"/>
                <c:pt idx="0">
                  <c:v>2012</c:v>
                </c:pt>
                <c:pt idx="1">
                  <c:v>2013</c:v>
                </c:pt>
                <c:pt idx="2">
                  <c:v>2014</c:v>
                </c:pt>
                <c:pt idx="3">
                  <c:v>2015</c:v>
                </c:pt>
                <c:pt idx="4">
                  <c:v>2016</c:v>
                </c:pt>
                <c:pt idx="5">
                  <c:v>2017</c:v>
                </c:pt>
                <c:pt idx="6">
                  <c:v>2018</c:v>
                </c:pt>
                <c:pt idx="7">
                  <c:v>2019</c:v>
                </c:pt>
                <c:pt idx="8">
                  <c:v>2020</c:v>
                </c:pt>
                <c:pt idx="9">
                  <c:v>2021</c:v>
                </c:pt>
              </c:numCache>
            </c:numRef>
          </c:cat>
          <c:val>
            <c:numRef>
              <c:f>Sheet1!$D$2:$D$11</c:f>
              <c:numCache>
                <c:formatCode>###0</c:formatCode>
                <c:ptCount val="10"/>
                <c:pt idx="0">
                  <c:v>202</c:v>
                </c:pt>
                <c:pt idx="1">
                  <c:v>219</c:v>
                </c:pt>
                <c:pt idx="2">
                  <c:v>204</c:v>
                </c:pt>
                <c:pt idx="3">
                  <c:v>192</c:v>
                </c:pt>
                <c:pt idx="4">
                  <c:v>186</c:v>
                </c:pt>
                <c:pt idx="5">
                  <c:v>185</c:v>
                </c:pt>
                <c:pt idx="6">
                  <c:v>173</c:v>
                </c:pt>
                <c:pt idx="7">
                  <c:v>191</c:v>
                </c:pt>
                <c:pt idx="8">
                  <c:v>155</c:v>
                </c:pt>
                <c:pt idx="9">
                  <c:v>159</c:v>
                </c:pt>
              </c:numCache>
            </c:numRef>
          </c:val>
          <c:extLst>
            <c:ext xmlns:c16="http://schemas.microsoft.com/office/drawing/2014/chart" uri="{C3380CC4-5D6E-409C-BE32-E72D297353CC}">
              <c16:uniqueId val="{00000002-2DD4-4BB1-A50F-DCFA4D667DCB}"/>
            </c:ext>
          </c:extLst>
        </c:ser>
        <c:ser>
          <c:idx val="3"/>
          <c:order val="3"/>
          <c:tx>
            <c:strRef>
              <c:f>Sheet1!$E$1</c:f>
              <c:strCache>
                <c:ptCount val="1"/>
                <c:pt idx="0">
                  <c:v>Bus</c:v>
                </c:pt>
              </c:strCache>
            </c:strRef>
          </c:tx>
          <c:spPr>
            <a:solidFill>
              <a:schemeClr val="accent4"/>
            </a:solidFill>
            <a:ln>
              <a:noFill/>
            </a:ln>
            <a:effectLst/>
          </c:spPr>
          <c:invertIfNegative val="0"/>
          <c:cat>
            <c:numRef>
              <c:f>Sheet1!$A$2:$A$11</c:f>
              <c:numCache>
                <c:formatCode>General</c:formatCode>
                <c:ptCount val="10"/>
                <c:pt idx="0">
                  <c:v>2012</c:v>
                </c:pt>
                <c:pt idx="1">
                  <c:v>2013</c:v>
                </c:pt>
                <c:pt idx="2">
                  <c:v>2014</c:v>
                </c:pt>
                <c:pt idx="3">
                  <c:v>2015</c:v>
                </c:pt>
                <c:pt idx="4">
                  <c:v>2016</c:v>
                </c:pt>
                <c:pt idx="5">
                  <c:v>2017</c:v>
                </c:pt>
                <c:pt idx="6">
                  <c:v>2018</c:v>
                </c:pt>
                <c:pt idx="7">
                  <c:v>2019</c:v>
                </c:pt>
                <c:pt idx="8">
                  <c:v>2020</c:v>
                </c:pt>
                <c:pt idx="9">
                  <c:v>2021</c:v>
                </c:pt>
              </c:numCache>
            </c:numRef>
          </c:cat>
          <c:val>
            <c:numRef>
              <c:f>Sheet1!$E$2:$E$11</c:f>
              <c:numCache>
                <c:formatCode>###0</c:formatCode>
                <c:ptCount val="10"/>
                <c:pt idx="0">
                  <c:v>23</c:v>
                </c:pt>
                <c:pt idx="1">
                  <c:v>15</c:v>
                </c:pt>
                <c:pt idx="2">
                  <c:v>13</c:v>
                </c:pt>
                <c:pt idx="3">
                  <c:v>20</c:v>
                </c:pt>
                <c:pt idx="4">
                  <c:v>25</c:v>
                </c:pt>
                <c:pt idx="5">
                  <c:v>35</c:v>
                </c:pt>
                <c:pt idx="6">
                  <c:v>22</c:v>
                </c:pt>
                <c:pt idx="7">
                  <c:v>20</c:v>
                </c:pt>
                <c:pt idx="8">
                  <c:v>14</c:v>
                </c:pt>
                <c:pt idx="9">
                  <c:v>21</c:v>
                </c:pt>
              </c:numCache>
            </c:numRef>
          </c:val>
          <c:extLst>
            <c:ext xmlns:c16="http://schemas.microsoft.com/office/drawing/2014/chart" uri="{C3380CC4-5D6E-409C-BE32-E72D297353CC}">
              <c16:uniqueId val="{00000003-2DD4-4BB1-A50F-DCFA4D667DCB}"/>
            </c:ext>
          </c:extLst>
        </c:ser>
        <c:dLbls>
          <c:showLegendKey val="0"/>
          <c:showVal val="0"/>
          <c:showCatName val="0"/>
          <c:showSerName val="0"/>
          <c:showPercent val="0"/>
          <c:showBubbleSize val="0"/>
        </c:dLbls>
        <c:gapWidth val="219"/>
        <c:overlap val="-27"/>
        <c:axId val="593465784"/>
        <c:axId val="593464144"/>
      </c:barChart>
      <c:catAx>
        <c:axId val="5934657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93464144"/>
        <c:crosses val="autoZero"/>
        <c:auto val="1"/>
        <c:lblAlgn val="ctr"/>
        <c:lblOffset val="100"/>
        <c:noMultiLvlLbl val="0"/>
      </c:catAx>
      <c:valAx>
        <c:axId val="59346414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93465784"/>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Articulated</c:v>
                </c:pt>
              </c:strCache>
            </c:strRef>
          </c:tx>
          <c:spPr>
            <a:solidFill>
              <a:schemeClr val="accent1"/>
            </a:solidFill>
            <a:ln>
              <a:noFill/>
            </a:ln>
            <a:effectLst/>
          </c:spPr>
          <c:invertIfNegative val="0"/>
          <c:cat>
            <c:numRef>
              <c:f>Sheet1!$A$2:$A$11</c:f>
              <c:numCache>
                <c:formatCode>General</c:formatCode>
                <c:ptCount val="10"/>
                <c:pt idx="0">
                  <c:v>2012</c:v>
                </c:pt>
                <c:pt idx="1">
                  <c:v>2013</c:v>
                </c:pt>
                <c:pt idx="2">
                  <c:v>2014</c:v>
                </c:pt>
                <c:pt idx="3">
                  <c:v>2015</c:v>
                </c:pt>
                <c:pt idx="4">
                  <c:v>2016</c:v>
                </c:pt>
                <c:pt idx="5">
                  <c:v>2017</c:v>
                </c:pt>
                <c:pt idx="6">
                  <c:v>2018</c:v>
                </c:pt>
                <c:pt idx="7">
                  <c:v>2019</c:v>
                </c:pt>
                <c:pt idx="8">
                  <c:v>2020</c:v>
                </c:pt>
                <c:pt idx="9">
                  <c:v>2021</c:v>
                </c:pt>
              </c:numCache>
            </c:numRef>
          </c:cat>
          <c:val>
            <c:numRef>
              <c:f>Sheet1!$B$2:$B$11</c:f>
              <c:numCache>
                <c:formatCode>###0</c:formatCode>
                <c:ptCount val="10"/>
                <c:pt idx="0">
                  <c:v>114</c:v>
                </c:pt>
                <c:pt idx="1">
                  <c:v>113</c:v>
                </c:pt>
                <c:pt idx="2">
                  <c:v>111</c:v>
                </c:pt>
                <c:pt idx="3">
                  <c:v>90</c:v>
                </c:pt>
                <c:pt idx="4">
                  <c:v>96</c:v>
                </c:pt>
                <c:pt idx="5">
                  <c:v>99</c:v>
                </c:pt>
                <c:pt idx="6">
                  <c:v>88</c:v>
                </c:pt>
                <c:pt idx="7">
                  <c:v>92</c:v>
                </c:pt>
                <c:pt idx="8">
                  <c:v>80</c:v>
                </c:pt>
                <c:pt idx="9">
                  <c:v>91</c:v>
                </c:pt>
              </c:numCache>
            </c:numRef>
          </c:val>
          <c:extLst>
            <c:ext xmlns:c16="http://schemas.microsoft.com/office/drawing/2014/chart" uri="{C3380CC4-5D6E-409C-BE32-E72D297353CC}">
              <c16:uniqueId val="{00000000-8BF8-4FBA-A142-792519A2B33E}"/>
            </c:ext>
          </c:extLst>
        </c:ser>
        <c:ser>
          <c:idx val="1"/>
          <c:order val="1"/>
          <c:tx>
            <c:strRef>
              <c:f>Sheet1!$C$1</c:f>
              <c:strCache>
                <c:ptCount val="1"/>
                <c:pt idx="0">
                  <c:v>Heavy rigid</c:v>
                </c:pt>
              </c:strCache>
            </c:strRef>
          </c:tx>
          <c:spPr>
            <a:solidFill>
              <a:schemeClr val="accent2"/>
            </a:solidFill>
            <a:ln>
              <a:noFill/>
            </a:ln>
            <a:effectLst/>
          </c:spPr>
          <c:invertIfNegative val="0"/>
          <c:cat>
            <c:numRef>
              <c:f>Sheet1!$A$2:$A$11</c:f>
              <c:numCache>
                <c:formatCode>General</c:formatCode>
                <c:ptCount val="10"/>
                <c:pt idx="0">
                  <c:v>2012</c:v>
                </c:pt>
                <c:pt idx="1">
                  <c:v>2013</c:v>
                </c:pt>
                <c:pt idx="2">
                  <c:v>2014</c:v>
                </c:pt>
                <c:pt idx="3">
                  <c:v>2015</c:v>
                </c:pt>
                <c:pt idx="4">
                  <c:v>2016</c:v>
                </c:pt>
                <c:pt idx="5">
                  <c:v>2017</c:v>
                </c:pt>
                <c:pt idx="6">
                  <c:v>2018</c:v>
                </c:pt>
                <c:pt idx="7">
                  <c:v>2019</c:v>
                </c:pt>
                <c:pt idx="8">
                  <c:v>2020</c:v>
                </c:pt>
                <c:pt idx="9">
                  <c:v>2021</c:v>
                </c:pt>
              </c:numCache>
            </c:numRef>
          </c:cat>
          <c:val>
            <c:numRef>
              <c:f>Sheet1!$C$2:$C$11</c:f>
              <c:numCache>
                <c:formatCode>###0</c:formatCode>
                <c:ptCount val="10"/>
                <c:pt idx="0">
                  <c:v>68</c:v>
                </c:pt>
                <c:pt idx="1">
                  <c:v>71</c:v>
                </c:pt>
                <c:pt idx="2">
                  <c:v>75</c:v>
                </c:pt>
                <c:pt idx="3">
                  <c:v>77</c:v>
                </c:pt>
                <c:pt idx="4">
                  <c:v>69</c:v>
                </c:pt>
                <c:pt idx="5">
                  <c:v>77</c:v>
                </c:pt>
                <c:pt idx="6">
                  <c:v>79</c:v>
                </c:pt>
                <c:pt idx="7">
                  <c:v>80</c:v>
                </c:pt>
                <c:pt idx="8">
                  <c:v>60</c:v>
                </c:pt>
                <c:pt idx="9">
                  <c:v>57</c:v>
                </c:pt>
              </c:numCache>
            </c:numRef>
          </c:val>
          <c:extLst>
            <c:ext xmlns:c16="http://schemas.microsoft.com/office/drawing/2014/chart" uri="{C3380CC4-5D6E-409C-BE32-E72D297353CC}">
              <c16:uniqueId val="{00000001-8BF8-4FBA-A142-792519A2B33E}"/>
            </c:ext>
          </c:extLst>
        </c:ser>
        <c:ser>
          <c:idx val="2"/>
          <c:order val="2"/>
          <c:tx>
            <c:strRef>
              <c:f>Sheet1!$D$1</c:f>
              <c:strCache>
                <c:ptCount val="1"/>
                <c:pt idx="0">
                  <c:v>Any heavy</c:v>
                </c:pt>
              </c:strCache>
            </c:strRef>
          </c:tx>
          <c:spPr>
            <a:solidFill>
              <a:schemeClr val="accent3"/>
            </a:solidFill>
            <a:ln>
              <a:noFill/>
            </a:ln>
            <a:effectLst/>
          </c:spPr>
          <c:invertIfNegative val="0"/>
          <c:cat>
            <c:numRef>
              <c:f>Sheet1!$A$2:$A$11</c:f>
              <c:numCache>
                <c:formatCode>General</c:formatCode>
                <c:ptCount val="10"/>
                <c:pt idx="0">
                  <c:v>2012</c:v>
                </c:pt>
                <c:pt idx="1">
                  <c:v>2013</c:v>
                </c:pt>
                <c:pt idx="2">
                  <c:v>2014</c:v>
                </c:pt>
                <c:pt idx="3">
                  <c:v>2015</c:v>
                </c:pt>
                <c:pt idx="4">
                  <c:v>2016</c:v>
                </c:pt>
                <c:pt idx="5">
                  <c:v>2017</c:v>
                </c:pt>
                <c:pt idx="6">
                  <c:v>2018</c:v>
                </c:pt>
                <c:pt idx="7">
                  <c:v>2019</c:v>
                </c:pt>
                <c:pt idx="8">
                  <c:v>2020</c:v>
                </c:pt>
                <c:pt idx="9">
                  <c:v>2021</c:v>
                </c:pt>
              </c:numCache>
            </c:numRef>
          </c:cat>
          <c:val>
            <c:numRef>
              <c:f>Sheet1!$D$2:$D$11</c:f>
              <c:numCache>
                <c:formatCode>###0</c:formatCode>
                <c:ptCount val="10"/>
                <c:pt idx="0">
                  <c:v>177</c:v>
                </c:pt>
                <c:pt idx="1">
                  <c:v>181</c:v>
                </c:pt>
                <c:pt idx="2">
                  <c:v>182</c:v>
                </c:pt>
                <c:pt idx="3">
                  <c:v>165</c:v>
                </c:pt>
                <c:pt idx="4">
                  <c:v>162</c:v>
                </c:pt>
                <c:pt idx="5">
                  <c:v>169</c:v>
                </c:pt>
                <c:pt idx="6">
                  <c:v>158</c:v>
                </c:pt>
                <c:pt idx="7">
                  <c:v>169</c:v>
                </c:pt>
                <c:pt idx="8">
                  <c:v>138</c:v>
                </c:pt>
                <c:pt idx="9">
                  <c:v>146</c:v>
                </c:pt>
              </c:numCache>
            </c:numRef>
          </c:val>
          <c:extLst>
            <c:ext xmlns:c16="http://schemas.microsoft.com/office/drawing/2014/chart" uri="{C3380CC4-5D6E-409C-BE32-E72D297353CC}">
              <c16:uniqueId val="{00000002-8BF8-4FBA-A142-792519A2B33E}"/>
            </c:ext>
          </c:extLst>
        </c:ser>
        <c:ser>
          <c:idx val="3"/>
          <c:order val="3"/>
          <c:tx>
            <c:strRef>
              <c:f>Sheet1!$E$1</c:f>
              <c:strCache>
                <c:ptCount val="1"/>
                <c:pt idx="0">
                  <c:v>Bus</c:v>
                </c:pt>
              </c:strCache>
            </c:strRef>
          </c:tx>
          <c:spPr>
            <a:solidFill>
              <a:schemeClr val="accent4"/>
            </a:solidFill>
            <a:ln>
              <a:noFill/>
            </a:ln>
            <a:effectLst/>
          </c:spPr>
          <c:invertIfNegative val="0"/>
          <c:cat>
            <c:numRef>
              <c:f>Sheet1!$A$2:$A$11</c:f>
              <c:numCache>
                <c:formatCode>General</c:formatCode>
                <c:ptCount val="10"/>
                <c:pt idx="0">
                  <c:v>2012</c:v>
                </c:pt>
                <c:pt idx="1">
                  <c:v>2013</c:v>
                </c:pt>
                <c:pt idx="2">
                  <c:v>2014</c:v>
                </c:pt>
                <c:pt idx="3">
                  <c:v>2015</c:v>
                </c:pt>
                <c:pt idx="4">
                  <c:v>2016</c:v>
                </c:pt>
                <c:pt idx="5">
                  <c:v>2017</c:v>
                </c:pt>
                <c:pt idx="6">
                  <c:v>2018</c:v>
                </c:pt>
                <c:pt idx="7">
                  <c:v>2019</c:v>
                </c:pt>
                <c:pt idx="8">
                  <c:v>2020</c:v>
                </c:pt>
                <c:pt idx="9">
                  <c:v>2021</c:v>
                </c:pt>
              </c:numCache>
            </c:numRef>
          </c:cat>
          <c:val>
            <c:numRef>
              <c:f>Sheet1!$E$2:$E$11</c:f>
              <c:numCache>
                <c:formatCode>###0</c:formatCode>
                <c:ptCount val="10"/>
                <c:pt idx="0">
                  <c:v>23</c:v>
                </c:pt>
                <c:pt idx="1">
                  <c:v>13</c:v>
                </c:pt>
                <c:pt idx="2">
                  <c:v>13</c:v>
                </c:pt>
                <c:pt idx="3">
                  <c:v>16</c:v>
                </c:pt>
                <c:pt idx="4">
                  <c:v>22</c:v>
                </c:pt>
                <c:pt idx="5">
                  <c:v>30</c:v>
                </c:pt>
                <c:pt idx="6">
                  <c:v>21</c:v>
                </c:pt>
                <c:pt idx="7">
                  <c:v>17</c:v>
                </c:pt>
                <c:pt idx="8">
                  <c:v>13</c:v>
                </c:pt>
                <c:pt idx="9">
                  <c:v>20</c:v>
                </c:pt>
              </c:numCache>
            </c:numRef>
          </c:val>
          <c:extLst>
            <c:ext xmlns:c16="http://schemas.microsoft.com/office/drawing/2014/chart" uri="{C3380CC4-5D6E-409C-BE32-E72D297353CC}">
              <c16:uniqueId val="{00000003-8BF8-4FBA-A142-792519A2B33E}"/>
            </c:ext>
          </c:extLst>
        </c:ser>
        <c:dLbls>
          <c:showLegendKey val="0"/>
          <c:showVal val="0"/>
          <c:showCatName val="0"/>
          <c:showSerName val="0"/>
          <c:showPercent val="0"/>
          <c:showBubbleSize val="0"/>
        </c:dLbls>
        <c:gapWidth val="219"/>
        <c:overlap val="-27"/>
        <c:axId val="517127184"/>
        <c:axId val="599229520"/>
      </c:barChart>
      <c:catAx>
        <c:axId val="5171271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99229520"/>
        <c:crosses val="autoZero"/>
        <c:auto val="1"/>
        <c:lblAlgn val="ctr"/>
        <c:lblOffset val="100"/>
        <c:noMultiLvlLbl val="0"/>
      </c:catAx>
      <c:valAx>
        <c:axId val="59922952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17127184"/>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Male</c:v>
                </c:pt>
              </c:strCache>
            </c:strRef>
          </c:tx>
          <c:spPr>
            <a:solidFill>
              <a:schemeClr val="accent1"/>
            </a:solidFill>
            <a:ln>
              <a:noFill/>
            </a:ln>
            <a:effectLst/>
          </c:spPr>
          <c:invertIfNegative val="0"/>
          <c:cat>
            <c:numRef>
              <c:f>Sheet1!$A$2:$A$14</c:f>
              <c:numCache>
                <c:formatCode>General</c:formatCode>
                <c:ptCount val="13"/>
                <c:pt idx="0">
                  <c:v>2008</c:v>
                </c:pt>
                <c:pt idx="1">
                  <c:v>2009</c:v>
                </c:pt>
                <c:pt idx="2">
                  <c:v>2010</c:v>
                </c:pt>
                <c:pt idx="3">
                  <c:v>2011</c:v>
                </c:pt>
                <c:pt idx="4">
                  <c:v>2012</c:v>
                </c:pt>
                <c:pt idx="5">
                  <c:v>2013</c:v>
                </c:pt>
                <c:pt idx="6">
                  <c:v>2014</c:v>
                </c:pt>
                <c:pt idx="7">
                  <c:v>2015</c:v>
                </c:pt>
                <c:pt idx="8">
                  <c:v>2016</c:v>
                </c:pt>
                <c:pt idx="9">
                  <c:v>2017</c:v>
                </c:pt>
                <c:pt idx="10">
                  <c:v>2018</c:v>
                </c:pt>
                <c:pt idx="11">
                  <c:v>2019</c:v>
                </c:pt>
                <c:pt idx="12">
                  <c:v>2020</c:v>
                </c:pt>
              </c:numCache>
            </c:numRef>
          </c:cat>
          <c:val>
            <c:numRef>
              <c:f>Sheet1!$B$2:$B$14</c:f>
              <c:numCache>
                <c:formatCode>#,##0</c:formatCode>
                <c:ptCount val="13"/>
                <c:pt idx="0">
                  <c:v>1156</c:v>
                </c:pt>
                <c:pt idx="1">
                  <c:v>1048</c:v>
                </c:pt>
                <c:pt idx="2">
                  <c:v>1044</c:v>
                </c:pt>
                <c:pt idx="3">
                  <c:v>1188</c:v>
                </c:pt>
                <c:pt idx="4">
                  <c:v>1130</c:v>
                </c:pt>
                <c:pt idx="5">
                  <c:v>1160</c:v>
                </c:pt>
                <c:pt idx="6">
                  <c:v>1125</c:v>
                </c:pt>
                <c:pt idx="7">
                  <c:v>1178</c:v>
                </c:pt>
                <c:pt idx="8">
                  <c:v>1215</c:v>
                </c:pt>
                <c:pt idx="9">
                  <c:v>1178</c:v>
                </c:pt>
                <c:pt idx="10">
                  <c:v>1191</c:v>
                </c:pt>
              </c:numCache>
            </c:numRef>
          </c:val>
          <c:extLst>
            <c:ext xmlns:c16="http://schemas.microsoft.com/office/drawing/2014/chart" uri="{C3380CC4-5D6E-409C-BE32-E72D297353CC}">
              <c16:uniqueId val="{00000000-70CC-48A6-8F3F-EF6F3E102432}"/>
            </c:ext>
          </c:extLst>
        </c:ser>
        <c:ser>
          <c:idx val="1"/>
          <c:order val="1"/>
          <c:tx>
            <c:strRef>
              <c:f>Sheet1!$C$1</c:f>
              <c:strCache>
                <c:ptCount val="1"/>
                <c:pt idx="0">
                  <c:v>Female</c:v>
                </c:pt>
              </c:strCache>
            </c:strRef>
          </c:tx>
          <c:spPr>
            <a:solidFill>
              <a:schemeClr val="accent2"/>
            </a:solidFill>
            <a:ln>
              <a:noFill/>
            </a:ln>
            <a:effectLst/>
          </c:spPr>
          <c:invertIfNegative val="0"/>
          <c:cat>
            <c:numRef>
              <c:f>Sheet1!$A$2:$A$14</c:f>
              <c:numCache>
                <c:formatCode>General</c:formatCode>
                <c:ptCount val="13"/>
                <c:pt idx="0">
                  <c:v>2008</c:v>
                </c:pt>
                <c:pt idx="1">
                  <c:v>2009</c:v>
                </c:pt>
                <c:pt idx="2">
                  <c:v>2010</c:v>
                </c:pt>
                <c:pt idx="3">
                  <c:v>2011</c:v>
                </c:pt>
                <c:pt idx="4">
                  <c:v>2012</c:v>
                </c:pt>
                <c:pt idx="5">
                  <c:v>2013</c:v>
                </c:pt>
                <c:pt idx="6">
                  <c:v>2014</c:v>
                </c:pt>
                <c:pt idx="7">
                  <c:v>2015</c:v>
                </c:pt>
                <c:pt idx="8">
                  <c:v>2016</c:v>
                </c:pt>
                <c:pt idx="9">
                  <c:v>2017</c:v>
                </c:pt>
                <c:pt idx="10">
                  <c:v>2018</c:v>
                </c:pt>
                <c:pt idx="11">
                  <c:v>2019</c:v>
                </c:pt>
                <c:pt idx="12">
                  <c:v>2020</c:v>
                </c:pt>
              </c:numCache>
            </c:numRef>
          </c:cat>
          <c:val>
            <c:numRef>
              <c:f>Sheet1!$C$2:$C$14</c:f>
              <c:numCache>
                <c:formatCode>General</c:formatCode>
                <c:ptCount val="13"/>
                <c:pt idx="0">
                  <c:v>454</c:v>
                </c:pt>
                <c:pt idx="1">
                  <c:v>464</c:v>
                </c:pt>
                <c:pt idx="2">
                  <c:v>555</c:v>
                </c:pt>
                <c:pt idx="3">
                  <c:v>577</c:v>
                </c:pt>
                <c:pt idx="4">
                  <c:v>533</c:v>
                </c:pt>
                <c:pt idx="5">
                  <c:v>574</c:v>
                </c:pt>
                <c:pt idx="6">
                  <c:v>645</c:v>
                </c:pt>
                <c:pt idx="7">
                  <c:v>577</c:v>
                </c:pt>
                <c:pt idx="8">
                  <c:v>617</c:v>
                </c:pt>
                <c:pt idx="9">
                  <c:v>699</c:v>
                </c:pt>
                <c:pt idx="10">
                  <c:v>633</c:v>
                </c:pt>
              </c:numCache>
            </c:numRef>
          </c:val>
          <c:extLst>
            <c:ext xmlns:c16="http://schemas.microsoft.com/office/drawing/2014/chart" uri="{C3380CC4-5D6E-409C-BE32-E72D297353CC}">
              <c16:uniqueId val="{00000001-70CC-48A6-8F3F-EF6F3E102432}"/>
            </c:ext>
          </c:extLst>
        </c:ser>
        <c:ser>
          <c:idx val="2"/>
          <c:order val="2"/>
          <c:tx>
            <c:strRef>
              <c:f>Sheet1!$D$1</c:f>
              <c:strCache>
                <c:ptCount val="1"/>
                <c:pt idx="0">
                  <c:v>Australia</c:v>
                </c:pt>
              </c:strCache>
            </c:strRef>
          </c:tx>
          <c:spPr>
            <a:solidFill>
              <a:schemeClr val="accent3"/>
            </a:solidFill>
            <a:ln>
              <a:noFill/>
            </a:ln>
            <a:effectLst/>
          </c:spPr>
          <c:invertIfNegative val="0"/>
          <c:cat>
            <c:numRef>
              <c:f>Sheet1!$A$2:$A$14</c:f>
              <c:numCache>
                <c:formatCode>General</c:formatCode>
                <c:ptCount val="13"/>
                <c:pt idx="0">
                  <c:v>2008</c:v>
                </c:pt>
                <c:pt idx="1">
                  <c:v>2009</c:v>
                </c:pt>
                <c:pt idx="2">
                  <c:v>2010</c:v>
                </c:pt>
                <c:pt idx="3">
                  <c:v>2011</c:v>
                </c:pt>
                <c:pt idx="4">
                  <c:v>2012</c:v>
                </c:pt>
                <c:pt idx="5">
                  <c:v>2013</c:v>
                </c:pt>
                <c:pt idx="6">
                  <c:v>2014</c:v>
                </c:pt>
                <c:pt idx="7">
                  <c:v>2015</c:v>
                </c:pt>
                <c:pt idx="8">
                  <c:v>2016</c:v>
                </c:pt>
                <c:pt idx="9">
                  <c:v>2017</c:v>
                </c:pt>
                <c:pt idx="10">
                  <c:v>2018</c:v>
                </c:pt>
                <c:pt idx="11">
                  <c:v>2019</c:v>
                </c:pt>
                <c:pt idx="12">
                  <c:v>2020</c:v>
                </c:pt>
              </c:numCache>
            </c:numRef>
          </c:cat>
          <c:val>
            <c:numRef>
              <c:f>Sheet1!$D$2:$D$14</c:f>
              <c:numCache>
                <c:formatCode>#,##0</c:formatCode>
                <c:ptCount val="13"/>
                <c:pt idx="0">
                  <c:v>1610</c:v>
                </c:pt>
                <c:pt idx="1">
                  <c:v>1512</c:v>
                </c:pt>
                <c:pt idx="2">
                  <c:v>1599</c:v>
                </c:pt>
                <c:pt idx="3">
                  <c:v>1765</c:v>
                </c:pt>
                <c:pt idx="4">
                  <c:v>1663</c:v>
                </c:pt>
                <c:pt idx="5">
                  <c:v>1734</c:v>
                </c:pt>
                <c:pt idx="6">
                  <c:v>1770</c:v>
                </c:pt>
                <c:pt idx="7">
                  <c:v>1755</c:v>
                </c:pt>
                <c:pt idx="8">
                  <c:v>1832</c:v>
                </c:pt>
                <c:pt idx="9">
                  <c:v>1877</c:v>
                </c:pt>
                <c:pt idx="10">
                  <c:v>1824</c:v>
                </c:pt>
              </c:numCache>
            </c:numRef>
          </c:val>
          <c:extLst>
            <c:ext xmlns:c16="http://schemas.microsoft.com/office/drawing/2014/chart" uri="{C3380CC4-5D6E-409C-BE32-E72D297353CC}">
              <c16:uniqueId val="{00000002-70CC-48A6-8F3F-EF6F3E102432}"/>
            </c:ext>
          </c:extLst>
        </c:ser>
        <c:dLbls>
          <c:showLegendKey val="0"/>
          <c:showVal val="0"/>
          <c:showCatName val="0"/>
          <c:showSerName val="0"/>
          <c:showPercent val="0"/>
          <c:showBubbleSize val="0"/>
        </c:dLbls>
        <c:gapWidth val="219"/>
        <c:overlap val="-27"/>
        <c:axId val="484964176"/>
        <c:axId val="484965160"/>
      </c:barChart>
      <c:catAx>
        <c:axId val="4849641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84965160"/>
        <c:crosses val="autoZero"/>
        <c:auto val="1"/>
        <c:lblAlgn val="ctr"/>
        <c:lblOffset val="100"/>
        <c:noMultiLvlLbl val="0"/>
      </c:catAx>
      <c:valAx>
        <c:axId val="48496516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8496417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NB1</c:v>
                </c:pt>
              </c:strCache>
            </c:strRef>
          </c:tx>
          <c:spPr>
            <a:solidFill>
              <a:schemeClr val="accent1"/>
            </a:solidFill>
            <a:ln>
              <a:noFill/>
            </a:ln>
            <a:effectLst/>
          </c:spPr>
          <c:invertIfNegative val="0"/>
          <c:cat>
            <c:numRef>
              <c:f>Sheet1!$A$2:$A$8</c:f>
              <c:numCache>
                <c:formatCode>General</c:formatCode>
                <c:ptCount val="7"/>
                <c:pt idx="0">
                  <c:v>2015</c:v>
                </c:pt>
                <c:pt idx="1">
                  <c:v>2016</c:v>
                </c:pt>
                <c:pt idx="2">
                  <c:v>2017</c:v>
                </c:pt>
                <c:pt idx="3">
                  <c:v>2018</c:v>
                </c:pt>
                <c:pt idx="4">
                  <c:v>2019</c:v>
                </c:pt>
                <c:pt idx="5">
                  <c:v>2020</c:v>
                </c:pt>
                <c:pt idx="6">
                  <c:v>2021</c:v>
                </c:pt>
              </c:numCache>
            </c:numRef>
          </c:cat>
          <c:val>
            <c:numRef>
              <c:f>Sheet1!$B$2:$B$8</c:f>
              <c:numCache>
                <c:formatCode>General</c:formatCode>
                <c:ptCount val="7"/>
                <c:pt idx="0">
                  <c:v>0</c:v>
                </c:pt>
                <c:pt idx="1">
                  <c:v>0</c:v>
                </c:pt>
                <c:pt idx="2">
                  <c:v>0</c:v>
                </c:pt>
                <c:pt idx="3">
                  <c:v>0.2</c:v>
                </c:pt>
                <c:pt idx="4">
                  <c:v>20.8</c:v>
                </c:pt>
                <c:pt idx="5">
                  <c:v>45.8</c:v>
                </c:pt>
                <c:pt idx="6">
                  <c:v>41.8</c:v>
                </c:pt>
              </c:numCache>
            </c:numRef>
          </c:val>
          <c:extLst>
            <c:ext xmlns:c16="http://schemas.microsoft.com/office/drawing/2014/chart" uri="{C3380CC4-5D6E-409C-BE32-E72D297353CC}">
              <c16:uniqueId val="{00000000-7020-4F91-978D-854266D84EE0}"/>
            </c:ext>
          </c:extLst>
        </c:ser>
        <c:ser>
          <c:idx val="1"/>
          <c:order val="1"/>
          <c:tx>
            <c:strRef>
              <c:f>Sheet1!$C$1</c:f>
              <c:strCache>
                <c:ptCount val="1"/>
                <c:pt idx="0">
                  <c:v>NB2</c:v>
                </c:pt>
              </c:strCache>
            </c:strRef>
          </c:tx>
          <c:spPr>
            <a:solidFill>
              <a:schemeClr val="accent2"/>
            </a:solidFill>
            <a:ln>
              <a:noFill/>
            </a:ln>
            <a:effectLst/>
          </c:spPr>
          <c:invertIfNegative val="0"/>
          <c:cat>
            <c:numRef>
              <c:f>Sheet1!$A$2:$A$8</c:f>
              <c:numCache>
                <c:formatCode>General</c:formatCode>
                <c:ptCount val="7"/>
                <c:pt idx="0">
                  <c:v>2015</c:v>
                </c:pt>
                <c:pt idx="1">
                  <c:v>2016</c:v>
                </c:pt>
                <c:pt idx="2">
                  <c:v>2017</c:v>
                </c:pt>
                <c:pt idx="3">
                  <c:v>2018</c:v>
                </c:pt>
                <c:pt idx="4">
                  <c:v>2019</c:v>
                </c:pt>
                <c:pt idx="5">
                  <c:v>2020</c:v>
                </c:pt>
                <c:pt idx="6">
                  <c:v>2021</c:v>
                </c:pt>
              </c:numCache>
            </c:numRef>
          </c:cat>
          <c:val>
            <c:numRef>
              <c:f>Sheet1!$C$2:$C$8</c:f>
              <c:numCache>
                <c:formatCode>General</c:formatCode>
                <c:ptCount val="7"/>
                <c:pt idx="0">
                  <c:v>0</c:v>
                </c:pt>
                <c:pt idx="1">
                  <c:v>0</c:v>
                </c:pt>
                <c:pt idx="2">
                  <c:v>0</c:v>
                </c:pt>
                <c:pt idx="3">
                  <c:v>9.3000000000000007</c:v>
                </c:pt>
                <c:pt idx="4">
                  <c:v>14.6</c:v>
                </c:pt>
                <c:pt idx="5">
                  <c:v>24</c:v>
                </c:pt>
                <c:pt idx="6">
                  <c:v>24.6</c:v>
                </c:pt>
              </c:numCache>
            </c:numRef>
          </c:val>
          <c:extLst>
            <c:ext xmlns:c16="http://schemas.microsoft.com/office/drawing/2014/chart" uri="{C3380CC4-5D6E-409C-BE32-E72D297353CC}">
              <c16:uniqueId val="{00000001-7020-4F91-978D-854266D84EE0}"/>
            </c:ext>
          </c:extLst>
        </c:ser>
        <c:ser>
          <c:idx val="2"/>
          <c:order val="2"/>
          <c:tx>
            <c:strRef>
              <c:f>Sheet1!$D$1</c:f>
              <c:strCache>
                <c:ptCount val="1"/>
                <c:pt idx="0">
                  <c:v>NC - Rigid Truck</c:v>
                </c:pt>
              </c:strCache>
            </c:strRef>
          </c:tx>
          <c:spPr>
            <a:solidFill>
              <a:schemeClr val="accent3"/>
            </a:solidFill>
            <a:ln>
              <a:noFill/>
            </a:ln>
            <a:effectLst/>
          </c:spPr>
          <c:invertIfNegative val="0"/>
          <c:cat>
            <c:numRef>
              <c:f>Sheet1!$A$2:$A$8</c:f>
              <c:numCache>
                <c:formatCode>General</c:formatCode>
                <c:ptCount val="7"/>
                <c:pt idx="0">
                  <c:v>2015</c:v>
                </c:pt>
                <c:pt idx="1">
                  <c:v>2016</c:v>
                </c:pt>
                <c:pt idx="2">
                  <c:v>2017</c:v>
                </c:pt>
                <c:pt idx="3">
                  <c:v>2018</c:v>
                </c:pt>
                <c:pt idx="4">
                  <c:v>2019</c:v>
                </c:pt>
                <c:pt idx="5">
                  <c:v>2020</c:v>
                </c:pt>
                <c:pt idx="6">
                  <c:v>2021</c:v>
                </c:pt>
              </c:numCache>
            </c:numRef>
          </c:cat>
          <c:val>
            <c:numRef>
              <c:f>Sheet1!$D$2:$D$8</c:f>
              <c:numCache>
                <c:formatCode>General</c:formatCode>
                <c:ptCount val="7"/>
                <c:pt idx="0">
                  <c:v>0</c:v>
                </c:pt>
                <c:pt idx="1">
                  <c:v>1</c:v>
                </c:pt>
                <c:pt idx="2">
                  <c:v>2.8</c:v>
                </c:pt>
                <c:pt idx="3">
                  <c:v>8</c:v>
                </c:pt>
                <c:pt idx="4">
                  <c:v>22</c:v>
                </c:pt>
                <c:pt idx="5">
                  <c:v>24.6</c:v>
                </c:pt>
                <c:pt idx="6">
                  <c:v>24.3</c:v>
                </c:pt>
              </c:numCache>
            </c:numRef>
          </c:val>
          <c:extLst>
            <c:ext xmlns:c16="http://schemas.microsoft.com/office/drawing/2014/chart" uri="{C3380CC4-5D6E-409C-BE32-E72D297353CC}">
              <c16:uniqueId val="{00000002-7020-4F91-978D-854266D84EE0}"/>
            </c:ext>
          </c:extLst>
        </c:ser>
        <c:ser>
          <c:idx val="3"/>
          <c:order val="3"/>
          <c:tx>
            <c:strRef>
              <c:f>Sheet1!$E$1</c:f>
              <c:strCache>
                <c:ptCount val="1"/>
                <c:pt idx="0">
                  <c:v>NC - Prime Mover</c:v>
                </c:pt>
              </c:strCache>
            </c:strRef>
          </c:tx>
          <c:spPr>
            <a:solidFill>
              <a:schemeClr val="accent4"/>
            </a:solidFill>
            <a:ln>
              <a:noFill/>
            </a:ln>
            <a:effectLst/>
          </c:spPr>
          <c:invertIfNegative val="0"/>
          <c:cat>
            <c:numRef>
              <c:f>Sheet1!$A$2:$A$8</c:f>
              <c:numCache>
                <c:formatCode>General</c:formatCode>
                <c:ptCount val="7"/>
                <c:pt idx="0">
                  <c:v>2015</c:v>
                </c:pt>
                <c:pt idx="1">
                  <c:v>2016</c:v>
                </c:pt>
                <c:pt idx="2">
                  <c:v>2017</c:v>
                </c:pt>
                <c:pt idx="3">
                  <c:v>2018</c:v>
                </c:pt>
                <c:pt idx="4">
                  <c:v>2019</c:v>
                </c:pt>
                <c:pt idx="5">
                  <c:v>2020</c:v>
                </c:pt>
                <c:pt idx="6">
                  <c:v>2021</c:v>
                </c:pt>
              </c:numCache>
            </c:numRef>
          </c:cat>
          <c:val>
            <c:numRef>
              <c:f>Sheet1!$E$2:$E$8</c:f>
              <c:numCache>
                <c:formatCode>General</c:formatCode>
                <c:ptCount val="7"/>
                <c:pt idx="0">
                  <c:v>0</c:v>
                </c:pt>
                <c:pt idx="1">
                  <c:v>5.7</c:v>
                </c:pt>
                <c:pt idx="2">
                  <c:v>18.600000000000001</c:v>
                </c:pt>
                <c:pt idx="3">
                  <c:v>35.799999999999997</c:v>
                </c:pt>
                <c:pt idx="4">
                  <c:v>43.5</c:v>
                </c:pt>
                <c:pt idx="5">
                  <c:v>52.4</c:v>
                </c:pt>
                <c:pt idx="6">
                  <c:v>51.7</c:v>
                </c:pt>
              </c:numCache>
            </c:numRef>
          </c:val>
          <c:extLst>
            <c:ext xmlns:c16="http://schemas.microsoft.com/office/drawing/2014/chart" uri="{C3380CC4-5D6E-409C-BE32-E72D297353CC}">
              <c16:uniqueId val="{00000003-7020-4F91-978D-854266D84EE0}"/>
            </c:ext>
          </c:extLst>
        </c:ser>
        <c:dLbls>
          <c:showLegendKey val="0"/>
          <c:showVal val="0"/>
          <c:showCatName val="0"/>
          <c:showSerName val="0"/>
          <c:showPercent val="0"/>
          <c:showBubbleSize val="0"/>
        </c:dLbls>
        <c:gapWidth val="219"/>
        <c:overlap val="-27"/>
        <c:axId val="541837200"/>
        <c:axId val="541837528"/>
      </c:barChart>
      <c:catAx>
        <c:axId val="541837200"/>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41837528"/>
        <c:crossesAt val="0"/>
        <c:auto val="1"/>
        <c:lblAlgn val="ctr"/>
        <c:lblOffset val="100"/>
        <c:noMultiLvlLbl val="0"/>
      </c:catAx>
      <c:valAx>
        <c:axId val="54183752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Percentage</a:t>
                </a:r>
              </a:p>
            </c:rich>
          </c:tx>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41837200"/>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7C2F126BFC64AACA815FD0558348906"/>
        <w:category>
          <w:name w:val="General"/>
          <w:gallery w:val="placeholder"/>
        </w:category>
        <w:types>
          <w:type w:val="bbPlcHdr"/>
        </w:types>
        <w:behaviors>
          <w:behavior w:val="content"/>
        </w:behaviors>
        <w:guid w:val="{E2409D01-ABEC-400D-99D6-C76FC6A81C97}"/>
      </w:docPartPr>
      <w:docPartBody>
        <w:p w:rsidR="009761E7" w:rsidRDefault="009761E7">
          <w:pPr>
            <w:pStyle w:val="27C2F126BFC64AACA815FD0558348906"/>
          </w:pPr>
          <w:r w:rsidRPr="00EC51DD">
            <w:rPr>
              <w:rStyle w:val="PlaceholderText"/>
            </w:rPr>
            <w:t>[Title]</w:t>
          </w:r>
        </w:p>
      </w:docPartBody>
    </w:docPart>
    <w:docPart>
      <w:docPartPr>
        <w:name w:val="E855B5D7E58842F8A2E058B06AA06563"/>
        <w:category>
          <w:name w:val="General"/>
          <w:gallery w:val="placeholder"/>
        </w:category>
        <w:types>
          <w:type w:val="bbPlcHdr"/>
        </w:types>
        <w:behaviors>
          <w:behavior w:val="content"/>
        </w:behaviors>
        <w:guid w:val="{2ABD05DB-E42F-4234-8FB7-66C71560C7AA}"/>
      </w:docPartPr>
      <w:docPartBody>
        <w:p w:rsidR="009761E7" w:rsidRDefault="009761E7">
          <w:pPr>
            <w:pStyle w:val="E855B5D7E58842F8A2E058B06AA06563"/>
          </w:pPr>
          <w:r w:rsidRPr="00EC51DD">
            <w:rPr>
              <w:rStyle w:val="PlaceholderText"/>
            </w:rPr>
            <w:t>[Publish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 w:name="FranklinGothic-Book">
    <w:altName w:val="Calibri"/>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61E7"/>
    <w:rsid w:val="000A21AE"/>
    <w:rsid w:val="000D6203"/>
    <w:rsid w:val="00115B91"/>
    <w:rsid w:val="0016381F"/>
    <w:rsid w:val="001721FE"/>
    <w:rsid w:val="0018415E"/>
    <w:rsid w:val="00211FCC"/>
    <w:rsid w:val="00234C95"/>
    <w:rsid w:val="00244B78"/>
    <w:rsid w:val="00247628"/>
    <w:rsid w:val="00260618"/>
    <w:rsid w:val="002D3326"/>
    <w:rsid w:val="004701C9"/>
    <w:rsid w:val="005575A8"/>
    <w:rsid w:val="0065128F"/>
    <w:rsid w:val="006614A5"/>
    <w:rsid w:val="00661DDE"/>
    <w:rsid w:val="00775002"/>
    <w:rsid w:val="00787565"/>
    <w:rsid w:val="007A1657"/>
    <w:rsid w:val="007E7781"/>
    <w:rsid w:val="00843804"/>
    <w:rsid w:val="00892B6D"/>
    <w:rsid w:val="008A5D83"/>
    <w:rsid w:val="00947D96"/>
    <w:rsid w:val="009761E7"/>
    <w:rsid w:val="00987036"/>
    <w:rsid w:val="009A43F2"/>
    <w:rsid w:val="009F2FEA"/>
    <w:rsid w:val="00B06AAE"/>
    <w:rsid w:val="00B236AB"/>
    <w:rsid w:val="00B85960"/>
    <w:rsid w:val="00C2364F"/>
    <w:rsid w:val="00D003E8"/>
    <w:rsid w:val="00D63E79"/>
    <w:rsid w:val="00D67824"/>
    <w:rsid w:val="00DD6DFA"/>
    <w:rsid w:val="00DE447E"/>
    <w:rsid w:val="00E05929"/>
    <w:rsid w:val="00EF433C"/>
    <w:rsid w:val="00EF5F81"/>
    <w:rsid w:val="00F737A2"/>
    <w:rsid w:val="00FF69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27C2F126BFC64AACA815FD0558348906">
    <w:name w:val="27C2F126BFC64AACA815FD0558348906"/>
  </w:style>
  <w:style w:type="paragraph" w:customStyle="1" w:styleId="E855B5D7E58842F8A2E058B06AA06563">
    <w:name w:val="E855B5D7E58842F8A2E058B06AA0656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Office Theme">
  <a:themeElements>
    <a:clrScheme name="DoITRDC Interim Branding 2020">
      <a:dk1>
        <a:srgbClr val="000000"/>
      </a:dk1>
      <a:lt1>
        <a:srgbClr val="FFFFFF"/>
      </a:lt1>
      <a:dk2>
        <a:srgbClr val="081E3E"/>
      </a:dk2>
      <a:lt2>
        <a:srgbClr val="E7E7E7"/>
      </a:lt2>
      <a:accent1>
        <a:srgbClr val="081E3E"/>
      </a:accent1>
      <a:accent2>
        <a:srgbClr val="4BB3B5"/>
      </a:accent2>
      <a:accent3>
        <a:srgbClr val="77D1F4"/>
      </a:accent3>
      <a:accent4>
        <a:srgbClr val="9AA3AF"/>
      </a:accent4>
      <a:accent5>
        <a:srgbClr val="C0D48F"/>
      </a:accent5>
      <a:accent6>
        <a:srgbClr val="6FC197"/>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2022-04-08T00:00:00</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97A4D2AC3D9C944A3BA2E3956678696" ma:contentTypeVersion="4" ma:contentTypeDescription="Create a new document." ma:contentTypeScope="" ma:versionID="a9073b74b014f1fab184b513d4f155cf">
  <xsd:schema xmlns:xsd="http://www.w3.org/2001/XMLSchema" xmlns:xs="http://www.w3.org/2001/XMLSchema" xmlns:p="http://schemas.microsoft.com/office/2006/metadata/properties" xmlns:ns2="d4956981-af34-43b5-9bb9-127b84748104" targetNamespace="http://schemas.microsoft.com/office/2006/metadata/properties" ma:root="true" ma:fieldsID="a0004a6565a6776f3385126399f66d42" ns2:_="">
    <xsd:import namespace="d4956981-af34-43b5-9bb9-127b8474810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956981-af34-43b5-9bb9-127b847481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EAAC92C-768C-40D7-B5B6-95F1F18BB4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956981-af34-43b5-9bb9-127b847481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AF4F7D1-88DE-4064-B78C-CA659D979954}">
  <ds:schemaRefs>
    <ds:schemaRef ds:uri="http://schemas.microsoft.com/sharepoint/v3/contenttype/forms"/>
  </ds:schemaRefs>
</ds:datastoreItem>
</file>

<file path=customXml/itemProps4.xml><?xml version="1.0" encoding="utf-8"?>
<ds:datastoreItem xmlns:ds="http://schemas.openxmlformats.org/officeDocument/2006/customXml" ds:itemID="{743D06C2-8BCB-48F5-BF9F-ACECBAC1C17C}">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d4956981-af34-43b5-9bb9-127b84748104"/>
    <ds:schemaRef ds:uri="http://www.w3.org/XML/1998/namespace"/>
    <ds:schemaRef ds:uri="http://purl.org/dc/dcmitype/"/>
  </ds:schemaRefs>
</ds:datastoreItem>
</file>

<file path=customXml/itemProps5.xml><?xml version="1.0" encoding="utf-8"?>
<ds:datastoreItem xmlns:ds="http://schemas.openxmlformats.org/officeDocument/2006/customXml" ds:itemID="{FB78A8CF-F73D-47AB-BE67-8BD05775B6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VSS RVS Document_0120.dotx</Template>
  <TotalTime>7</TotalTime>
  <Pages>55</Pages>
  <Words>19955</Words>
  <Characters>113747</Characters>
  <Application>Microsoft Office Word</Application>
  <DocSecurity>0</DocSecurity>
  <Lines>947</Lines>
  <Paragraphs>266</Paragraphs>
  <ScaleCrop>false</ScaleCrop>
  <HeadingPairs>
    <vt:vector size="2" baseType="variant">
      <vt:variant>
        <vt:lpstr>Title</vt:lpstr>
      </vt:variant>
      <vt:variant>
        <vt:i4>1</vt:i4>
      </vt:variant>
    </vt:vector>
  </HeadingPairs>
  <TitlesOfParts>
    <vt:vector size="1" baseType="lpstr">
      <vt:lpstr>REDUCING HEAVY VEHICLE LANE DEPARTURE CRASHES</vt:lpstr>
    </vt:vector>
  </TitlesOfParts>
  <Company>Department of Infrastructure &amp; Regional Development</Company>
  <LinksUpToDate>false</LinksUpToDate>
  <CharactersWithSpaces>133436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REDUCING HEAVY VEHICLE LANE DEPARTURE CRASHES</dc:title>
  <dc:subject/>
  <dc:creator>NILAR Abdul</dc:creator>
  <cp:keywords/>
  <dc:description/>
  <cp:lastModifiedBy>NILAR Abdul</cp:lastModifiedBy>
  <cp:revision>9</cp:revision>
  <cp:lastPrinted>2022-04-08T06:52:00Z</cp:lastPrinted>
  <dcterms:created xsi:type="dcterms:W3CDTF">2022-04-08T06:21:00Z</dcterms:created>
  <dcterms:modified xsi:type="dcterms:W3CDTF">2022-04-08T06:53:00Z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0x010100897A4D2AC3D9C944A3BA2E3956678696</vt:lpwstr>
  </property>
</Properties>
</file>